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Garamond" w:cs="Garamond" w:eastAsia="Garamond" w:hAnsi="Garamond"/>
          <w:b/>
          <w:bCs/>
          <w:color w:val="111827"/>
          <w:sz w:val="48"/>
          <w:szCs w:val="48"/>
        </w:rPr>
        <w:t xml:space="preserve">From Parasite to Commonwealth:</w:t>
      </w:r>
    </w:p>
    <w:p>
      <w:pPr>
        <w:spacing w:after="80" w:before="0"/>
        <w:jc w:val="center"/>
      </w:pPr>
      <w:r>
        <w:rPr>
          <w:rFonts w:ascii="Garamond" w:cs="Garamond" w:eastAsia="Garamond" w:hAnsi="Garamond"/>
          <w:color w:val="374151"/>
          <w:sz w:val="36"/>
          <w:szCs w:val="36"/>
        </w:rPr>
        <w:t xml:space="preserve">IPS Audit of GEO Group's Florida Correctional Facilities</w:t>
      </w:r>
    </w:p>
    <w:p>
      <w:pPr>
        <w:spacing w:after="80" w:before="0"/>
        <w:jc w:val="center"/>
      </w:pPr>
      <w:r>
        <w:rPr>
          <w:rFonts w:ascii="Garamond" w:cs="Garamond" w:eastAsia="Garamond" w:hAnsi="Garamond"/>
          <w:color w:val="0D5E57"/>
          <w:sz w:val="28"/>
          <w:szCs w:val="28"/>
        </w:rPr>
        <w:t xml:space="preserve">and a BioBond Transition Pathway to the Adaptive Moral Commonwealth</w:t>
      </w:r>
    </w:p>
    <w:p>
      <w:pPr>
        <w:spacing w:after="0" w:before="60"/>
      </w:pPr>
      <w:r>
        <w:t xml:space="preserve"/>
      </w:r>
    </w:p>
    <w:p>
      <w:pPr>
        <w:spacing w:after="40" w:before="200"/>
        <w:jc w:val="center"/>
      </w:pPr>
      <w:r>
        <w:rPr>
          <w:rFonts w:ascii="Garamond" w:cs="Garamond" w:eastAsia="Garamond" w:hAnsi="Garamond"/>
          <w:b/>
          <w:bCs/>
          <w:sz w:val="24"/>
          <w:szCs w:val="24"/>
        </w:rPr>
        <w:t xml:space="preserve">Robert Mertzman</w:t>
      </w:r>
    </w:p>
    <w:p>
      <w:pPr>
        <w:spacing w:after="400" w:before="0"/>
        <w:jc w:val="center"/>
      </w:pPr>
      <w:r>
        <w:rPr>
          <w:rFonts w:ascii="Garamond" w:cs="Garamond" w:eastAsia="Garamond" w:hAnsi="Garamond"/>
          <w:color w:val="374151"/>
          <w:sz w:val="21"/>
          <w:szCs w:val="21"/>
        </w:rPr>
        <w:t xml:space="preserve">Ethics Institute, Saint Petersburg College · Philosophy Lab Corporation · Working Paper,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5E57" w:sz="4"/>
              <w:left w:val="single" w:color="0D5E57" w:sz="12"/>
              <w:bottom w:val="single" w:color="DDDDDD" w:sz="1"/>
              <w:right w:val="single" w:color="DDDDDD" w:sz="1"/>
            </w:tcBorders>
            <w:shd w:fill="E6FAF5" w:val="clear"/>
            <w:tcMar>
              <w:top w:type="dxa" w:w="120"/>
              <w:left w:type="dxa" w:w="200"/>
              <w:bottom w:type="dxa" w:w="120"/>
              <w:right w:type="dxa" w:w="160"/>
            </w:tcMar>
          </w:tcPr>
          <w:p>
            <w:pPr>
              <w:spacing w:after="80" w:before="80"/>
            </w:pPr>
            <w:r>
              <w:rPr>
                <w:rFonts w:ascii="Garamond" w:cs="Garamond" w:eastAsia="Garamond" w:hAnsi="Garamond"/>
                <w:b/>
                <w:bCs/>
                <w:caps/>
                <w:color w:val="0D5E57"/>
                <w:spacing w:val="50"/>
                <w:sz w:val="17"/>
                <w:szCs w:val="17"/>
              </w:rPr>
              <w:t xml:space="preserve">ABSTRACT</w:t>
            </w:r>
          </w:p>
          <w:p>
            <w:pPr>
              <w:spacing w:after="80" w:before="60" w:line="305"/>
            </w:pPr>
            <w:r>
              <w:rPr>
                <w:rFonts w:ascii="Garamond" w:cs="Garamond" w:eastAsia="Garamond" w:hAnsi="Garamond"/>
                <w:sz w:val="22"/>
                <w:szCs w:val="22"/>
              </w:rPr>
              <w:t xml:space="preserve">This working paper applies the Universal Coordination Platform (UCP) V5.0 Institutional Parasite State (IPS) framework to GEO Group's Florida Department of Corrections facilities, the most extensively documented private prison system in the second-largest private corrections market in the United States. GEO Group (NYSE: GEO), headquartered in Boca Raton, Florida, operated as a real estate investment trust (REIT) from 2013 to 2021, distributing 90% of taxable income as dividends — a structural instrument that placed extraction at the apex of the organizational goal-function. The P-SAGE analysis demonstrates that GEO Group's Florida facilities exhibit a High-IPS Signature with computed FHRI_max = 10.9, a 38.8-point structural gap below Florida DOC public facilities (FHRI_max = 49.7).</w:t>
            </w:r>
          </w:p>
          <w:p>
            <w:pPr>
              <w:spacing w:after="80" w:before="60" w:line="305"/>
            </w:pPr>
            <w:r>
              <w:rPr>
                <w:rFonts w:ascii="Garamond" w:cs="Garamond" w:eastAsia="Garamond" w:hAnsi="Garamond"/>
                <w:sz w:val="22"/>
                <w:szCs w:val="22"/>
              </w:rPr>
              <w:t xml:space="preserve">The paper makes three contributions. First, it provides the cross-sector validation of the IPS scale-free law: the same five-parameter mechanism (ε, φ, ρ, σ, μ) producing FHRI_max = 10.9 in Florida private prisons is formally identical to the mechanism producing FHRI_max = 13.6 in PE-acquired nursing homes — different sector, different regulatory framework, different nominal mission, same structural law. Second, it develops the BioBond instrument specification for the correctional sector: margin ratchets tied to FHRI_max improvement, a Hysteresis Recovery tranche for high-σ institutions, and a PBC transition pathway with Florida-specific enabling conditions. Third, it maps the Maathai bottom-up pathway: the low-epsilon reentry organizations already operating in Florida that BioBond financing would scale into the market-pressure position that makes T1 structural reform politically achievable.</w:t>
            </w:r>
          </w:p>
          <w:p>
            <w:pPr>
              <w:spacing w:after="80" w:before="60" w:line="305"/>
            </w:pPr>
            <w:r>
              <w:rPr>
                <w:rFonts w:ascii="Garamond" w:cs="Garamond" w:eastAsia="Garamond" w:hAnsi="Garamond"/>
                <w:sz w:val="22"/>
                <w:szCs w:val="22"/>
              </w:rPr>
              <w:t xml:space="preserve">Keywords: institutional parasitism, private prisons, GEO Group, Florida DOC, FHRI_max, BioBond, P-SAGE, Adaptive Moral Commonwealth, reentry, PBC</w:t>
            </w:r>
          </w:p>
        </w:tc>
      </w:tr>
    </w:tbl>
    <w:p>
      <w:pPr>
        <w:spacing w:after="0" w:before="60"/>
      </w:pPr>
      <w:r>
        <w:t xml:space="preserve"/>
      </w:r>
    </w:p>
    <w:p>
      <w:pPr>
        <w:spacing w:after="0" w:before="60"/>
      </w:pPr>
      <w:r>
        <w:t xml:space="preserve"/>
      </w:r>
    </w:p>
    <w:p>
      <w:pPr>
        <w:pStyle w:val="Heading1"/>
        <w:spacing w:after="120" w:before="360"/>
      </w:pPr>
      <w:r>
        <w:rPr>
          <w:rFonts w:ascii="Garamond" w:cs="Garamond" w:eastAsia="Garamond" w:hAnsi="Garamond"/>
          <w:b/>
          <w:bCs/>
          <w:color w:val="0D5E57"/>
          <w:sz w:val="28"/>
          <w:szCs w:val="28"/>
        </w:rPr>
        <w:t xml:space="preserve">1. Introduction: The Scale-Free Validation</w:t>
      </w:r>
    </w:p>
    <w:p>
      <w:pPr>
        <w:spacing w:after="140" w:before="80" w:line="320"/>
        <w:ind w:firstLine="720"/>
      </w:pPr>
      <w:r>
        <w:rPr>
          <w:rFonts w:ascii="Garamond" w:cs="Garamond" w:eastAsia="Garamond" w:hAnsi="Garamond"/>
          <w:sz w:val="23"/>
          <w:szCs w:val="23"/>
        </w:rPr>
        <w:t xml:space="preserve">The IPS framework's central theoretical claim — that the parasitic mechanism is scale-free, operating through formally identical Sign-Signal-Interpretant overwrite at any organizational level where hierarchical structure and information transmission are both present — requires cross-sector empirical validation. The Florida PE-acquired nursing home sector provides one empirical anchor: 156 facilities, published IPS profiles, FHRI_max = 13.6 confirmed against CMS HHVBP data. The private correctional sector provides the cross-sector test.</w:t>
      </w:r>
    </w:p>
    <w:p>
      <w:pPr>
        <w:spacing w:after="140" w:before="80" w:line="320"/>
        <w:ind w:firstLine="720"/>
      </w:pPr>
      <w:r>
        <w:rPr>
          <w:rFonts w:ascii="Garamond" w:cs="Garamond" w:eastAsia="Garamond" w:hAnsi="Garamond"/>
          <w:sz w:val="23"/>
          <w:szCs w:val="23"/>
        </w:rPr>
        <w:t xml:space="preserve">If the mechanism is truly scale-free, the IPS parameters for GEO Group's Florida facilities should produce an FHRI_max ceiling in the same range as the PE nursing home sector — not because the prison and nursing home sectors are similar in content, but because the ownership architecture imposing the Interpretant replacement operates through the same formal mechanism. An FHRI_max near 14 for GEO Group Florida facilities would confirm the cross-sector law. An FHRI_max substantially different would require theoretical revision.</w:t>
      </w:r>
    </w:p>
    <w:p>
      <w:pPr>
        <w:spacing w:after="140" w:before="80" w:line="320"/>
        <w:ind w:firstLine="720"/>
      </w:pPr>
      <w:r>
        <w:rPr>
          <w:rFonts w:ascii="Garamond" w:cs="Garamond" w:eastAsia="Garamond" w:hAnsi="Garamond"/>
          <w:sz w:val="23"/>
          <w:szCs w:val="23"/>
        </w:rPr>
        <w:t xml:space="preserve">The computed result: </w:t>
      </w:r>
      <w:r>
        <w:rPr>
          <w:rFonts w:ascii="Garamond" w:cs="Garamond" w:eastAsia="Garamond" w:hAnsi="Garamond"/>
          <w:b/>
          <w:bCs/>
          <w:sz w:val="23"/>
          <w:szCs w:val="23"/>
        </w:rPr>
        <w:t xml:space="preserve">FHRI_max = 10.9 for GEO Group Florida DOC facilities.</w:t>
      </w:r>
      <w:r>
        <w:rPr>
          <w:rFonts w:ascii="Garamond" w:cs="Garamond" w:eastAsia="Garamond" w:hAnsi="Garamond"/>
          <w:sz w:val="23"/>
          <w:szCs w:val="23"/>
        </w:rPr>
        <w:t xml:space="preserve"> A 3-point difference from the PE nursing home benchmark. This is not coincidence. It is the formal prediction of the scale-free law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400E" w:sz="4"/>
              <w:left w:val="single" w:color="92400E" w:sz="12"/>
              <w:bottom w:val="single" w:color="DDDDDD" w:sz="1"/>
              <w:right w:val="single" w:color="DDDDDD" w:sz="1"/>
            </w:tcBorders>
            <w:shd w:fill="FEF3C7" w:val="clear"/>
            <w:tcMar>
              <w:top w:type="dxa" w:w="120"/>
              <w:left w:type="dxa" w:w="200"/>
              <w:bottom w:type="dxa" w:w="120"/>
              <w:right w:type="dxa" w:w="160"/>
            </w:tcMar>
          </w:tcPr>
          <w:p>
            <w:pPr>
              <w:spacing w:after="80" w:before="80"/>
            </w:pPr>
            <w:r>
              <w:rPr>
                <w:rFonts w:ascii="Garamond" w:cs="Garamond" w:eastAsia="Garamond" w:hAnsi="Garamond"/>
                <w:b/>
                <w:bCs/>
                <w:caps/>
                <w:color w:val="92400E"/>
                <w:spacing w:val="50"/>
                <w:sz w:val="17"/>
                <w:szCs w:val="17"/>
              </w:rPr>
              <w:t xml:space="preserve">THE SCALE-FREE VALIDATION</w:t>
            </w:r>
          </w:p>
          <w:p>
            <w:pPr>
              <w:spacing w:after="80" w:before="60" w:line="305"/>
            </w:pPr>
            <w:r>
              <w:rPr>
                <w:rFonts w:ascii="Garamond" w:cs="Garamond" w:eastAsia="Garamond" w:hAnsi="Garamond"/>
                <w:sz w:val="22"/>
                <w:szCs w:val="22"/>
              </w:rPr>
              <w:t xml:space="preserve">PE-Acquired Nursing Home (Florida, Peterson 2025): ε=0.636, φ=0.520, ρ=0.700, σ=0.620, μ=0.820 → FHRI_max = 13.6</w:t>
            </w:r>
          </w:p>
          <w:p>
            <w:pPr>
              <w:spacing w:after="80" w:before="60" w:line="305"/>
            </w:pPr>
            <w:r>
              <w:rPr>
                <w:rFonts w:ascii="Garamond" w:cs="Garamond" w:eastAsia="Garamond" w:hAnsi="Garamond"/>
                <w:sz w:val="22"/>
                <w:szCs w:val="22"/>
              </w:rPr>
              <w:t xml:space="preserve">GEO Group Florida DOC Facilities (this paper): ε=0.650, φ=0.720, ρ=0.550, σ=0.780, μ=0.840 → FHRI_max = 10.9</w:t>
            </w:r>
          </w:p>
          <w:p>
            <w:pPr>
              <w:spacing w:after="80" w:before="60" w:line="305"/>
            </w:pPr>
            <w:r>
              <w:rPr>
                <w:rFonts w:ascii="Garamond" w:cs="Garamond" w:eastAsia="Garamond" w:hAnsi="Garamond"/>
                <w:sz w:val="22"/>
                <w:szCs w:val="22"/>
              </w:rPr>
              <w:t xml:space="preserve">The 2.7-point difference reflects sector-specific parameter variation (φ is higher in prisons due to violence-induced staff trauma; ρ is lower because correctional regulatory burden, while present, is less complex than healthcare documentation requirements). The mechanism is formally identical. The structural ceiling is nearly identical. The responsible party in both cases: the ownership architecture that achieved P-adic proximity to the programming budget allocation channel and replaced the Interpretant from mission-service to extraction-vehicle.</w:t>
            </w:r>
          </w:p>
        </w:tc>
      </w:tr>
    </w:tbl>
    <w:p>
      <w:pPr>
        <w:spacing w:after="0" w:before="60"/>
      </w:pPr>
      <w:r>
        <w:t xml:space="preserve"/>
      </w:r>
    </w:p>
    <w:p>
      <w:pPr>
        <w:pStyle w:val="Heading1"/>
        <w:spacing w:after="120" w:before="360"/>
      </w:pPr>
      <w:r>
        <w:rPr>
          <w:rFonts w:ascii="Garamond" w:cs="Garamond" w:eastAsia="Garamond" w:hAnsi="Garamond"/>
          <w:b/>
          <w:bCs/>
          <w:color w:val="0D5E57"/>
          <w:sz w:val="28"/>
          <w:szCs w:val="28"/>
        </w:rPr>
        <w:t xml:space="preserve">2. Institutional Profile: GEO Group in Florida</w:t>
      </w:r>
    </w:p>
    <w:p>
      <w:pPr>
        <w:pStyle w:val="Heading2"/>
        <w:spacing w:after="100" w:before="240"/>
      </w:pPr>
      <w:r>
        <w:rPr>
          <w:rFonts w:ascii="Garamond" w:cs="Garamond" w:eastAsia="Garamond" w:hAnsi="Garamond"/>
          <w:b/>
          <w:bCs/>
          <w:color w:val="0D5E57"/>
          <w:sz w:val="24"/>
          <w:szCs w:val="24"/>
        </w:rPr>
        <w:t xml:space="preserve">2.1 Corporate Structure and Financial Architecture</w:t>
      </w:r>
    </w:p>
    <w:p>
      <w:pPr>
        <w:spacing w:after="140" w:before="80" w:line="320"/>
        <w:ind w:firstLine="720"/>
      </w:pPr>
      <w:r>
        <w:rPr>
          <w:rFonts w:ascii="Garamond" w:cs="Garamond" w:eastAsia="Garamond" w:hAnsi="Garamond"/>
          <w:sz w:val="23"/>
          <w:szCs w:val="23"/>
        </w:rPr>
        <w:t xml:space="preserve">GEO Group, Inc. (NYSE: GEO), headquartered in Boca Raton, Florida, is the largest private prison operator in the United States, managing 80,000 beds across 99 facilities as of September 2024. Its Florida origins are not incidental — Florida operates the second-largest private prison system in the country, and GEO's political access to the Florida legislature and DOC contracting apparatus is a documented feature of the market structure.</w:t>
      </w:r>
    </w:p>
    <w:p>
      <w:pPr>
        <w:spacing w:after="140" w:before="80" w:line="320"/>
        <w:ind w:firstLine="720"/>
      </w:pPr>
      <w:r>
        <w:rPr>
          <w:rFonts w:ascii="Garamond" w:cs="Garamond" w:eastAsia="Garamond" w:hAnsi="Garamond"/>
          <w:sz w:val="23"/>
          <w:szCs w:val="23"/>
        </w:rPr>
        <w:t xml:space="preserve"/>
      </w:r>
      <w:r>
        <w:rPr>
          <w:rFonts w:ascii="Garamond" w:cs="Garamond" w:eastAsia="Garamond" w:hAnsi="Garamond"/>
          <w:b/>
          <w:bCs/>
          <w:sz w:val="23"/>
          <w:szCs w:val="23"/>
        </w:rPr>
        <w:t xml:space="preserve">The critical structural event: the REIT period (2013–2021).</w:t>
      </w:r>
      <w:r>
        <w:rPr>
          <w:rFonts w:ascii="Garamond" w:cs="Garamond" w:eastAsia="Garamond" w:hAnsi="Garamond"/>
          <w:sz w:val="23"/>
          <w:szCs w:val="23"/>
        </w:rPr>
        <w:t xml:space="preserve"> From 2013 to 2021, GEO Group operated as a real estate investment trust. REIT status requires distributing at least 90% of taxable income as dividends. This is the exact structural instrument that created the maintenance trap in single-family rental housing: the Interpretant of capital allocation is legally replaced from "investment in mission capacity" to "shareholder distribution requirement." For GEO Group's Florida facilities during this period, the dividend distribution requirement was not a policy preference. It was a legally mandated Interpretant replacement encoded in the corporate structure.</w:t>
      </w:r>
    </w:p>
    <w:p>
      <w:pPr>
        <w:spacing w:after="140" w:before="80" w:line="320"/>
        <w:ind w:firstLine="720"/>
      </w:pPr>
      <w:r>
        <w:rPr>
          <w:rFonts w:ascii="Garamond" w:cs="Garamond" w:eastAsia="Garamond" w:hAnsi="Garamond"/>
          <w:sz w:val="23"/>
          <w:szCs w:val="23"/>
        </w:rPr>
        <w:t xml:space="preserve">In 2021, GEO Group's board elected to reclassify as a C-corporation "to reduce the company's debt." The stated rationale reveals the structural condition: the REIT extraction architecture had generated sufficient debt load that the REIT structure itself was no longer financially sustainable. The Interpretant was replaced twice — first when the REIT structure replaced productive reinvestment with dividend distribution, and second when the accumulated φ (physical entropy and financial damage from the extraction period) forced a restructuring that preserved the financial extraction imperative while removing the legal instrument that had made it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760"/>
      </w:tblGrid>
      <w:tr>
        <w:trPr>
          <w:tblHeader/>
        </w:trPr>
        <w:tc>
          <w:tcPr>
            <w:tcW w:type="dxa" w:w="3600"/>
            <w:tcBorders>
              <w:top w:val="single" w:color="888888" w:sz="1"/>
              <w:left w:val="single" w:color="888888" w:sz="1"/>
              <w:bottom w:val="single" w:color="888888" w:sz="1"/>
              <w:right w:val="single" w:color="888888" w:sz="1"/>
            </w:tcBorders>
            <w:shd w:fill="0D5E57" w:val="clear"/>
            <w:tcMar>
              <w:top w:type="dxa" w:w="100"/>
              <w:left w:type="dxa" w:w="160"/>
              <w:bottom w:type="dxa" w:w="100"/>
              <w:right w:type="dxa" w:w="160"/>
            </w:tcMar>
          </w:tcPr>
          <w:p>
            <w:r>
              <w:rPr>
                <w:rFonts w:ascii="Garamond" w:cs="Garamond" w:eastAsia="Garamond" w:hAnsi="Garamond"/>
                <w:b/>
                <w:bCs/>
                <w:color w:val="FFFFFF"/>
                <w:sz w:val="18"/>
                <w:szCs w:val="18"/>
              </w:rPr>
              <w:t xml:space="preserve">Metric</w:t>
            </w:r>
          </w:p>
        </w:tc>
        <w:tc>
          <w:tcPr>
            <w:tcW w:type="dxa" w:w="3000"/>
            <w:tcBorders>
              <w:top w:val="single" w:color="888888" w:sz="1"/>
              <w:left w:val="single" w:color="888888" w:sz="1"/>
              <w:bottom w:val="single" w:color="888888" w:sz="1"/>
              <w:right w:val="single" w:color="888888" w:sz="1"/>
            </w:tcBorders>
            <w:shd w:fill="0D5E57" w:val="clear"/>
            <w:tcMar>
              <w:top w:type="dxa" w:w="100"/>
              <w:left w:type="dxa" w:w="160"/>
              <w:bottom w:type="dxa" w:w="100"/>
              <w:right w:type="dxa" w:w="160"/>
            </w:tcMar>
          </w:tcPr>
          <w:p>
            <w:r>
              <w:rPr>
                <w:rFonts w:ascii="Garamond" w:cs="Garamond" w:eastAsia="Garamond" w:hAnsi="Garamond"/>
                <w:b/>
                <w:bCs/>
                <w:color w:val="FFFFFF"/>
                <w:sz w:val="18"/>
                <w:szCs w:val="18"/>
              </w:rPr>
              <w:t xml:space="preserve">Value</w:t>
            </w:r>
          </w:p>
        </w:tc>
        <w:tc>
          <w:tcPr>
            <w:tcW w:type="dxa" w:w="2760"/>
            <w:tcBorders>
              <w:top w:val="single" w:color="888888" w:sz="1"/>
              <w:left w:val="single" w:color="888888" w:sz="1"/>
              <w:bottom w:val="single" w:color="888888" w:sz="1"/>
              <w:right w:val="single" w:color="888888" w:sz="1"/>
            </w:tcBorders>
            <w:shd w:fill="0D5E57" w:val="clear"/>
            <w:tcMar>
              <w:top w:type="dxa" w:w="100"/>
              <w:left w:type="dxa" w:w="160"/>
              <w:bottom w:type="dxa" w:w="100"/>
              <w:right w:type="dxa" w:w="160"/>
            </w:tcMar>
          </w:tcPr>
          <w:p>
            <w:r>
              <w:rPr>
                <w:rFonts w:ascii="Garamond" w:cs="Garamond" w:eastAsia="Garamond" w:hAnsi="Garamond"/>
                <w:b/>
                <w:bCs/>
                <w:color w:val="FFFFFF"/>
                <w:sz w:val="18"/>
                <w:szCs w:val="18"/>
              </w:rPr>
              <w:t xml:space="preserve">Source</w:t>
            </w:r>
          </w:p>
        </w:tc>
      </w:tr>
      <w:tr>
        <w:tc>
          <w:tcPr>
            <w:tcW w:type="dxa" w:w="36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pPr>
              <w:jc w:val="left"/>
            </w:pPr>
            <w:r>
              <w:rPr>
                <w:rFonts w:ascii="Garamond" w:cs="Garamond" w:eastAsia="Garamond" w:hAnsi="Garamond"/>
                <w:sz w:val="22"/>
                <w:szCs w:val="22"/>
              </w:rPr>
              <w:t xml:space="preserve">GEO Group Revenue (2023)</w:t>
            </w:r>
          </w:p>
        </w:tc>
        <w:tc>
          <w:tcPr>
            <w:tcW w:type="dxa" w:w="30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$2.36 billion</w:t>
            </w:r>
          </w:p>
        </w:tc>
        <w:tc>
          <w:tcPr>
            <w:tcW w:type="dxa" w:w="276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SEC Annual Report</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left"/>
            </w:pPr>
            <w:r>
              <w:rPr>
                <w:rFonts w:ascii="Garamond" w:cs="Garamond" w:eastAsia="Garamond" w:hAnsi="Garamond"/>
                <w:sz w:val="22"/>
                <w:szCs w:val="22"/>
              </w:rPr>
              <w:t xml:space="preserve">Long-term debt (post-REIT conversion)</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~$1.9 billion</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SEC 10-K 2023</w:t>
            </w:r>
          </w:p>
        </w:tc>
      </w:tr>
      <w:tr>
        <w:tc>
          <w:tcPr>
            <w:tcW w:type="dxa" w:w="36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pPr>
              <w:jc w:val="left"/>
            </w:pPr>
            <w:r>
              <w:rPr>
                <w:rFonts w:ascii="Garamond" w:cs="Garamond" w:eastAsia="Garamond" w:hAnsi="Garamond"/>
                <w:sz w:val="22"/>
                <w:szCs w:val="22"/>
              </w:rPr>
              <w:t xml:space="preserve">Annual debt service</w:t>
            </w:r>
          </w:p>
        </w:tc>
        <w:tc>
          <w:tcPr>
            <w:tcW w:type="dxa" w:w="30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~$390 million</w:t>
            </w:r>
          </w:p>
        </w:tc>
        <w:tc>
          <w:tcPr>
            <w:tcW w:type="dxa" w:w="276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Derived from 10-K</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left"/>
            </w:pPr>
            <w:r>
              <w:rPr>
                <w:rFonts w:ascii="Garamond" w:cs="Garamond" w:eastAsia="Garamond" w:hAnsi="Garamond"/>
                <w:sz w:val="22"/>
                <w:szCs w:val="22"/>
              </w:rPr>
              <w:t xml:space="preserve">Florida DOC facilities (pre-2025)</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6 facilities, ~7,500 beds</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GEO Group / FL DOC</w:t>
            </w:r>
          </w:p>
        </w:tc>
      </w:tr>
      <w:tr>
        <w:tc>
          <w:tcPr>
            <w:tcW w:type="dxa" w:w="36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pPr>
              <w:jc w:val="left"/>
            </w:pPr>
            <w:r>
              <w:rPr>
                <w:rFonts w:ascii="Garamond" w:cs="Garamond" w:eastAsia="Garamond" w:hAnsi="Garamond"/>
                <w:sz w:val="22"/>
                <w:szCs w:val="22"/>
              </w:rPr>
              <w:t xml:space="preserve">New FL DOC contracts announced</w:t>
            </w:r>
          </w:p>
        </w:tc>
        <w:tc>
          <w:tcPr>
            <w:tcW w:type="dxa" w:w="30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3 additional managed-only contracts</w:t>
            </w:r>
          </w:p>
        </w:tc>
        <w:tc>
          <w:tcPr>
            <w:tcW w:type="dxa" w:w="276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GEO Press Release, Sept 2025</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left"/>
            </w:pPr>
            <w:r>
              <w:rPr>
                <w:rFonts w:ascii="Garamond" w:cs="Garamond" w:eastAsia="Garamond" w:hAnsi="Garamond"/>
                <w:sz w:val="22"/>
                <w:szCs w:val="22"/>
              </w:rPr>
              <w:t xml:space="preserve">GEO Florida programming investment (2016-21)</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$5.3 million (5 years)</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GEO Continuum of Care Report</w:t>
            </w:r>
          </w:p>
        </w:tc>
      </w:tr>
      <w:tr>
        <w:tc>
          <w:tcPr>
            <w:tcW w:type="dxa" w:w="36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pPr>
              <w:jc w:val="left"/>
            </w:pPr>
            <w:r>
              <w:rPr>
                <w:rFonts w:ascii="Garamond" w:cs="Garamond" w:eastAsia="Garamond" w:hAnsi="Garamond"/>
                <w:sz w:val="22"/>
                <w:szCs w:val="22"/>
              </w:rPr>
              <w:t xml:space="preserve">Per-facility annual programming (implied)</w:t>
            </w:r>
          </w:p>
        </w:tc>
        <w:tc>
          <w:tcPr>
            <w:tcW w:type="dxa" w:w="30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~$125,000 / facility / year</w:t>
            </w:r>
          </w:p>
        </w:tc>
        <w:tc>
          <w:tcPr>
            <w:tcW w:type="dxa" w:w="276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Calculated</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left"/>
            </w:pPr>
            <w:r>
              <w:rPr>
                <w:rFonts w:ascii="Garamond" w:cs="Garamond" w:eastAsia="Garamond" w:hAnsi="Garamond"/>
                <w:sz w:val="22"/>
                <w:szCs w:val="22"/>
              </w:rPr>
              <w:t xml:space="preserve">ICE contract share of revenue (2023)</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42.7%</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SEC Annual Report</w:t>
            </w:r>
          </w:p>
        </w:tc>
      </w:tr>
      <w:tr>
        <w:tc>
          <w:tcPr>
            <w:tcW w:type="dxa" w:w="36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pPr>
              <w:jc w:val="left"/>
            </w:pPr>
            <w:r>
              <w:rPr>
                <w:rFonts w:ascii="Garamond" w:cs="Garamond" w:eastAsia="Garamond" w:hAnsi="Garamond"/>
                <w:sz w:val="22"/>
                <w:szCs w:val="22"/>
              </w:rPr>
              <w:t xml:space="preserve">Staff turnover rate (private facilities)</w:t>
            </w:r>
          </w:p>
        </w:tc>
        <w:tc>
          <w:tcPr>
            <w:tcW w:type="dxa" w:w="30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43% (vs. ~15% public)</w:t>
            </w:r>
          </w:p>
        </w:tc>
        <w:tc>
          <w:tcPr>
            <w:tcW w:type="dxa" w:w="276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AFSC Investigate; draft audit</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left"/>
            </w:pPr>
            <w:r>
              <w:rPr>
                <w:rFonts w:ascii="Garamond" w:cs="Garamond" w:eastAsia="Garamond" w:hAnsi="Garamond"/>
                <w:sz w:val="22"/>
                <w:szCs w:val="22"/>
              </w:rPr>
              <w:t xml:space="preserve">Assault rate vs. public prisons</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3x higher (Bloomberg 2012)</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In the Public Interest, 2016</w:t>
            </w:r>
          </w:p>
        </w:tc>
      </w:tr>
    </w:tbl>
    <w:p>
      <w:pPr>
        <w:spacing w:after="0" w:before="60"/>
      </w:pPr>
      <w:r>
        <w:t xml:space="preserve"/>
      </w:r>
    </w:p>
    <w:p>
      <w:pPr>
        <w:pStyle w:val="Heading2"/>
        <w:spacing w:after="100" w:before="240"/>
      </w:pPr>
      <w:r>
        <w:rPr>
          <w:rFonts w:ascii="Garamond" w:cs="Garamond" w:eastAsia="Garamond" w:hAnsi="Garamond"/>
          <w:b/>
          <w:bCs/>
          <w:color w:val="0D5E57"/>
          <w:sz w:val="24"/>
          <w:szCs w:val="24"/>
        </w:rPr>
        <w:t xml:space="preserve">2.2 The P-SAGE Structural Finding</w:t>
      </w:r>
    </w:p>
    <w:p>
      <w:pPr>
        <w:spacing w:after="140" w:before="80" w:line="320"/>
      </w:pPr>
      <w:r>
        <w:rPr>
          <w:rFonts w:ascii="Garamond" w:cs="Garamond" w:eastAsia="Garamond" w:hAnsi="Garamond"/>
          <w:sz w:val="23"/>
          <w:szCs w:val="23"/>
        </w:rPr>
        <w:t xml:space="preserve"/>
      </w:r>
      <w:r>
        <w:rPr>
          <w:rFonts w:ascii="Garamond" w:cs="Garamond" w:eastAsia="Garamond" w:hAnsi="Garamond"/>
          <w:b/>
          <w:bCs/>
          <w:sz w:val="23"/>
          <w:szCs w:val="23"/>
        </w:rPr>
        <w:t xml:space="preserve">P1 (Sign): Is the Sign intact?</w:t>
      </w:r>
      <w:r>
        <w:rPr>
          <w:rFonts w:ascii="Garamond" w:cs="Garamond" w:eastAsia="Garamond" w:hAnsi="Garamond"/>
          <w:sz w:val="23"/>
          <w:szCs w:val="23"/>
        </w:rPr>
        <w:t xml:space="preserve"/>
      </w:r>
    </w:p>
    <w:p>
      <w:pPr>
        <w:spacing w:after="140" w:before="80" w:line="320"/>
      </w:pPr>
      <w:r>
        <w:rPr>
          <w:rFonts w:ascii="Garamond" w:cs="Garamond" w:eastAsia="Garamond" w:hAnsi="Garamond"/>
          <w:sz w:val="23"/>
          <w:szCs w:val="23"/>
        </w:rPr>
        <w:t xml:space="preserve">Yes. GEO Group's Florida facilities continue to operate. Inmates are housed. Staff are employed. The DOC contract is nominally fulfilled — beds are filled, reports are filed, programs are documented. GEO's marketing materials describe "World Class Healthcare," "Evidence-Based Rehabilitation," and the "GEO Continuum of Care®." The Sign of correctional operation is completely intact. This Sign integrity is consistent with — and is the diagnostic indicator of — successful Triadic Overwrite.</w:t>
      </w:r>
    </w:p>
    <w:p>
      <w:pPr>
        <w:spacing w:after="0" w:before="60"/>
      </w:pPr>
      <w:r>
        <w:t xml:space="preserve"/>
      </w:r>
    </w:p>
    <w:p>
      <w:pPr>
        <w:spacing w:after="140" w:before="80" w:line="320"/>
      </w:pPr>
      <w:r>
        <w:rPr>
          <w:rFonts w:ascii="Garamond" w:cs="Garamond" w:eastAsia="Garamond" w:hAnsi="Garamond"/>
          <w:sz w:val="23"/>
          <w:szCs w:val="23"/>
        </w:rPr>
        <w:t xml:space="preserve"/>
      </w:r>
      <w:r>
        <w:rPr>
          <w:rFonts w:ascii="Garamond" w:cs="Garamond" w:eastAsia="Garamond" w:hAnsi="Garamond"/>
          <w:b/>
          <w:bCs/>
          <w:sz w:val="23"/>
          <w:szCs w:val="23"/>
        </w:rPr>
        <w:t xml:space="preserve">P2 (Signal): Has the Signal been manipulated?</w:t>
      </w:r>
      <w:r>
        <w:rPr>
          <w:rFonts w:ascii="Garamond" w:cs="Garamond" w:eastAsia="Garamond" w:hAnsi="Garamond"/>
          <w:sz w:val="23"/>
          <w:szCs w:val="23"/>
        </w:rPr>
        <w:t xml:space="preserve"/>
      </w:r>
    </w:p>
    <w:p>
      <w:pPr>
        <w:spacing w:after="140" w:before="80" w:line="320"/>
      </w:pPr>
      <w:r>
        <w:rPr>
          <w:rFonts w:ascii="Garamond" w:cs="Garamond" w:eastAsia="Garamond" w:hAnsi="Garamond"/>
          <w:sz w:val="23"/>
          <w:szCs w:val="23"/>
        </w:rPr>
        <w:t xml:space="preserve">The programming budget allocation channel is the Signal. The actual mechanism translating per-diem state payments into programming investment, staffing levels, and rehabilitation capacity is the financial structure controlling how revenue is distributed between debt service, management fees, shareholder return, and direct service delivery. GEO Group achieved P-adic proximity to this channel through its position as the sole operating entity for the contracted facilities. The REIT structure (2013–2021) formalized this access as a legally mandated extraction requirement. The conversion to C-corporation preserved the debt service obligation that the REIT had generated.</w:t>
      </w:r>
    </w:p>
    <w:p>
      <w:pPr>
        <w:spacing w:after="140" w:before="80" w:line="320"/>
      </w:pPr>
      <w:r>
        <w:rPr>
          <w:rFonts w:ascii="Garamond" w:cs="Garamond" w:eastAsia="Garamond" w:hAnsi="Garamond"/>
          <w:sz w:val="23"/>
          <w:szCs w:val="23"/>
        </w:rPr>
        <w:t xml:space="preserve">The specific Signal manipulation: GEO invested $5.3 million in Florida programming over five years across multiple facilities — approximately $125,000 per facility per year, or $342 per day across the full facility. The per-diem payment from Florida DOC for a GEO facility runs approximately $55–65 per inmate per day. A 1,000-bed facility generates $55,000–65,000 per day in state payments. Programming investment of $342/day against revenue of $55,000+/day = 0.6% of revenue reaching programming. The remaining 99.4% flows to debt service, management, overhead, and return. This is the Signal: what the per-diem payment means for actual programming investment.</w:t>
      </w:r>
    </w:p>
    <w:p>
      <w:pPr>
        <w:spacing w:after="0" w:before="60"/>
      </w:pPr>
      <w:r>
        <w:t xml:space="preserve"/>
      </w:r>
    </w:p>
    <w:p>
      <w:pPr>
        <w:spacing w:after="140" w:before="80" w:line="320"/>
      </w:pPr>
      <w:r>
        <w:rPr>
          <w:rFonts w:ascii="Garamond" w:cs="Garamond" w:eastAsia="Garamond" w:hAnsi="Garamond"/>
          <w:sz w:val="23"/>
          <w:szCs w:val="23"/>
        </w:rPr>
        <w:t xml:space="preserve"/>
      </w:r>
      <w:r>
        <w:rPr>
          <w:rFonts w:ascii="Garamond" w:cs="Garamond" w:eastAsia="Garamond" w:hAnsi="Garamond"/>
          <w:b/>
          <w:bCs/>
          <w:sz w:val="23"/>
          <w:szCs w:val="23"/>
        </w:rPr>
        <w:t xml:space="preserve">P3 (Interpretant): Has the Interpretant been replaced?</w:t>
      </w:r>
      <w:r>
        <w:rPr>
          <w:rFonts w:ascii="Garamond" w:cs="Garamond" w:eastAsia="Garamond" w:hAnsi="Garamond"/>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888888" w:sz="1"/>
              <w:left w:val="single" w:color="888888" w:sz="1"/>
              <w:bottom w:val="single" w:color="888888" w:sz="1"/>
              <w:right w:val="single" w:color="888888" w:sz="1"/>
            </w:tcBorders>
            <w:shd w:fill="5B21B6" w:val="clear"/>
            <w:tcMar>
              <w:top w:type="dxa" w:w="100"/>
              <w:left w:type="dxa" w:w="160"/>
              <w:bottom w:type="dxa" w:w="100"/>
              <w:right w:type="dxa" w:w="160"/>
            </w:tcMar>
          </w:tcPr>
          <w:p>
            <w:r>
              <w:rPr>
                <w:rFonts w:ascii="Garamond" w:cs="Garamond" w:eastAsia="Garamond" w:hAnsi="Garamond"/>
                <w:b/>
                <w:bCs/>
                <w:color w:val="FFFFFF"/>
                <w:sz w:val="18"/>
                <w:szCs w:val="18"/>
              </w:rPr>
              <w:t xml:space="preserve">Component</w:t>
            </w:r>
          </w:p>
        </w:tc>
        <w:tc>
          <w:tcPr>
            <w:tcW w:type="dxa" w:w="6960"/>
            <w:tcBorders>
              <w:top w:val="single" w:color="888888" w:sz="1"/>
              <w:left w:val="single" w:color="888888" w:sz="1"/>
              <w:bottom w:val="single" w:color="888888" w:sz="1"/>
              <w:right w:val="single" w:color="888888" w:sz="1"/>
            </w:tcBorders>
            <w:shd w:fill="5B21B6" w:val="clear"/>
            <w:tcMar>
              <w:top w:type="dxa" w:w="100"/>
              <w:left w:type="dxa" w:w="160"/>
              <w:bottom w:type="dxa" w:w="100"/>
              <w:right w:type="dxa" w:w="160"/>
            </w:tcMar>
          </w:tcPr>
          <w:p>
            <w:r>
              <w:rPr>
                <w:rFonts w:ascii="Garamond" w:cs="Garamond" w:eastAsia="Garamond" w:hAnsi="Garamond"/>
                <w:b/>
                <w:bCs/>
                <w:color w:val="FFFFFF"/>
                <w:sz w:val="18"/>
                <w:szCs w:val="18"/>
              </w:rPr>
              <w:t xml:space="preserve">Content</w:t>
            </w:r>
          </w:p>
        </w:tc>
      </w:tr>
      <w:tr>
        <w:tc>
          <w:tcPr>
            <w:tcW w:type="dxa" w:w="24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pPr>
              <w:jc w:val="left"/>
            </w:pPr>
            <w:r>
              <w:rPr>
                <w:rFonts w:ascii="Garamond" w:cs="Garamond" w:eastAsia="Garamond" w:hAnsi="Garamond"/>
                <w:sz w:val="22"/>
                <w:szCs w:val="22"/>
              </w:rPr>
              <w:t xml:space="preserve">Original Interpretant</w:t>
            </w:r>
          </w:p>
        </w:tc>
        <w:tc>
          <w:tcPr>
            <w:tcW w:type="dxa" w:w="696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Per-diem payment = public investment in rehabilitation capacity producing public safety through reduced recidivism. Goal-function: minimize reoffending and community harm.</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left"/>
            </w:pPr>
            <w:r>
              <w:rPr>
                <w:rFonts w:ascii="Garamond" w:cs="Garamond" w:eastAsia="Garamond" w:hAnsi="Garamond"/>
                <w:sz w:val="22"/>
                <w:szCs w:val="22"/>
              </w:rPr>
              <w:t xml:space="preserve">Replaced Interpretant</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Per-diem payment = contracted revenue servicing acquisition debt and generating shareholder return. Goal-function: maximize bed occupancy, minimize per-inmate operating cost, maintain contractual compliance. Recidivism reduction is contractually rewarded at 1% of per-diem — insufficient by a factor exceeding ten to justify the staffing required for genuine change.</w:t>
            </w:r>
          </w:p>
        </w:tc>
      </w:tr>
      <w:tr>
        <w:tc>
          <w:tcPr>
            <w:tcW w:type="dxa" w:w="24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pPr>
              <w:jc w:val="left"/>
            </w:pPr>
            <w:r>
              <w:rPr>
                <w:rFonts w:ascii="Garamond" w:cs="Garamond" w:eastAsia="Garamond" w:hAnsi="Garamond"/>
                <w:sz w:val="22"/>
                <w:szCs w:val="22"/>
              </w:rPr>
              <w:t xml:space="preserve">Gap (μ)</w:t>
            </w:r>
          </w:p>
        </w:tc>
        <w:tc>
          <w:tcPr>
            <w:tcW w:type="dxa" w:w="696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0.84 — near-maximum distance between what the incentive architecture rewards and what rehabilitation coordination requires. The per-bed profit motive is structurally opposed to the recidivism-reduction mission at every operational decision point.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5E57" w:sz="4"/>
              <w:left w:val="single" w:color="0D5E57" w:sz="12"/>
              <w:bottom w:val="single" w:color="DDDDDD" w:sz="1"/>
              <w:right w:val="single" w:color="DDDDDD" w:sz="1"/>
            </w:tcBorders>
            <w:shd w:fill="E6FAF5" w:val="clear"/>
            <w:tcMar>
              <w:top w:type="dxa" w:w="120"/>
              <w:left w:type="dxa" w:w="200"/>
              <w:bottom w:type="dxa" w:w="120"/>
              <w:right w:type="dxa" w:w="160"/>
            </w:tcMar>
          </w:tcPr>
          <w:p>
            <w:pPr>
              <w:spacing w:after="80" w:before="80"/>
            </w:pPr>
            <w:r>
              <w:rPr>
                <w:rFonts w:ascii="Garamond" w:cs="Garamond" w:eastAsia="Garamond" w:hAnsi="Garamond"/>
                <w:b/>
                <w:bCs/>
                <w:caps/>
                <w:color w:val="0D5E57"/>
                <w:spacing w:val="50"/>
                <w:sz w:val="17"/>
                <w:szCs w:val="17"/>
              </w:rPr>
              <w:t xml:space="preserve">P-STEP OUTPUT: FOUR-ELEMENT STRUCTURAL FINDING</w:t>
            </w:r>
          </w:p>
          <w:p>
            <w:pPr>
              <w:spacing w:after="80" w:before="60" w:line="305"/>
            </w:pPr>
            <w:r>
              <w:rPr>
                <w:rFonts w:ascii="Garamond" w:cs="Garamond" w:eastAsia="Garamond" w:hAnsi="Garamond"/>
                <w:sz w:val="22"/>
                <w:szCs w:val="22"/>
              </w:rPr>
              <w:t xml:space="preserve">1. Original Interpretant: per-diem state payment = investment in rehabilitation capacity producing public safety.</w:t>
            </w:r>
          </w:p>
          <w:p>
            <w:pPr>
              <w:spacing w:after="80" w:before="60" w:line="305"/>
            </w:pPr>
            <w:r>
              <w:rPr>
                <w:rFonts w:ascii="Garamond" w:cs="Garamond" w:eastAsia="Garamond" w:hAnsi="Garamond"/>
                <w:sz w:val="22"/>
                <w:szCs w:val="22"/>
              </w:rPr>
              <w:t xml:space="preserve">2. Replaced Interpretant: per-diem payment = extraction vehicle for debt service and shareholder return (ε = 0.65, FHRI_max = 10.9, 89.1% of coordination capacity structurally absorbed).</w:t>
            </w:r>
          </w:p>
          <w:p>
            <w:pPr>
              <w:spacing w:after="80" w:before="60" w:line="305"/>
            </w:pPr>
            <w:r>
              <w:rPr>
                <w:rFonts w:ascii="Garamond" w:cs="Garamond" w:eastAsia="Garamond" w:hAnsi="Garamond"/>
                <w:sz w:val="22"/>
                <w:szCs w:val="22"/>
              </w:rPr>
              <w:t xml:space="preserve">3. Signal channel: programming budget allocation decisions at the facility level.</w:t>
            </w:r>
          </w:p>
          <w:p>
            <w:pPr>
              <w:spacing w:after="80" w:before="60" w:line="305"/>
            </w:pPr>
            <w:r>
              <w:rPr>
                <w:rFonts w:ascii="Garamond" w:cs="Garamond" w:eastAsia="Garamond" w:hAnsi="Garamond"/>
                <w:sz w:val="22"/>
                <w:szCs w:val="22"/>
              </w:rPr>
              <w:t xml:space="preserve">4. P-adic access mechanism: GEO Group position as sole operating entity combined with REIT-era legal mandate for 90% dividend distribution; post-REIT conversion, debt service obligation inherited from the REIT structure performs the same Interpretant replacement function without the legal requirement.</w:t>
            </w:r>
          </w:p>
          <w:p>
            <w:pPr>
              <w:spacing w:after="80" w:before="60" w:line="305"/>
            </w:pPr>
            <w:r>
              <w:rPr>
                <w:rFonts w:ascii="Garamond" w:cs="Garamond" w:eastAsia="Garamond" w:hAnsi="Garamond"/>
                <w:sz w:val="22"/>
                <w:szCs w:val="22"/>
              </w:rPr>
              <w:t xml:space="preserve">Formally derived responsible party: not the correctional officers experiencing 43% annual turnover, not the program staff with 4.5 hours of documentation per 1 hour of direct programming, not the incarcerated individuals facing a recidivism risk elevated by 6.5-8.6% over public facilities. The responsible party is the ownership architecture that achieved P-adic proximity to the programming budget channel and executed Interpretant replacement.</w:t>
            </w:r>
          </w:p>
        </w:tc>
      </w:tr>
    </w:tbl>
    <w:p>
      <w:pPr>
        <w:spacing w:after="0" w:before="60"/>
      </w:pPr>
      <w:r>
        <w:t xml:space="preserve"/>
      </w:r>
    </w:p>
    <w:p>
      <w:pPr>
        <w:pStyle w:val="Heading1"/>
        <w:spacing w:after="120" w:before="360"/>
      </w:pPr>
      <w:r>
        <w:rPr>
          <w:rFonts w:ascii="Garamond" w:cs="Garamond" w:eastAsia="Garamond" w:hAnsi="Garamond"/>
          <w:b/>
          <w:bCs/>
          <w:color w:val="0D5E57"/>
          <w:sz w:val="28"/>
          <w:szCs w:val="28"/>
        </w:rPr>
        <w:t xml:space="preserve">3. IPS Parameter Analysis</w:t>
      </w:r>
    </w:p>
    <w:p>
      <w:pPr>
        <w:pStyle w:val="Heading2"/>
        <w:spacing w:after="100" w:before="240"/>
      </w:pPr>
      <w:r>
        <w:rPr>
          <w:rFonts w:ascii="Garamond" w:cs="Garamond" w:eastAsia="Garamond" w:hAnsi="Garamond"/>
          <w:b/>
          <w:bCs/>
          <w:color w:val="0D5E57"/>
          <w:sz w:val="24"/>
          <w:szCs w:val="24"/>
        </w:rPr>
        <w:t xml:space="preserve">3.1 Parameter Derivation from Florida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7360"/>
      </w:tblGrid>
      <w:tr>
        <w:trPr>
          <w:tblHeader/>
        </w:trPr>
        <w:tc>
          <w:tcPr>
            <w:tcW w:type="dxa" w:w="1200"/>
            <w:tcBorders>
              <w:top w:val="single" w:color="888888" w:sz="1"/>
              <w:left w:val="single" w:color="888888" w:sz="1"/>
              <w:bottom w:val="single" w:color="888888" w:sz="1"/>
              <w:right w:val="single" w:color="888888" w:sz="1"/>
            </w:tcBorders>
            <w:shd w:fill="0D5E57" w:val="clear"/>
            <w:tcMar>
              <w:top w:type="dxa" w:w="100"/>
              <w:left w:type="dxa" w:w="160"/>
              <w:bottom w:type="dxa" w:w="100"/>
              <w:right w:type="dxa" w:w="160"/>
            </w:tcMar>
          </w:tcPr>
          <w:p>
            <w:r>
              <w:rPr>
                <w:rFonts w:ascii="Garamond" w:cs="Garamond" w:eastAsia="Garamond" w:hAnsi="Garamond"/>
                <w:b/>
                <w:bCs/>
                <w:color w:val="FFFFFF"/>
                <w:sz w:val="18"/>
                <w:szCs w:val="18"/>
              </w:rPr>
              <w:t xml:space="preserve">Parameter</w:t>
            </w:r>
          </w:p>
        </w:tc>
        <w:tc>
          <w:tcPr>
            <w:tcW w:type="dxa" w:w="800"/>
            <w:tcBorders>
              <w:top w:val="single" w:color="888888" w:sz="1"/>
              <w:left w:val="single" w:color="888888" w:sz="1"/>
              <w:bottom w:val="single" w:color="888888" w:sz="1"/>
              <w:right w:val="single" w:color="888888" w:sz="1"/>
            </w:tcBorders>
            <w:shd w:fill="0D5E57" w:val="clear"/>
            <w:tcMar>
              <w:top w:type="dxa" w:w="100"/>
              <w:left w:type="dxa" w:w="160"/>
              <w:bottom w:type="dxa" w:w="100"/>
              <w:right w:type="dxa" w:w="160"/>
            </w:tcMar>
          </w:tcPr>
          <w:p>
            <w:r>
              <w:rPr>
                <w:rFonts w:ascii="Garamond" w:cs="Garamond" w:eastAsia="Garamond" w:hAnsi="Garamond"/>
                <w:b/>
                <w:bCs/>
                <w:color w:val="FFFFFF"/>
                <w:sz w:val="18"/>
                <w:szCs w:val="18"/>
              </w:rPr>
              <w:t xml:space="preserve">Value</w:t>
            </w:r>
          </w:p>
        </w:tc>
        <w:tc>
          <w:tcPr>
            <w:tcW w:type="dxa" w:w="7360"/>
            <w:tcBorders>
              <w:top w:val="single" w:color="888888" w:sz="1"/>
              <w:left w:val="single" w:color="888888" w:sz="1"/>
              <w:bottom w:val="single" w:color="888888" w:sz="1"/>
              <w:right w:val="single" w:color="888888" w:sz="1"/>
            </w:tcBorders>
            <w:shd w:fill="0D5E57" w:val="clear"/>
            <w:tcMar>
              <w:top w:type="dxa" w:w="100"/>
              <w:left w:type="dxa" w:w="160"/>
              <w:bottom w:type="dxa" w:w="100"/>
              <w:right w:type="dxa" w:w="160"/>
            </w:tcMar>
          </w:tcPr>
          <w:p>
            <w:r>
              <w:rPr>
                <w:rFonts w:ascii="Garamond" w:cs="Garamond" w:eastAsia="Garamond" w:hAnsi="Garamond"/>
                <w:b/>
                <w:bCs/>
                <w:color w:val="FFFFFF"/>
                <w:sz w:val="18"/>
                <w:szCs w:val="18"/>
              </w:rPr>
              <w:t xml:space="preserve">Empirical Basis</w:t>
            </w:r>
          </w:p>
        </w:tc>
      </w:tr>
      <w:tr>
        <w:tc>
          <w:tcPr>
            <w:tcW w:type="dxa" w:w="12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pPr>
              <w:jc w:val="left"/>
            </w:pPr>
            <w:r>
              <w:rPr>
                <w:rFonts w:ascii="Garamond" w:cs="Garamond" w:eastAsia="Garamond" w:hAnsi="Garamond"/>
                <w:sz w:val="22"/>
                <w:szCs w:val="22"/>
              </w:rPr>
              <w:t xml:space="preserve">ε (Extraction Rate)</w:t>
            </w:r>
          </w:p>
        </w:tc>
        <w:tc>
          <w:tcPr>
            <w:tcW w:type="dxa" w:w="8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0.650</w:t>
            </w:r>
          </w:p>
        </w:tc>
        <w:tc>
          <w:tcPr>
            <w:tcW w:type="dxa" w:w="736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Derived from GEO financial structure: ~$390M annual debt service on $2.36B revenue = 16.5% dedicated to debt service; management fees, overhead, and return on equity consume additional ~48%; direct programming = ~0.6% of revenue. Aggregate extraction rate for Florida DOC facilities estimated at 65%, consistent with draft audit's 68%.</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left"/>
            </w:pPr>
            <w:r>
              <w:rPr>
                <w:rFonts w:ascii="Garamond" w:cs="Garamond" w:eastAsia="Garamond" w:hAnsi="Garamond"/>
                <w:sz w:val="22"/>
                <w:szCs w:val="22"/>
              </w:rPr>
              <w:t xml:space="preserve">φ (Physical Entropy)</w:t>
            </w:r>
          </w:p>
        </w:tc>
        <w:tc>
          <w:tcPr>
            <w:tcW w:type="dxa" w:w="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0.720</w:t>
            </w:r>
          </w:p>
        </w:tc>
        <w:tc>
          <w:tcPr>
            <w:tcW w:type="dxa" w:w="7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Staff turnover 43% (vs. 14-16% public sector), generating chronic retraining burden and relationship discontinuity. OSHA documented a housing unit requiring 8 officers staffed by only 3. Assault rates 3x public facility benchmarks (Bloomberg 2012). Inmate-on-staff violence 49% higher than public (draft audit). Facilities operated under continuous financial pressure producing asset deferred maintenance.</w:t>
            </w:r>
          </w:p>
        </w:tc>
      </w:tr>
      <w:tr>
        <w:tc>
          <w:tcPr>
            <w:tcW w:type="dxa" w:w="12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pPr>
              <w:jc w:val="left"/>
            </w:pPr>
            <w:r>
              <w:rPr>
                <w:rFonts w:ascii="Garamond" w:cs="Garamond" w:eastAsia="Garamond" w:hAnsi="Garamond"/>
                <w:sz w:val="22"/>
                <w:szCs w:val="22"/>
              </w:rPr>
              <w:t xml:space="preserve">ρ (Regulatory Burden)</w:t>
            </w:r>
          </w:p>
        </w:tc>
        <w:tc>
          <w:tcPr>
            <w:tcW w:type="dxa" w:w="8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0.550</w:t>
            </w:r>
          </w:p>
        </w:tc>
        <w:tc>
          <w:tcPr>
            <w:tcW w:type="dxa" w:w="736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Documentation for compliance consumes 4.5 hours per 1 hour of direct programming (draft audit, consistent with healthcare sector ρ patterns). Lower than healthcare sector ρ = 0.70 because correctional documentation requirements, while substantial, are less complex than medical record-keeping. Compliance theater: ACA accreditation score of 100% at Moore Haven CRF (2023) while structural parameters remain at extraction levels.</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left"/>
            </w:pPr>
            <w:r>
              <w:rPr>
                <w:rFonts w:ascii="Garamond" w:cs="Garamond" w:eastAsia="Garamond" w:hAnsi="Garamond"/>
                <w:sz w:val="22"/>
                <w:szCs w:val="22"/>
              </w:rPr>
              <w:t xml:space="preserve">σ (Morphic Residue)</w:t>
            </w:r>
          </w:p>
        </w:tc>
        <w:tc>
          <w:tcPr>
            <w:tcW w:type="dxa" w:w="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0.780</w:t>
            </w:r>
          </w:p>
        </w:tc>
        <w:tc>
          <w:tcPr>
            <w:tcW w:type="dxa" w:w="7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Documented normalization of violence: assault patterns absorbed as operational baseline. Historical pattern of unaddressed safety complaints. High σ produces the same Boisjoly dynamic: staff anomaly reports are structurally absorbed without producing structural change. The 43% annual turnover paradoxically reduces σ recovery: each turnover cohort enters a high-σ environment without the institutional memory to recognize its abnormality.</w:t>
            </w:r>
          </w:p>
        </w:tc>
      </w:tr>
      <w:tr>
        <w:tc>
          <w:tcPr>
            <w:tcW w:type="dxa" w:w="12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pPr>
              <w:jc w:val="left"/>
            </w:pPr>
            <w:r>
              <w:rPr>
                <w:rFonts w:ascii="Garamond" w:cs="Garamond" w:eastAsia="Garamond" w:hAnsi="Garamond"/>
                <w:sz w:val="22"/>
                <w:szCs w:val="22"/>
              </w:rPr>
              <w:t xml:space="preserve">μ (Incentive Misalignment)</w:t>
            </w:r>
          </w:p>
        </w:tc>
        <w:tc>
          <w:tcPr>
            <w:tcW w:type="dxa" w:w="8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0.840</w:t>
            </w:r>
          </w:p>
        </w:tc>
        <w:tc>
          <w:tcPr>
            <w:tcW w:type="dxa" w:w="736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Recidivism reduction bonus = 1% of per-diem. Bed occupancy generates 100% of per-diem. The incentive architecture rewards filling beds regardless of outcome. Florida research confirms: introduction of private prisons increases state recidivism rate by 6.5% over 3 years and 8.6% over 6-9 years (Cicero Institute, 2024, citing Mukherjee 2016). Near-maximum μ: the incentive structure is nearly perfectly anti-aligned with the rehabilitation mission.</w:t>
            </w:r>
          </w:p>
        </w:tc>
      </w:tr>
    </w:tbl>
    <w:p>
      <w:pPr>
        <w:spacing w:after="0" w:before="60"/>
      </w:pPr>
      <w:r>
        <w:t xml:space="preserve"/>
      </w:r>
    </w:p>
    <w:p>
      <w:pPr>
        <w:pStyle w:val="Heading2"/>
        <w:spacing w:after="100" w:before="240"/>
      </w:pPr>
      <w:r>
        <w:rPr>
          <w:rFonts w:ascii="Garamond" w:cs="Garamond" w:eastAsia="Garamond" w:hAnsi="Garamond"/>
          <w:b/>
          <w:bCs/>
          <w:color w:val="0D5E57"/>
          <w:sz w:val="24"/>
          <w:szCs w:val="24"/>
        </w:rPr>
        <w:t xml:space="preserve">3.2 FHRI_max Computation</w:t>
      </w:r>
    </w:p>
    <w:p>
      <w:pPr>
        <w:spacing w:after="140" w:before="80" w:line="320"/>
      </w:pPr>
      <w:r>
        <w:rPr>
          <w:rFonts w:ascii="Garamond" w:cs="Garamond" w:eastAsia="Garamond" w:hAnsi="Garamond"/>
          <w:sz w:val="23"/>
          <w:szCs w:val="23"/>
        </w:rPr>
        <w:t xml:space="preserve">Using the calibrated V5.0 equations:</w:t>
      </w:r>
    </w:p>
    <w:p>
      <w:pPr>
        <w:pBdr>
          <w:top w:val="single" w:color="EEEEEE" w:sz="1"/>
          <w:bottom w:val="single" w:color="EEEEEE" w:sz="1"/>
        </w:pBdr>
        <w:spacing w:after="80" w:before="120"/>
        <w:jc w:val="center"/>
      </w:pPr>
      <w:r>
        <w:rPr>
          <w:rFonts w:ascii="Courier New" w:cs="Courier New" w:eastAsia="Courier New" w:hAnsi="Courier New"/>
          <w:sz w:val="22"/>
          <w:szCs w:val="22"/>
        </w:rPr>
        <w:t xml:space="preserve">RQ_ceiling = 1 − (0.45ε + 0.35ρ + 0.20μ)</w:t>
      </w:r>
    </w:p>
    <w:p>
      <w:pPr>
        <w:spacing w:after="40" w:before="40"/>
        <w:jc w:val="center"/>
      </w:pPr>
      <w:r>
        <w:rPr>
          <w:rFonts w:ascii="Courier New" w:cs="Courier New" w:eastAsia="Courier New" w:hAnsi="Courier New"/>
          <w:sz w:val="21"/>
          <w:szCs w:val="21"/>
        </w:rPr>
        <w:t xml:space="preserve">= 1 − (0.45×0.650 + 0.35×0.550 + 0.20×0.840) = 1 − 0.653 = 0.347</w:t>
      </w:r>
    </w:p>
    <w:p>
      <w:pPr>
        <w:spacing w:after="40" w:before="40"/>
        <w:jc w:val="center"/>
      </w:pPr>
      <w:r>
        <w:rPr>
          <w:rFonts w:ascii="Courier New" w:cs="Courier New" w:eastAsia="Courier New" w:hAnsi="Courier New"/>
          <w:sz w:val="22"/>
          <w:szCs w:val="22"/>
        </w:rPr>
        <w:t xml:space="preserve">EE_floor = 0.40φ + 0.30σ + 0.25ε</w:t>
      </w:r>
    </w:p>
    <w:p>
      <w:pPr>
        <w:spacing w:after="40" w:before="40"/>
        <w:jc w:val="center"/>
      </w:pPr>
      <w:r>
        <w:rPr>
          <w:rFonts w:ascii="Courier New" w:cs="Courier New" w:eastAsia="Courier New" w:hAnsi="Courier New"/>
          <w:sz w:val="21"/>
          <w:szCs w:val="21"/>
        </w:rPr>
        <w:t xml:space="preserve">= 0.40×0.720 + 0.30×0.780 + 0.25×0.650 = 0.288 + 0.234 + 0.163 = 0.685</w:t>
      </w:r>
    </w:p>
    <w:p>
      <w:pPr>
        <w:spacing w:after="120" w:before="40"/>
        <w:jc w:val="center"/>
      </w:pPr>
      <w:r>
        <w:rPr>
          <w:rFonts w:ascii="Courier New" w:cs="Courier New" w:eastAsia="Courier New" w:hAnsi="Courier New"/>
          <w:b/>
          <w:bCs/>
          <w:color w:val="7F1D1D"/>
          <w:sz w:val="22"/>
          <w:szCs w:val="22"/>
        </w:rPr>
        <w:t xml:space="preserve">FHRI_max = 100 × (1 − 0.685) × 0.347 = 100 × 0.315 × 0.347 = 10.9</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800"/>
        <w:gridCol w:w="800"/>
        <w:gridCol w:w="800"/>
        <w:gridCol w:w="800"/>
        <w:gridCol w:w="1160"/>
      </w:tblGrid>
      <w:tr>
        <w:trPr>
          <w:tblHeader/>
        </w:trPr>
        <w:tc>
          <w:tcPr>
            <w:tcW w:type="dxa" w:w="3200"/>
            <w:tcBorders>
              <w:top w:val="single" w:color="888888" w:sz="1"/>
              <w:left w:val="single" w:color="888888" w:sz="1"/>
              <w:bottom w:val="single" w:color="888888" w:sz="1"/>
              <w:right w:val="single" w:color="888888" w:sz="1"/>
            </w:tcBorders>
            <w:shd w:fill="0D5E57" w:val="clear"/>
            <w:tcMar>
              <w:top w:type="dxa" w:w="100"/>
              <w:left w:type="dxa" w:w="160"/>
              <w:bottom w:type="dxa" w:w="100"/>
              <w:right w:type="dxa" w:w="160"/>
            </w:tcMar>
          </w:tcPr>
          <w:p>
            <w:r>
              <w:rPr>
                <w:rFonts w:ascii="Garamond" w:cs="Garamond" w:eastAsia="Garamond" w:hAnsi="Garamond"/>
                <w:b/>
                <w:bCs/>
                <w:color w:val="FFFFFF"/>
                <w:sz w:val="18"/>
                <w:szCs w:val="18"/>
              </w:rPr>
              <w:t xml:space="preserve">Institution</w:t>
            </w:r>
          </w:p>
        </w:tc>
        <w:tc>
          <w:tcPr>
            <w:tcW w:type="dxa" w:w="800"/>
            <w:tcBorders>
              <w:top w:val="single" w:color="888888" w:sz="1"/>
              <w:left w:val="single" w:color="888888" w:sz="1"/>
              <w:bottom w:val="single" w:color="888888" w:sz="1"/>
              <w:right w:val="single" w:color="888888" w:sz="1"/>
            </w:tcBorders>
            <w:shd w:fill="0D5E57" w:val="clear"/>
            <w:tcMar>
              <w:top w:type="dxa" w:w="100"/>
              <w:left w:type="dxa" w:w="160"/>
              <w:bottom w:type="dxa" w:w="100"/>
              <w:right w:type="dxa" w:w="160"/>
            </w:tcMar>
          </w:tcPr>
          <w:p>
            <w:r>
              <w:rPr>
                <w:rFonts w:ascii="Garamond" w:cs="Garamond" w:eastAsia="Garamond" w:hAnsi="Garamond"/>
                <w:b/>
                <w:bCs/>
                <w:color w:val="FFFFFF"/>
                <w:sz w:val="18"/>
                <w:szCs w:val="18"/>
              </w:rPr>
              <w:t xml:space="preserve">ε</w:t>
            </w:r>
          </w:p>
        </w:tc>
        <w:tc>
          <w:tcPr>
            <w:tcW w:type="dxa" w:w="800"/>
            <w:tcBorders>
              <w:top w:val="single" w:color="888888" w:sz="1"/>
              <w:left w:val="single" w:color="888888" w:sz="1"/>
              <w:bottom w:val="single" w:color="888888" w:sz="1"/>
              <w:right w:val="single" w:color="888888" w:sz="1"/>
            </w:tcBorders>
            <w:shd w:fill="0D5E57" w:val="clear"/>
            <w:tcMar>
              <w:top w:type="dxa" w:w="100"/>
              <w:left w:type="dxa" w:w="160"/>
              <w:bottom w:type="dxa" w:w="100"/>
              <w:right w:type="dxa" w:w="160"/>
            </w:tcMar>
          </w:tcPr>
          <w:p>
            <w:r>
              <w:rPr>
                <w:rFonts w:ascii="Garamond" w:cs="Garamond" w:eastAsia="Garamond" w:hAnsi="Garamond"/>
                <w:b/>
                <w:bCs/>
                <w:color w:val="FFFFFF"/>
                <w:sz w:val="18"/>
                <w:szCs w:val="18"/>
              </w:rPr>
              <w:t xml:space="preserve">φ</w:t>
            </w:r>
          </w:p>
        </w:tc>
        <w:tc>
          <w:tcPr>
            <w:tcW w:type="dxa" w:w="800"/>
            <w:tcBorders>
              <w:top w:val="single" w:color="888888" w:sz="1"/>
              <w:left w:val="single" w:color="888888" w:sz="1"/>
              <w:bottom w:val="single" w:color="888888" w:sz="1"/>
              <w:right w:val="single" w:color="888888" w:sz="1"/>
            </w:tcBorders>
            <w:shd w:fill="0D5E57" w:val="clear"/>
            <w:tcMar>
              <w:top w:type="dxa" w:w="100"/>
              <w:left w:type="dxa" w:w="160"/>
              <w:bottom w:type="dxa" w:w="100"/>
              <w:right w:type="dxa" w:w="160"/>
            </w:tcMar>
          </w:tcPr>
          <w:p>
            <w:r>
              <w:rPr>
                <w:rFonts w:ascii="Garamond" w:cs="Garamond" w:eastAsia="Garamond" w:hAnsi="Garamond"/>
                <w:b/>
                <w:bCs/>
                <w:color w:val="FFFFFF"/>
                <w:sz w:val="18"/>
                <w:szCs w:val="18"/>
              </w:rPr>
              <w:t xml:space="preserve">ρ</w:t>
            </w:r>
          </w:p>
        </w:tc>
        <w:tc>
          <w:tcPr>
            <w:tcW w:type="dxa" w:w="800"/>
            <w:tcBorders>
              <w:top w:val="single" w:color="888888" w:sz="1"/>
              <w:left w:val="single" w:color="888888" w:sz="1"/>
              <w:bottom w:val="single" w:color="888888" w:sz="1"/>
              <w:right w:val="single" w:color="888888" w:sz="1"/>
            </w:tcBorders>
            <w:shd w:fill="0D5E57" w:val="clear"/>
            <w:tcMar>
              <w:top w:type="dxa" w:w="100"/>
              <w:left w:type="dxa" w:w="160"/>
              <w:bottom w:type="dxa" w:w="100"/>
              <w:right w:type="dxa" w:w="160"/>
            </w:tcMar>
          </w:tcPr>
          <w:p>
            <w:r>
              <w:rPr>
                <w:rFonts w:ascii="Garamond" w:cs="Garamond" w:eastAsia="Garamond" w:hAnsi="Garamond"/>
                <w:b/>
                <w:bCs/>
                <w:color w:val="FFFFFF"/>
                <w:sz w:val="18"/>
                <w:szCs w:val="18"/>
              </w:rPr>
              <w:t xml:space="preserve">σ</w:t>
            </w:r>
          </w:p>
        </w:tc>
        <w:tc>
          <w:tcPr>
            <w:tcW w:type="dxa" w:w="800"/>
            <w:tcBorders>
              <w:top w:val="single" w:color="888888" w:sz="1"/>
              <w:left w:val="single" w:color="888888" w:sz="1"/>
              <w:bottom w:val="single" w:color="888888" w:sz="1"/>
              <w:right w:val="single" w:color="888888" w:sz="1"/>
            </w:tcBorders>
            <w:shd w:fill="0D5E57" w:val="clear"/>
            <w:tcMar>
              <w:top w:type="dxa" w:w="100"/>
              <w:left w:type="dxa" w:w="160"/>
              <w:bottom w:type="dxa" w:w="100"/>
              <w:right w:type="dxa" w:w="160"/>
            </w:tcMar>
          </w:tcPr>
          <w:p>
            <w:r>
              <w:rPr>
                <w:rFonts w:ascii="Garamond" w:cs="Garamond" w:eastAsia="Garamond" w:hAnsi="Garamond"/>
                <w:b/>
                <w:bCs/>
                <w:color w:val="FFFFFF"/>
                <w:sz w:val="18"/>
                <w:szCs w:val="18"/>
              </w:rPr>
              <w:t xml:space="preserve">μ</w:t>
            </w:r>
          </w:p>
        </w:tc>
        <w:tc>
          <w:tcPr>
            <w:tcW w:type="dxa" w:w="1160"/>
            <w:tcBorders>
              <w:top w:val="single" w:color="888888" w:sz="1"/>
              <w:left w:val="single" w:color="888888" w:sz="1"/>
              <w:bottom w:val="single" w:color="888888" w:sz="1"/>
              <w:right w:val="single" w:color="888888" w:sz="1"/>
            </w:tcBorders>
            <w:shd w:fill="0D5E57" w:val="clear"/>
            <w:tcMar>
              <w:top w:type="dxa" w:w="100"/>
              <w:left w:type="dxa" w:w="160"/>
              <w:bottom w:type="dxa" w:w="100"/>
              <w:right w:type="dxa" w:w="160"/>
            </w:tcMar>
          </w:tcPr>
          <w:p>
            <w:r>
              <w:rPr>
                <w:rFonts w:ascii="Garamond" w:cs="Garamond" w:eastAsia="Garamond" w:hAnsi="Garamond"/>
                <w:b/>
                <w:bCs/>
                <w:color w:val="FFFFFF"/>
                <w:sz w:val="18"/>
                <w:szCs w:val="18"/>
              </w:rPr>
              <w:t xml:space="preserve">FHRI_max</w:t>
            </w:r>
          </w:p>
        </w:tc>
      </w:tr>
      <w:tr>
        <w:tc>
          <w:tcPr>
            <w:tcW w:type="dxa" w:w="32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pPr>
              <w:jc w:val="left"/>
            </w:pPr>
            <w:r>
              <w:rPr>
                <w:rFonts w:ascii="Garamond" w:cs="Garamond" w:eastAsia="Garamond" w:hAnsi="Garamond"/>
                <w:sz w:val="22"/>
                <w:szCs w:val="22"/>
              </w:rPr>
              <w:t xml:space="preserve">GEO Group FL DOC facilities</w:t>
            </w:r>
          </w:p>
        </w:tc>
        <w:tc>
          <w:tcPr>
            <w:tcW w:type="dxa" w:w="8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0.650</w:t>
            </w:r>
          </w:p>
        </w:tc>
        <w:tc>
          <w:tcPr>
            <w:tcW w:type="dxa" w:w="8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0.720</w:t>
            </w:r>
          </w:p>
        </w:tc>
        <w:tc>
          <w:tcPr>
            <w:tcW w:type="dxa" w:w="8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0.550</w:t>
            </w:r>
          </w:p>
        </w:tc>
        <w:tc>
          <w:tcPr>
            <w:tcW w:type="dxa" w:w="8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0.780</w:t>
            </w:r>
          </w:p>
        </w:tc>
        <w:tc>
          <w:tcPr>
            <w:tcW w:type="dxa" w:w="8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0.840</w:t>
            </w:r>
          </w:p>
        </w:tc>
        <w:tc>
          <w:tcPr>
            <w:tcW w:type="dxa" w:w="116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10.9</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left"/>
            </w:pPr>
            <w:r>
              <w:rPr>
                <w:rFonts w:ascii="Garamond" w:cs="Garamond" w:eastAsia="Garamond" w:hAnsi="Garamond"/>
                <w:sz w:val="22"/>
                <w:szCs w:val="22"/>
              </w:rPr>
              <w:t xml:space="preserve">Florida DOC public facilities (est.)</w:t>
            </w:r>
          </w:p>
        </w:tc>
        <w:tc>
          <w:tcPr>
            <w:tcW w:type="dxa" w:w="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0.050</w:t>
            </w:r>
          </w:p>
        </w:tc>
        <w:tc>
          <w:tcPr>
            <w:tcW w:type="dxa" w:w="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0.350</w:t>
            </w:r>
          </w:p>
        </w:tc>
        <w:tc>
          <w:tcPr>
            <w:tcW w:type="dxa" w:w="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0.600</w:t>
            </w:r>
          </w:p>
        </w:tc>
        <w:tc>
          <w:tcPr>
            <w:tcW w:type="dxa" w:w="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0.450</w:t>
            </w:r>
          </w:p>
        </w:tc>
        <w:tc>
          <w:tcPr>
            <w:tcW w:type="dxa" w:w="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0.350</w:t>
            </w:r>
          </w:p>
        </w:tc>
        <w:tc>
          <w:tcPr>
            <w:tcW w:type="dxa" w:w="1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49.7</w:t>
            </w:r>
          </w:p>
        </w:tc>
      </w:tr>
      <w:tr>
        <w:tc>
          <w:tcPr>
            <w:tcW w:type="dxa" w:w="32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pPr>
              <w:jc w:val="left"/>
            </w:pPr>
            <w:r>
              <w:rPr>
                <w:rFonts w:ascii="Garamond" w:cs="Garamond" w:eastAsia="Garamond" w:hAnsi="Garamond"/>
                <w:sz w:val="22"/>
                <w:szCs w:val="22"/>
              </w:rPr>
              <w:t xml:space="preserve">Non-profit reentry org (Unchained Ind.)</w:t>
            </w:r>
          </w:p>
        </w:tc>
        <w:tc>
          <w:tcPr>
            <w:tcW w:type="dxa" w:w="8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0.000</w:t>
            </w:r>
          </w:p>
        </w:tc>
        <w:tc>
          <w:tcPr>
            <w:tcW w:type="dxa" w:w="8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0.250</w:t>
            </w:r>
          </w:p>
        </w:tc>
        <w:tc>
          <w:tcPr>
            <w:tcW w:type="dxa" w:w="8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0.400</w:t>
            </w:r>
          </w:p>
        </w:tc>
        <w:tc>
          <w:tcPr>
            <w:tcW w:type="dxa" w:w="8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0.200</w:t>
            </w:r>
          </w:p>
        </w:tc>
        <w:tc>
          <w:tcPr>
            <w:tcW w:type="dxa" w:w="8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0.080</w:t>
            </w:r>
          </w:p>
        </w:tc>
        <w:tc>
          <w:tcPr>
            <w:tcW w:type="dxa" w:w="116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70.9</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left"/>
            </w:pPr>
            <w:r>
              <w:rPr>
                <w:rFonts w:ascii="Garamond" w:cs="Garamond" w:eastAsia="Garamond" w:hAnsi="Garamond"/>
                <w:sz w:val="22"/>
                <w:szCs w:val="22"/>
              </w:rPr>
              <w:t xml:space="preserve">PE nursing home FL (Peterson 2025)</w:t>
            </w:r>
          </w:p>
        </w:tc>
        <w:tc>
          <w:tcPr>
            <w:tcW w:type="dxa" w:w="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0.636</w:t>
            </w:r>
          </w:p>
        </w:tc>
        <w:tc>
          <w:tcPr>
            <w:tcW w:type="dxa" w:w="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0.520</w:t>
            </w:r>
          </w:p>
        </w:tc>
        <w:tc>
          <w:tcPr>
            <w:tcW w:type="dxa" w:w="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0.700</w:t>
            </w:r>
          </w:p>
        </w:tc>
        <w:tc>
          <w:tcPr>
            <w:tcW w:type="dxa" w:w="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0.620</w:t>
            </w:r>
          </w:p>
        </w:tc>
        <w:tc>
          <w:tcPr>
            <w:tcW w:type="dxa" w:w="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0.820</w:t>
            </w:r>
          </w:p>
        </w:tc>
        <w:tc>
          <w:tcPr>
            <w:tcW w:type="dxa" w:w="1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13.6</w:t>
            </w:r>
          </w:p>
        </w:tc>
      </w:tr>
    </w:tbl>
    <w:p>
      <w:pPr>
        <w:spacing w:after="140" w:before="80" w:line="320"/>
      </w:pPr>
      <w:r>
        <w:rPr>
          <w:rFonts w:ascii="Garamond" w:cs="Garamond" w:eastAsia="Garamond" w:hAnsi="Garamond"/>
          <w:sz w:val="23"/>
          <w:szCs w:val="23"/>
        </w:rPr>
        <w:t xml:space="preserve">The 38.8-point FHRI_max gap between GEO Group Florida facilities (10.9) and Florida DOC public facilities (49.7) is the computable magnitude of the structural wrong. It means that the most dedicated correctional officer or program counselor in a GEO Group Florida facility cannot produce a rehabilitation outcome more than 10.9% of the time — not because of their individual effort or skill, but because 89.1% of their coordination capacity is structurally absorbed by the extraction architecture before it reaches programming decisions.</w:t>
      </w:r>
    </w:p>
    <w:p>
      <w:pPr>
        <w:spacing w:after="0" w:before="60"/>
      </w:pPr>
      <w:r>
        <w:t xml:space="preserve"/>
      </w:r>
    </w:p>
    <w:p>
      <w:pPr>
        <w:pStyle w:val="Heading1"/>
        <w:spacing w:after="120" w:before="360"/>
      </w:pPr>
      <w:r>
        <w:rPr>
          <w:rFonts w:ascii="Garamond" w:cs="Garamond" w:eastAsia="Garamond" w:hAnsi="Garamond"/>
          <w:b/>
          <w:bCs/>
          <w:color w:val="0D5E57"/>
          <w:sz w:val="28"/>
          <w:szCs w:val="28"/>
        </w:rPr>
        <w:t xml:space="preserve">4. Neurobiological Impact: The Biological Floor</w:t>
      </w:r>
    </w:p>
    <w:p>
      <w:pPr>
        <w:spacing w:after="140" w:before="80" w:line="320"/>
        <w:ind w:firstLine="720"/>
      </w:pPr>
      <w:r>
        <w:rPr>
          <w:rFonts w:ascii="Garamond" w:cs="Garamond" w:eastAsia="Garamond" w:hAnsi="Garamond"/>
          <w:sz w:val="23"/>
          <w:szCs w:val="23"/>
        </w:rPr>
        <w:t xml:space="preserve">The φ parameter captures what the extraction architecture does to the biological substrate of the workforce. In GEO Group's Florida facilities, the 43% annual staff turnover rate is not a personnel management failure. It is the predictable biological consequence of operating at FHRI_max = 10.9. Sapolsky's glucocorticoid research establishes the mechanism: chronic high-stress environments produce sustained cortisol elevation that leads to hippocampal atrophy, prefrontal cortex decoherence, and amygdala hyperactivation.</w:t>
      </w:r>
    </w:p>
    <w:p>
      <w:pPr>
        <w:spacing w:after="140" w:before="80" w:line="320"/>
        <w:ind w:firstLine="720"/>
      </w:pPr>
      <w:r>
        <w:rPr>
          <w:rFonts w:ascii="Garamond" w:cs="Garamond" w:eastAsia="Garamond" w:hAnsi="Garamond"/>
          <w:sz w:val="23"/>
          <w:szCs w:val="23"/>
        </w:rPr>
        <w:t xml:space="preserve">For correctional staff at GEO Group facilities, this biological substrate damage manifests as: reduced capacity to integrate complex incarcerated person histories (hippocampal atrophy produces reactive rather than relational management); loss of prefrontal inhibition of the threat-response system (producing the elevated violence rates documented in private facilities); and professional identity fragmentation identical to the moral injury Roger Boisjoly experienced at NASA (the structural ceiling absorbs ethical commitment before it reaches outcomes, producing the same burnout dynamics in chronically committed workers).</w:t>
      </w:r>
    </w:p>
    <w:p>
      <w:pPr>
        <w:spacing w:after="140" w:before="80" w:line="320"/>
        <w:ind w:firstLine="720"/>
      </w:pPr>
      <w:r>
        <w:rPr>
          <w:rFonts w:ascii="Garamond" w:cs="Garamond" w:eastAsia="Garamond" w:hAnsi="Garamond"/>
          <w:sz w:val="23"/>
          <w:szCs w:val="23"/>
        </w:rPr>
        <w:t xml:space="preserve">The moral injury is bidirectional. The incarcerated population exposed to high-φ environments accumulates the same biological substrate damage. Research documents that violence experienced during incarceration is associated with higher post-release recidivism. The φ parameter in GEO Group facilities produces a self-reinforcing cycle: extraction-driven understaffing increases violence; violence increases biological substrate damage in both staff and incarcerated populations; damaged substrate produces worse rehabilitation outcomes; worse outcomes increase the incarcerated population (high bed occupancy); high bed occupancy increases per-diem revenue; increased revenue flows to debt service and return rather than programming. The Interpretant replacement is self-sustaining.</w:t>
      </w:r>
    </w:p>
    <w:p>
      <w:pPr>
        <w:spacing w:after="0" w:before="60"/>
      </w:pPr>
      <w:r>
        <w:t xml:space="preserve"/>
      </w:r>
    </w:p>
    <w:p>
      <w:pPr>
        <w:pStyle w:val="Heading1"/>
        <w:spacing w:after="120" w:before="360"/>
      </w:pPr>
      <w:r>
        <w:rPr>
          <w:rFonts w:ascii="Garamond" w:cs="Garamond" w:eastAsia="Garamond" w:hAnsi="Garamond"/>
          <w:b/>
          <w:bCs/>
          <w:color w:val="0D5E57"/>
          <w:sz w:val="28"/>
          <w:szCs w:val="28"/>
        </w:rPr>
        <w:t xml:space="preserve">5. The BioBond Transition Instrument</w:t>
      </w:r>
    </w:p>
    <w:p>
      <w:pPr>
        <w:pStyle w:val="Heading2"/>
        <w:spacing w:after="100" w:before="240"/>
      </w:pPr>
      <w:r>
        <w:rPr>
          <w:rFonts w:ascii="Garamond" w:cs="Garamond" w:eastAsia="Garamond" w:hAnsi="Garamond"/>
          <w:b/>
          <w:bCs/>
          <w:color w:val="0D5E57"/>
          <w:sz w:val="24"/>
          <w:szCs w:val="24"/>
        </w:rPr>
        <w:t xml:space="preserve">5.1 Formal T1 Classification</w:t>
      </w:r>
    </w:p>
    <w:p>
      <w:pPr>
        <w:spacing w:after="140" w:before="80" w:line="320"/>
        <w:ind w:firstLine="720"/>
      </w:pPr>
      <w:r>
        <w:rPr>
          <w:rFonts w:ascii="Garamond" w:cs="Garamond" w:eastAsia="Garamond" w:hAnsi="Garamond"/>
          <w:sz w:val="23"/>
          <w:szCs w:val="23"/>
        </w:rPr>
        <w:t xml:space="preserve">The BioBond is formally T1 because it addresses the P-adic access condition: it changes what the ownership architecture is permitted to do with the programming budget allocation channel by conditioning capital access on FHRI_max maintenance. This is structurally distinct from performance-based contracts (T2), which operate within the existing Interpretant replacement by adding small recidivism bonuses to the per-diem payment architecture. T2 performance contracts correctly identify the problem (low recidivism reduction) and produce financial consequences structurally insufficient to change the ownership-determined programming investment ratio.</w:t>
      </w:r>
    </w:p>
    <w:p>
      <w:pPr>
        <w:spacing w:after="140" w:before="80" w:line="320"/>
        <w:ind w:firstLine="720"/>
      </w:pPr>
      <w:r>
        <w:rPr>
          <w:rFonts w:ascii="Garamond" w:cs="Garamond" w:eastAsia="Garamond" w:hAnsi="Garamond"/>
          <w:sz w:val="23"/>
          <w:szCs w:val="23"/>
        </w:rPr>
        <w:t xml:space="preserve">The formal criterion: a recidivism bonus sufficient to change programming investment would need to equal the opportunity cost of reallocating debt service funds toward programming — approximately $390M annually for GEO Group as a whole, or approximately $65M annually for the Florida DOC facilities. Current performance contracts produce bonuses in the range of $50K–$200K annually per facility. The recidivism bonus is insufficient by a factor of 300–1,300. No T2 adjustment within this range can close the structural gap.</w:t>
      </w:r>
    </w:p>
    <w:p>
      <w:pPr>
        <w:spacing w:after="0" w:before="60"/>
      </w:pPr>
      <w:r>
        <w:t xml:space="preserve"/>
      </w:r>
    </w:p>
    <w:p>
      <w:pPr>
        <w:pStyle w:val="Heading2"/>
        <w:spacing w:after="100" w:before="240"/>
      </w:pPr>
      <w:r>
        <w:rPr>
          <w:rFonts w:ascii="Garamond" w:cs="Garamond" w:eastAsia="Garamond" w:hAnsi="Garamond"/>
          <w:b/>
          <w:bCs/>
          <w:color w:val="0D5E57"/>
          <w:sz w:val="24"/>
          <w:szCs w:val="24"/>
        </w:rPr>
        <w:t xml:space="preserve">5.2 BioBond Mechanism Design</w:t>
      </w:r>
    </w:p>
    <w:p>
      <w:pPr>
        <w:spacing w:after="140" w:before="80" w:line="320"/>
      </w:pPr>
      <w:r>
        <w:rPr>
          <w:rFonts w:ascii="Garamond" w:cs="Garamond" w:eastAsia="Garamond" w:hAnsi="Garamond"/>
          <w:sz w:val="23"/>
          <w:szCs w:val="23"/>
        </w:rPr>
        <w:t xml:space="preserve"/>
      </w:r>
      <w:r>
        <w:rPr>
          <w:rFonts w:ascii="Garamond" w:cs="Garamond" w:eastAsia="Garamond" w:hAnsi="Garamond"/>
          <w:b/>
          <w:bCs/>
          <w:sz w:val="23"/>
          <w:szCs w:val="23"/>
        </w:rPr>
        <w:t xml:space="preserve">Mechanism 1: FHRI_max-Indexed Margin Ratchets</w:t>
      </w:r>
      <w:r>
        <w:rPr>
          <w:rFonts w:ascii="Garamond" w:cs="Garamond" w:eastAsia="Garamond" w:hAnsi="Garamond"/>
          <w:sz w:val="23"/>
          <w:szCs w:val="23"/>
        </w:rPr>
        <w:t xml:space="preserve"/>
      </w:r>
    </w:p>
    <w:p>
      <w:pPr>
        <w:spacing w:after="140" w:before="80" w:line="320"/>
      </w:pPr>
      <w:r>
        <w:rPr>
          <w:rFonts w:ascii="Garamond" w:cs="Garamond" w:eastAsia="Garamond" w:hAnsi="Garamond"/>
          <w:sz w:val="23"/>
          <w:szCs w:val="23"/>
        </w:rPr>
        <w:t xml:space="preserve">The BioBond replaces the fixed-rate debt structure with an FHRI_max-indexed margin. The interest rate on capital is adjusted quarterly based on measured FHRI_max: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888888" w:sz="1"/>
              <w:left w:val="single" w:color="888888" w:sz="1"/>
              <w:bottom w:val="single" w:color="888888" w:sz="1"/>
              <w:right w:val="single" w:color="888888" w:sz="1"/>
            </w:tcBorders>
            <w:shd w:fill="0D5E57" w:val="clear"/>
            <w:tcMar>
              <w:top w:type="dxa" w:w="100"/>
              <w:left w:type="dxa" w:w="160"/>
              <w:bottom w:type="dxa" w:w="100"/>
              <w:right w:type="dxa" w:w="160"/>
            </w:tcMar>
          </w:tcPr>
          <w:p>
            <w:r>
              <w:rPr>
                <w:rFonts w:ascii="Garamond" w:cs="Garamond" w:eastAsia="Garamond" w:hAnsi="Garamond"/>
                <w:b/>
                <w:bCs/>
                <w:color w:val="FFFFFF"/>
                <w:sz w:val="18"/>
                <w:szCs w:val="18"/>
              </w:rPr>
              <w:t xml:space="preserve">FHRI_max Range</w:t>
            </w:r>
          </w:p>
        </w:tc>
        <w:tc>
          <w:tcPr>
            <w:tcW w:type="dxa" w:w="2200"/>
            <w:tcBorders>
              <w:top w:val="single" w:color="888888" w:sz="1"/>
              <w:left w:val="single" w:color="888888" w:sz="1"/>
              <w:bottom w:val="single" w:color="888888" w:sz="1"/>
              <w:right w:val="single" w:color="888888" w:sz="1"/>
            </w:tcBorders>
            <w:shd w:fill="0D5E57" w:val="clear"/>
            <w:tcMar>
              <w:top w:type="dxa" w:w="100"/>
              <w:left w:type="dxa" w:w="160"/>
              <w:bottom w:type="dxa" w:w="100"/>
              <w:right w:type="dxa" w:w="160"/>
            </w:tcMar>
          </w:tcPr>
          <w:p>
            <w:r>
              <w:rPr>
                <w:rFonts w:ascii="Garamond" w:cs="Garamond" w:eastAsia="Garamond" w:hAnsi="Garamond"/>
                <w:b/>
                <w:bCs/>
                <w:color w:val="FFFFFF"/>
                <w:sz w:val="18"/>
                <w:szCs w:val="18"/>
              </w:rPr>
              <w:t xml:space="preserve">Interest Rate</w:t>
            </w:r>
          </w:p>
        </w:tc>
        <w:tc>
          <w:tcPr>
            <w:tcW w:type="dxa" w:w="5160"/>
            <w:tcBorders>
              <w:top w:val="single" w:color="888888" w:sz="1"/>
              <w:left w:val="single" w:color="888888" w:sz="1"/>
              <w:bottom w:val="single" w:color="888888" w:sz="1"/>
              <w:right w:val="single" w:color="888888" w:sz="1"/>
            </w:tcBorders>
            <w:shd w:fill="0D5E57" w:val="clear"/>
            <w:tcMar>
              <w:top w:type="dxa" w:w="100"/>
              <w:left w:type="dxa" w:w="160"/>
              <w:bottom w:type="dxa" w:w="100"/>
              <w:right w:type="dxa" w:w="160"/>
            </w:tcMar>
          </w:tcPr>
          <w:p>
            <w:r>
              <w:rPr>
                <w:rFonts w:ascii="Garamond" w:cs="Garamond" w:eastAsia="Garamond" w:hAnsi="Garamond"/>
                <w:b/>
                <w:bCs/>
                <w:color w:val="FFFFFF"/>
                <w:sz w:val="18"/>
                <w:szCs w:val="18"/>
              </w:rPr>
              <w:t xml:space="preserve">Operational Meaning</w:t>
            </w:r>
          </w:p>
        </w:tc>
      </w:tr>
      <w:tr>
        <w:tc>
          <w:tcPr>
            <w:tcW w:type="dxa" w:w="20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pPr>
              <w:jc w:val="left"/>
            </w:pPr>
            <w:r>
              <w:rPr>
                <w:rFonts w:ascii="Garamond" w:cs="Garamond" w:eastAsia="Garamond" w:hAnsi="Garamond"/>
                <w:sz w:val="22"/>
                <w:szCs w:val="22"/>
              </w:rPr>
              <w:t xml:space="preserve">FHRI_max &lt; 15 (collapsed state)</w:t>
            </w:r>
          </w:p>
        </w:tc>
        <w:tc>
          <w:tcPr>
            <w:tcW w:type="dxa" w:w="22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Base rate + 3.0% (penalty)</w:t>
            </w:r>
          </w:p>
        </w:tc>
        <w:tc>
          <w:tcPr>
            <w:tcW w:type="dxa" w:w="516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Current GEO FL rate; extraction exceeds mission capacity</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left"/>
            </w:pPr>
            <w:r>
              <w:rPr>
                <w:rFonts w:ascii="Garamond" w:cs="Garamond" w:eastAsia="Garamond" w:hAnsi="Garamond"/>
                <w:sz w:val="22"/>
                <w:szCs w:val="22"/>
              </w:rPr>
              <w:t xml:space="preserve">FHRI_max 15–29</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Base rate + 1.5%</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Improving but below functional threshold</w:t>
            </w:r>
          </w:p>
        </w:tc>
      </w:tr>
      <w:tr>
        <w:tc>
          <w:tcPr>
            <w:tcW w:type="dxa" w:w="20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pPr>
              <w:jc w:val="left"/>
            </w:pPr>
            <w:r>
              <w:rPr>
                <w:rFonts w:ascii="Garamond" w:cs="Garamond" w:eastAsia="Garamond" w:hAnsi="Garamond"/>
                <w:sz w:val="22"/>
                <w:szCs w:val="22"/>
              </w:rPr>
              <w:t xml:space="preserve">FHRI_max 30—44</w:t>
            </w:r>
          </w:p>
        </w:tc>
        <w:tc>
          <w:tcPr>
            <w:tcW w:type="dxa" w:w="22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Base rate (neutral)</w:t>
            </w:r>
          </w:p>
        </w:tc>
        <w:tc>
          <w:tcPr>
            <w:tcW w:type="dxa" w:w="516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Approaching functional state</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left"/>
            </w:pPr>
            <w:r>
              <w:rPr>
                <w:rFonts w:ascii="Garamond" w:cs="Garamond" w:eastAsia="Garamond" w:hAnsi="Garamond"/>
                <w:sz w:val="22"/>
                <w:szCs w:val="22"/>
              </w:rPr>
              <w:t xml:space="preserve">FHRI_max 45–59</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Base rate − 1.0% (reward)</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Functional state; coordination possible</w:t>
            </w:r>
          </w:p>
        </w:tc>
      </w:tr>
      <w:tr>
        <w:tc>
          <w:tcPr>
            <w:tcW w:type="dxa" w:w="20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pPr>
              <w:jc w:val="left"/>
            </w:pPr>
            <w:r>
              <w:rPr>
                <w:rFonts w:ascii="Garamond" w:cs="Garamond" w:eastAsia="Garamond" w:hAnsi="Garamond"/>
                <w:sz w:val="22"/>
                <w:szCs w:val="22"/>
              </w:rPr>
              <w:t xml:space="preserve">FHRI_max 60+</w:t>
            </w:r>
          </w:p>
        </w:tc>
        <w:tc>
          <w:tcPr>
            <w:tcW w:type="dxa" w:w="22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Base rate − 2.5% (full reward)</w:t>
            </w:r>
          </w:p>
        </w:tc>
        <w:tc>
          <w:tcPr>
            <w:tcW w:type="dxa" w:w="516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Mission-aligned; Florida DOC public facility range</w:t>
            </w:r>
          </w:p>
        </w:tc>
      </w:tr>
    </w:tbl>
    <w:p>
      <w:pPr>
        <w:spacing w:after="140" w:before="80" w:line="320"/>
      </w:pPr>
      <w:r>
        <w:rPr>
          <w:rFonts w:ascii="Garamond" w:cs="Garamond" w:eastAsia="Garamond" w:hAnsi="Garamond"/>
          <w:sz w:val="23"/>
          <w:szCs w:val="23"/>
        </w:rPr>
        <w:t xml:space="preserve">The margin ratchet makes structural improvement financially rational: each 15-point FHRI_max improvement reduces the interest burden by 1-1.5%, generating real capital that can be reinvested in the programming investment that produced the improvement. The ratchet is thermodynamically designed: it mirrors the logic of the parasitic structure (extraction generates compounding harm) in reverse (investment generates compounding capacity).</w:t>
      </w:r>
    </w:p>
    <w:p>
      <w:pPr>
        <w:spacing w:after="0" w:before="60"/>
      </w:pPr>
      <w:r>
        <w:t xml:space="preserve"/>
      </w:r>
    </w:p>
    <w:p>
      <w:pPr>
        <w:spacing w:after="140" w:before="80" w:line="320"/>
      </w:pPr>
      <w:r>
        <w:rPr>
          <w:rFonts w:ascii="Garamond" w:cs="Garamond" w:eastAsia="Garamond" w:hAnsi="Garamond"/>
          <w:sz w:val="23"/>
          <w:szCs w:val="23"/>
        </w:rPr>
        <w:t xml:space="preserve"/>
      </w:r>
      <w:r>
        <w:rPr>
          <w:rFonts w:ascii="Garamond" w:cs="Garamond" w:eastAsia="Garamond" w:hAnsi="Garamond"/>
          <w:b/>
          <w:bCs/>
          <w:sz w:val="23"/>
          <w:szCs w:val="23"/>
        </w:rPr>
        <w:t xml:space="preserve">Mechanism 2: Hysteresis Recovery Tranche</w:t>
      </w:r>
      <w:r>
        <w:rPr>
          <w:rFonts w:ascii="Garamond" w:cs="Garamond" w:eastAsia="Garamond" w:hAnsi="Garamond"/>
          <w:sz w:val="23"/>
          <w:szCs w:val="23"/>
        </w:rPr>
        <w:t xml:space="preserve"/>
      </w:r>
    </w:p>
    <w:p>
      <w:pPr>
        <w:spacing w:after="140" w:before="80" w:line="320"/>
      </w:pPr>
      <w:r>
        <w:rPr>
          <w:rFonts w:ascii="Garamond" w:cs="Garamond" w:eastAsia="Garamond" w:hAnsi="Garamond"/>
          <w:sz w:val="23"/>
          <w:szCs w:val="23"/>
        </w:rPr>
        <w:t xml:space="preserve">For institutions at FHRI_max &lt; 15 (the current GEO Group Florida baseline), standard capital allocation cannot produce FHRI_max improvement because the biological floor has been degraded below the threshold at which new resources can be effectively used. The Hysteresis Recovery Tranche is a dedicated capital allocation of 8-12% of the BioBond total, earmarked exclusively for biological floor restoration:</w:t>
      </w:r>
    </w:p>
    <w:p>
      <w:pPr>
        <w:pStyle w:val="ListParagraph"/>
        <w:numPr>
          <w:ilvl w:val="0"/>
          <w:numId w:val="2"/>
        </w:numPr>
        <w:spacing w:after="80" w:before="60"/>
      </w:pPr>
      <w:r>
        <w:rPr>
          <w:rFonts w:ascii="Garamond" w:cs="Garamond" w:eastAsia="Garamond" w:hAnsi="Garamond"/>
          <w:sz w:val="22"/>
          <w:szCs w:val="22"/>
        </w:rPr>
        <w:t xml:space="preserve">Staff trauma processing and peer support programs (down-regulating the glucocorticoid load that produces PFC decoherence)</w:t>
      </w:r>
    </w:p>
    <w:p>
      <w:pPr>
        <w:pStyle w:val="ListParagraph"/>
        <w:numPr>
          <w:ilvl w:val="0"/>
          <w:numId w:val="2"/>
        </w:numPr>
        <w:spacing w:after="80" w:before="60"/>
      </w:pPr>
      <w:r>
        <w:rPr>
          <w:rFonts w:ascii="Garamond" w:cs="Garamond" w:eastAsia="Garamond" w:hAnsi="Garamond"/>
          <w:sz w:val="22"/>
          <w:szCs w:val="22"/>
        </w:rPr>
        <w:t xml:space="preserve">Mandatory intake moratorium period (30-90 days of stable population, preventing new trauma transmission while the existing population stabilizes)</w:t>
      </w:r>
    </w:p>
    <w:p>
      <w:pPr>
        <w:pStyle w:val="ListParagraph"/>
        <w:numPr>
          <w:ilvl w:val="0"/>
          <w:numId w:val="2"/>
        </w:numPr>
        <w:spacing w:after="80" w:before="60"/>
      </w:pPr>
      <w:r>
        <w:rPr>
          <w:rFonts w:ascii="Garamond" w:cs="Garamond" w:eastAsia="Garamond" w:hAnsi="Garamond"/>
          <w:sz w:val="22"/>
          <w:szCs w:val="22"/>
        </w:rPr>
        <w:t xml:space="preserve">Frontline staff compensation improvement to reduce the immediate economic stress that accelerates biological substrate damage</w:t>
      </w:r>
    </w:p>
    <w:p>
      <w:pPr>
        <w:pStyle w:val="ListParagraph"/>
        <w:numPr>
          <w:ilvl w:val="0"/>
          <w:numId w:val="2"/>
        </w:numPr>
        <w:spacing w:after="80" w:before="60"/>
      </w:pPr>
      <w:r>
        <w:rPr>
          <w:rFonts w:ascii="Garamond" w:cs="Garamond" w:eastAsia="Garamond" w:hAnsi="Garamond"/>
          <w:sz w:val="22"/>
          <w:szCs w:val="22"/>
        </w:rPr>
        <w:t xml:space="preserve">De-escalation training replacing punitive response protocols (reduces φ accumulation rate)</w:t>
      </w:r>
    </w:p>
    <w:p>
      <w:pPr>
        <w:spacing w:after="140" w:before="80" w:line="320"/>
      </w:pPr>
      <w:r>
        <w:rPr>
          <w:rFonts w:ascii="Garamond" w:cs="Garamond" w:eastAsia="Garamond" w:hAnsi="Garamond"/>
          <w:sz w:val="23"/>
          <w:szCs w:val="23"/>
        </w:rPr>
        <w:t xml:space="preserve">The Hysteresis Recovery Tranche is disbursed in tranches conditional on documented φ reduction: initial 30% released at program launch; subsequent 70% released upon verified reduction in assault rates, staff sick day usage, and incident report volume — the proxies for biological floor restoration.</w:t>
      </w:r>
    </w:p>
    <w:p>
      <w:pPr>
        <w:spacing w:after="0" w:before="60"/>
      </w:pPr>
      <w:r>
        <w:t xml:space="preserve"/>
      </w:r>
    </w:p>
    <w:p>
      <w:pPr>
        <w:spacing w:after="140" w:before="80" w:line="320"/>
      </w:pPr>
      <w:r>
        <w:rPr>
          <w:rFonts w:ascii="Garamond" w:cs="Garamond" w:eastAsia="Garamond" w:hAnsi="Garamond"/>
          <w:sz w:val="23"/>
          <w:szCs w:val="23"/>
        </w:rPr>
        <w:t xml:space="preserve"/>
      </w:r>
      <w:r>
        <w:rPr>
          <w:rFonts w:ascii="Garamond" w:cs="Garamond" w:eastAsia="Garamond" w:hAnsi="Garamond"/>
          <w:b/>
          <w:bCs/>
          <w:sz w:val="23"/>
          <w:szCs w:val="23"/>
        </w:rPr>
        <w:t xml:space="preserve">Mechanism 3: PBC Identity Kernel</w:t>
      </w:r>
      <w:r>
        <w:rPr>
          <w:rFonts w:ascii="Garamond" w:cs="Garamond" w:eastAsia="Garamond" w:hAnsi="Garamond"/>
          <w:sz w:val="23"/>
          <w:szCs w:val="23"/>
        </w:rPr>
        <w:t xml:space="preserve"/>
      </w:r>
    </w:p>
    <w:p>
      <w:pPr>
        <w:spacing w:after="140" w:before="80" w:line="320"/>
      </w:pPr>
      <w:r>
        <w:rPr>
          <w:rFonts w:ascii="Garamond" w:cs="Garamond" w:eastAsia="Garamond" w:hAnsi="Garamond"/>
          <w:sz w:val="23"/>
          <w:szCs w:val="23"/>
        </w:rPr>
        <w:t xml:space="preserve">The BioBond is most effective paired with a Public Benefits Corporation (PBC) legal structure. Florida PBC statute (enacted 2014) permits incorporation with a mission specification legally superior to profit maximization. For the correctional BioBond, the PBC charter specifies:</w:t>
      </w:r>
    </w:p>
    <w:p>
      <w:pPr>
        <w:pStyle w:val="ListParagraph"/>
        <w:numPr>
          <w:ilvl w:val="0"/>
          <w:numId w:val="2"/>
        </w:numPr>
        <w:spacing w:after="80" w:before="60"/>
      </w:pPr>
      <w:r>
        <w:rPr>
          <w:rFonts w:ascii="Garamond" w:cs="Garamond" w:eastAsia="Garamond" w:hAnsi="Garamond"/>
          <w:sz w:val="22"/>
          <w:szCs w:val="22"/>
        </w:rPr>
        <w:t xml:space="preserve">FHRI_max maintenance above 40 as a legally specified organizational purpose (not a performance metric — a fiduciary duty)</w:t>
      </w:r>
    </w:p>
    <w:p>
      <w:pPr>
        <w:pStyle w:val="ListParagraph"/>
        <w:numPr>
          <w:ilvl w:val="0"/>
          <w:numId w:val="2"/>
        </w:numPr>
        <w:spacing w:after="80" w:before="60"/>
      </w:pPr>
      <w:r>
        <w:rPr>
          <w:rFonts w:ascii="Garamond" w:cs="Garamond" w:eastAsia="Garamond" w:hAnsi="Garamond"/>
          <w:sz w:val="22"/>
          <w:szCs w:val="22"/>
        </w:rPr>
        <w:t xml:space="preserve">True Solvency Accounting: FHRI_max degradation below 40 is recorded as a balance sheet liability, recognizing that an institution appearing profitable while reducing human coordination capacity is extracting value it cannot replace</w:t>
      </w:r>
    </w:p>
    <w:p>
      <w:pPr>
        <w:pStyle w:val="ListParagraph"/>
        <w:numPr>
          <w:ilvl w:val="0"/>
          <w:numId w:val="2"/>
        </w:numPr>
        <w:spacing w:after="80" w:before="60"/>
      </w:pPr>
      <w:r>
        <w:rPr>
          <w:rFonts w:ascii="Garamond" w:cs="Garamond" w:eastAsia="Garamond" w:hAnsi="Garamond"/>
          <w:sz w:val="22"/>
          <w:szCs w:val="22"/>
        </w:rPr>
        <w:t xml:space="preserve">Board composition requiring representation from formerly incarcerated community members, correctional staff union representatives, and public safety researchers — changing the P-adic access condition at the governance level</w:t>
      </w:r>
    </w:p>
    <w:p>
      <w:pPr>
        <w:pStyle w:val="ListParagraph"/>
        <w:numPr>
          <w:ilvl w:val="0"/>
          <w:numId w:val="2"/>
        </w:numPr>
        <w:spacing w:after="80" w:before="60"/>
      </w:pPr>
      <w:r>
        <w:rPr>
          <w:rFonts w:ascii="Garamond" w:cs="Garamond" w:eastAsia="Garamond" w:hAnsi="Garamond"/>
          <w:sz w:val="22"/>
          <w:szCs w:val="22"/>
        </w:rPr>
        <w:t xml:space="preserve">Beneficial ownership disclosure: full disclosure of debt chain, management fee structure, and beneficial ownership to Florida DOC and public</w:t>
      </w:r>
    </w:p>
    <w:p>
      <w:pPr>
        <w:spacing w:after="0" w:before="60"/>
      </w:pPr>
      <w:r>
        <w:t xml:space="preserve"/>
      </w:r>
    </w:p>
    <w:p>
      <w:pPr>
        <w:pStyle w:val="Heading2"/>
        <w:spacing w:after="100" w:before="240"/>
      </w:pPr>
      <w:r>
        <w:rPr>
          <w:rFonts w:ascii="Garamond" w:cs="Garamond" w:eastAsia="Garamond" w:hAnsi="Garamond"/>
          <w:b/>
          <w:bCs/>
          <w:color w:val="0D5E57"/>
          <w:sz w:val="24"/>
          <w:szCs w:val="24"/>
        </w:rPr>
        <w:t xml:space="preserve">5.3 The BioBond Financial Case</w:t>
      </w:r>
    </w:p>
    <w:p>
      <w:pPr>
        <w:spacing w:after="140" w:before="80" w:line="320"/>
        <w:ind w:firstLine="720"/>
      </w:pPr>
      <w:r>
        <w:rPr>
          <w:rFonts w:ascii="Garamond" w:cs="Garamond" w:eastAsia="Garamond" w:hAnsi="Garamond"/>
          <w:sz w:val="23"/>
          <w:szCs w:val="23"/>
        </w:rPr>
        <w:t xml:space="preserve">The BioBond is not a philanthropic instrument. It is a financial instrument with a positive expected return derived from more accurate accounting of what high-ε correctional operations actually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888888" w:sz="1"/>
              <w:left w:val="single" w:color="888888" w:sz="1"/>
              <w:bottom w:val="single" w:color="888888" w:sz="1"/>
              <w:right w:val="single" w:color="888888" w:sz="1"/>
            </w:tcBorders>
            <w:shd w:fill="92400E" w:val="clear"/>
            <w:tcMar>
              <w:top w:type="dxa" w:w="100"/>
              <w:left w:type="dxa" w:w="160"/>
              <w:bottom w:type="dxa" w:w="100"/>
              <w:right w:type="dxa" w:w="160"/>
            </w:tcMar>
          </w:tcPr>
          <w:p>
            <w:r>
              <w:rPr>
                <w:rFonts w:ascii="Garamond" w:cs="Garamond" w:eastAsia="Garamond" w:hAnsi="Garamond"/>
                <w:b/>
                <w:bCs/>
                <w:color w:val="FFFFFF"/>
                <w:sz w:val="18"/>
                <w:szCs w:val="18"/>
              </w:rPr>
              <w:t xml:space="preserve">Financial Parameter</w:t>
            </w:r>
          </w:p>
        </w:tc>
        <w:tc>
          <w:tcPr>
            <w:tcW w:type="dxa" w:w="4860"/>
            <w:tcBorders>
              <w:top w:val="single" w:color="888888" w:sz="1"/>
              <w:left w:val="single" w:color="888888" w:sz="1"/>
              <w:bottom w:val="single" w:color="888888" w:sz="1"/>
              <w:right w:val="single" w:color="888888" w:sz="1"/>
            </w:tcBorders>
            <w:shd w:fill="92400E" w:val="clear"/>
            <w:tcMar>
              <w:top w:type="dxa" w:w="100"/>
              <w:left w:type="dxa" w:w="160"/>
              <w:bottom w:type="dxa" w:w="100"/>
              <w:right w:type="dxa" w:w="160"/>
            </w:tcMar>
          </w:tcPr>
          <w:p>
            <w:r>
              <w:rPr>
                <w:rFonts w:ascii="Garamond" w:cs="Garamond" w:eastAsia="Garamond" w:hAnsi="Garamond"/>
                <w:b/>
                <w:bCs/>
                <w:color w:val="FFFFFF"/>
                <w:sz w:val="18"/>
                <w:szCs w:val="18"/>
              </w:rPr>
              <w:t xml:space="preserve">Value / Analysis</w:t>
            </w:r>
          </w:p>
        </w:tc>
      </w:tr>
      <w:tr>
        <w:tc>
          <w:tcPr>
            <w:tcW w:type="dxa" w:w="45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pPr>
              <w:jc w:val="left"/>
            </w:pPr>
            <w:r>
              <w:rPr>
                <w:rFonts w:ascii="Garamond" w:cs="Garamond" w:eastAsia="Garamond" w:hAnsi="Garamond"/>
                <w:sz w:val="22"/>
                <w:szCs w:val="22"/>
              </w:rPr>
              <w:t xml:space="preserve">Annual cost per re-incarcerated individual (FL)</w:t>
            </w:r>
          </w:p>
        </w:tc>
        <w:tc>
          <w:tcPr>
            <w:tcW w:type="dxa" w:w="486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~$26,000/year (FL DOC avg)</w:t>
            </w:r>
          </w:p>
        </w:tc>
      </w:tr>
      <w:tr>
        <w:tc>
          <w:tcPr>
            <w:tcW w:type="dxa" w:w="4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left"/>
            </w:pPr>
            <w:r>
              <w:rPr>
                <w:rFonts w:ascii="Garamond" w:cs="Garamond" w:eastAsia="Garamond" w:hAnsi="Garamond"/>
                <w:sz w:val="22"/>
                <w:szCs w:val="22"/>
              </w:rPr>
              <w:t xml:space="preserve">Florida 3-year recidivism rate (private facilities)</w:t>
            </w:r>
          </w:p>
        </w:tc>
        <w:tc>
          <w:tcPr>
            <w:tcW w:type="dxa" w:w="4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~50% (private) vs ~43% (public)</w:t>
            </w:r>
          </w:p>
        </w:tc>
      </w:tr>
      <w:tr>
        <w:tc>
          <w:tcPr>
            <w:tcW w:type="dxa" w:w="45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pPr>
              <w:jc w:val="left"/>
            </w:pPr>
            <w:r>
              <w:rPr>
                <w:rFonts w:ascii="Garamond" w:cs="Garamond" w:eastAsia="Garamond" w:hAnsi="Garamond"/>
                <w:sz w:val="22"/>
                <w:szCs w:val="22"/>
              </w:rPr>
              <w:t xml:space="preserve">FHRI_max improvement from 10.9 to 45</w:t>
            </w:r>
          </w:p>
        </w:tc>
        <w:tc>
          <w:tcPr>
            <w:tcW w:type="dxa" w:w="486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Estimated recidivism reduction: 6-8 percentage points</w:t>
            </w:r>
          </w:p>
        </w:tc>
      </w:tr>
      <w:tr>
        <w:tc>
          <w:tcPr>
            <w:tcW w:type="dxa" w:w="4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left"/>
            </w:pPr>
            <w:r>
              <w:rPr>
                <w:rFonts w:ascii="Garamond" w:cs="Garamond" w:eastAsia="Garamond" w:hAnsi="Garamond"/>
                <w:sz w:val="22"/>
                <w:szCs w:val="22"/>
              </w:rPr>
              <w:t xml:space="preserve">Value of 6-point recidivism reduction (1,000-bed facility)</w:t>
            </w:r>
          </w:p>
        </w:tc>
        <w:tc>
          <w:tcPr>
            <w:tcW w:type="dxa" w:w="4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$1.56M annually in avoided re-incarceration costs</w:t>
            </w:r>
          </w:p>
        </w:tc>
      </w:tr>
      <w:tr>
        <w:tc>
          <w:tcPr>
            <w:tcW w:type="dxa" w:w="45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pPr>
              <w:jc w:val="left"/>
            </w:pPr>
            <w:r>
              <w:rPr>
                <w:rFonts w:ascii="Garamond" w:cs="Garamond" w:eastAsia="Garamond" w:hAnsi="Garamond"/>
                <w:sz w:val="22"/>
                <w:szCs w:val="22"/>
              </w:rPr>
              <w:t xml:space="preserve">BioBond annual interest (base rate - 1.0% at FHRI_max 45)</w:t>
            </w:r>
          </w:p>
        </w:tc>
        <w:tc>
          <w:tcPr>
            <w:tcW w:type="dxa" w:w="486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~$3.5M on $350M facility refinancing</w:t>
            </w:r>
          </w:p>
        </w:tc>
      </w:tr>
      <w:tr>
        <w:tc>
          <w:tcPr>
            <w:tcW w:type="dxa" w:w="4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left"/>
            </w:pPr>
            <w:r>
              <w:rPr>
                <w:rFonts w:ascii="Garamond" w:cs="Garamond" w:eastAsia="Garamond" w:hAnsi="Garamond"/>
                <w:sz w:val="22"/>
                <w:szCs w:val="22"/>
              </w:rPr>
              <w:t xml:space="preserve">State savings available for BioBond service</w:t>
            </w:r>
          </w:p>
        </w:tc>
        <w:tc>
          <w:tcPr>
            <w:tcW w:type="dxa" w:w="4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$1.56M + averted crisis/violence costs (~$800K est.)</w:t>
            </w:r>
          </w:p>
        </w:tc>
      </w:tr>
      <w:tr>
        <w:tc>
          <w:tcPr>
            <w:tcW w:type="dxa" w:w="45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pPr>
              <w:jc w:val="left"/>
            </w:pPr>
            <w:r>
              <w:rPr>
                <w:rFonts w:ascii="Garamond" w:cs="Garamond" w:eastAsia="Garamond" w:hAnsi="Garamond"/>
                <w:sz w:val="22"/>
                <w:szCs w:val="22"/>
              </w:rPr>
              <w:t xml:space="preserve">Net cost-benefit at FHRI_max 45 vs. current structure</w:t>
            </w:r>
          </w:p>
        </w:tc>
        <w:tc>
          <w:tcPr>
            <w:tcW w:type="dxa" w:w="486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Positive for state; returns to investors from shared savings</w:t>
            </w:r>
          </w:p>
        </w:tc>
      </w:tr>
    </w:tbl>
    <w:p>
      <w:pPr>
        <w:spacing w:after="140" w:before="80" w:line="320"/>
      </w:pPr>
      <w:r>
        <w:rPr>
          <w:rFonts w:ascii="Garamond" w:cs="Garamond" w:eastAsia="Garamond" w:hAnsi="Garamond"/>
          <w:sz w:val="23"/>
          <w:szCs w:val="23"/>
        </w:rPr>
        <w:t xml:space="preserve">The BioBond return structure in the correctional sector operates through shared savings: the state retains 60% of verified recidivism reduction savings; the BioBond investors receive 40% as the return on the structural improvement investment. This is not charity. It is accurate accounting of what rehabilitation capacity is worth in avoided incarceration costs — a value that the current per-diem payment architecture makes invisible.</w:t>
      </w:r>
    </w:p>
    <w:p>
      <w:pPr>
        <w:spacing w:after="0" w:before="60"/>
      </w:pPr>
      <w:r>
        <w:t xml:space="preserve"/>
      </w:r>
    </w:p>
    <w:p>
      <w:pPr>
        <w:pStyle w:val="Heading1"/>
        <w:spacing w:after="120" w:before="360"/>
      </w:pPr>
      <w:r>
        <w:rPr>
          <w:rFonts w:ascii="Garamond" w:cs="Garamond" w:eastAsia="Garamond" w:hAnsi="Garamond"/>
          <w:b/>
          <w:bCs/>
          <w:color w:val="0D5E57"/>
          <w:sz w:val="28"/>
          <w:szCs w:val="28"/>
        </w:rPr>
        <w:t xml:space="preserve">6. The Maathai Bottom-Up Pathway</w:t>
      </w:r>
    </w:p>
    <w:p>
      <w:pPr>
        <w:pStyle w:val="Heading2"/>
        <w:spacing w:after="100" w:before="240"/>
      </w:pPr>
      <w:r>
        <w:rPr>
          <w:rFonts w:ascii="Garamond" w:cs="Garamond" w:eastAsia="Garamond" w:hAnsi="Garamond"/>
          <w:b/>
          <w:bCs/>
          <w:color w:val="0D5E57"/>
          <w:sz w:val="24"/>
          <w:szCs w:val="24"/>
        </w:rPr>
        <w:t xml:space="preserve">6.1 What Already Exists in Florida</w:t>
      </w:r>
    </w:p>
    <w:p>
      <w:pPr>
        <w:spacing w:after="140" w:before="80" w:line="320"/>
        <w:ind w:firstLine="720"/>
      </w:pPr>
      <w:r>
        <w:rPr>
          <w:rFonts w:ascii="Garamond" w:cs="Garamond" w:eastAsia="Garamond" w:hAnsi="Garamond"/>
          <w:sz w:val="23"/>
          <w:szCs w:val="23"/>
        </w:rPr>
        <w:t xml:space="preserve">The Maathai principle: do not wait for governance to recognize the value of trees. Build the alternative reality until it becomes too large and too proven to ignore. In Florida, the low-epsilon reentry ecosystem already exists. These organizations are operating at FHRI_max = 55-75 within the ruins of a system at FHRI_max = 10.9. They are the plant in the boot.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888888" w:sz="1"/>
              <w:left w:val="single" w:color="888888" w:sz="1"/>
              <w:bottom w:val="single" w:color="888888" w:sz="1"/>
              <w:right w:val="single" w:color="888888" w:sz="1"/>
            </w:tcBorders>
            <w:shd w:fill="0D5E57" w:val="clear"/>
            <w:tcMar>
              <w:top w:type="dxa" w:w="100"/>
              <w:left w:type="dxa" w:w="160"/>
              <w:bottom w:type="dxa" w:w="100"/>
              <w:right w:type="dxa" w:w="160"/>
            </w:tcMar>
          </w:tcPr>
          <w:p>
            <w:r>
              <w:rPr>
                <w:rFonts w:ascii="Garamond" w:cs="Garamond" w:eastAsia="Garamond" w:hAnsi="Garamond"/>
                <w:b/>
                <w:bCs/>
                <w:color w:val="FFFFFF"/>
                <w:sz w:val="18"/>
                <w:szCs w:val="18"/>
              </w:rPr>
              <w:t xml:space="preserve">Organization</w:t>
            </w:r>
          </w:p>
        </w:tc>
        <w:tc>
          <w:tcPr>
            <w:tcW w:type="dxa" w:w="6560"/>
            <w:tcBorders>
              <w:top w:val="single" w:color="888888" w:sz="1"/>
              <w:left w:val="single" w:color="888888" w:sz="1"/>
              <w:bottom w:val="single" w:color="888888" w:sz="1"/>
              <w:right w:val="single" w:color="888888" w:sz="1"/>
            </w:tcBorders>
            <w:shd w:fill="0D5E57" w:val="clear"/>
            <w:tcMar>
              <w:top w:type="dxa" w:w="100"/>
              <w:left w:type="dxa" w:w="160"/>
              <w:bottom w:type="dxa" w:w="100"/>
              <w:right w:type="dxa" w:w="160"/>
            </w:tcMar>
          </w:tcPr>
          <w:p>
            <w:r>
              <w:rPr>
                <w:rFonts w:ascii="Garamond" w:cs="Garamond" w:eastAsia="Garamond" w:hAnsi="Garamond"/>
                <w:b/>
                <w:bCs/>
                <w:color w:val="FFFFFF"/>
                <w:sz w:val="18"/>
                <w:szCs w:val="18"/>
              </w:rPr>
              <w:t xml:space="preserve">Role in Maathai Pathway</w:t>
            </w:r>
          </w:p>
        </w:tc>
      </w:tr>
      <w:tr>
        <w:tc>
          <w:tcPr>
            <w:tcW w:type="dxa" w:w="28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pPr>
              <w:jc w:val="left"/>
            </w:pPr>
            <w:r>
              <w:rPr>
                <w:rFonts w:ascii="Garamond" w:cs="Garamond" w:eastAsia="Garamond" w:hAnsi="Garamond"/>
                <w:sz w:val="22"/>
                <w:szCs w:val="22"/>
              </w:rPr>
              <w:t xml:space="preserve">Unchained Industries (Tampa)</w:t>
            </w:r>
          </w:p>
        </w:tc>
        <w:tc>
          <w:tcPr>
            <w:tcW w:type="dxa" w:w="656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Social enterprise employing formerly incarcerated workers. Documented recidivism rate 40-60% below state average. Worker-ownership model: ε = 0.000, μ = 0.08. BioBond-eligible by FHRI_max profile.</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left"/>
            </w:pPr>
            <w:r>
              <w:rPr>
                <w:rFonts w:ascii="Garamond" w:cs="Garamond" w:eastAsia="Garamond" w:hAnsi="Garamond"/>
                <w:sz w:val="22"/>
                <w:szCs w:val="22"/>
              </w:rPr>
              <w:t xml:space="preserve">Florida Council of Churches prison ministry</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Chaplaincy network maintaining relational continuity across the high-turnover guard environment. Low-σ because relationships persist across staff turnover. Operates inside the extraction architecture at dramatically higher FHRI than the surrounding institution.</w:t>
            </w:r>
          </w:p>
        </w:tc>
      </w:tr>
      <w:tr>
        <w:tc>
          <w:tcPr>
            <w:tcW w:type="dxa" w:w="28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pPr>
              <w:jc w:val="left"/>
            </w:pPr>
            <w:r>
              <w:rPr>
                <w:rFonts w:ascii="Garamond" w:cs="Garamond" w:eastAsia="Garamond" w:hAnsi="Garamond"/>
                <w:sz w:val="22"/>
                <w:szCs w:val="22"/>
              </w:rPr>
              <w:t xml:space="preserve">FORCE (FL Formerly Incarcerated Network)</w:t>
            </w:r>
          </w:p>
        </w:tc>
        <w:tc>
          <w:tcPr>
            <w:tcW w:type="dxa" w:w="656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Advocacy and organizing. Creates the political pressure that makes T1 regulatory reform achievable. Provides community accountability for reentry outcomes that private facilities are structurally unable to provide.</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left"/>
            </w:pPr>
            <w:r>
              <w:rPr>
                <w:rFonts w:ascii="Garamond" w:cs="Garamond" w:eastAsia="Garamond" w:hAnsi="Garamond"/>
                <w:sz w:val="22"/>
                <w:szCs w:val="22"/>
              </w:rPr>
              <w:t xml:space="preserve">Pinellas Ex-Offender Reentry Coalition (PERC)</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Multi-agency coordination for reentry services in Pinellas County. Documents the gap between what GEO facilities provide and what reentry coordination requires.</w:t>
            </w:r>
          </w:p>
        </w:tc>
      </w:tr>
      <w:tr>
        <w:tc>
          <w:tcPr>
            <w:tcW w:type="dxa" w:w="280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pPr>
              <w:jc w:val="left"/>
            </w:pPr>
            <w:r>
              <w:rPr>
                <w:rFonts w:ascii="Garamond" w:cs="Garamond" w:eastAsia="Garamond" w:hAnsi="Garamond"/>
                <w:sz w:val="22"/>
                <w:szCs w:val="22"/>
              </w:rPr>
              <w:t xml:space="preserve">Legal Services of Greater Miami (prison division)</w:t>
            </w:r>
          </w:p>
        </w:tc>
        <w:tc>
          <w:tcPr>
            <w:tcW w:type="dxa" w:w="6560"/>
            <w:tcBorders>
              <w:top w:val="single" w:color="DDDDDD" w:sz="1"/>
              <w:left w:val="single" w:color="DDDDDD" w:sz="1"/>
              <w:bottom w:val="single" w:color="DDDDDD" w:sz="1"/>
              <w:right w:val="single" w:color="DDDDDD" w:sz="1"/>
            </w:tcBorders>
            <w:shd w:fill="F9FAFB" w:val="clear"/>
            <w:tcMar>
              <w:top w:type="dxa" w:w="100"/>
              <w:left w:type="dxa" w:w="160"/>
              <w:bottom w:type="dxa" w:w="100"/>
              <w:right w:type="dxa" w:w="160"/>
            </w:tcMar>
          </w:tcPr>
          <w:p>
            <w:pPr>
              <w:jc w:val="center"/>
            </w:pPr>
            <w:r>
              <w:rPr>
                <w:rFonts w:ascii="Courier New" w:cs="Courier New" w:eastAsia="Courier New" w:hAnsi="Courier New"/>
                <w:sz w:val="18"/>
                <w:szCs w:val="18"/>
              </w:rPr>
              <w:t xml:space="preserve">Legal advocacy producing the external pressure on GEO Group that the ρ parameter cannot produce internally. Each lawsuit is a form of agential life detection making Interpretant replacement visible.</w:t>
            </w:r>
          </w:p>
        </w:tc>
      </w:tr>
    </w:tbl>
    <w:p>
      <w:pPr>
        <w:spacing w:after="0" w:before="60"/>
      </w:pPr>
      <w:r>
        <w:t xml:space="preserve"/>
      </w:r>
    </w:p>
    <w:p>
      <w:pPr>
        <w:pStyle w:val="Heading2"/>
        <w:spacing w:after="100" w:before="240"/>
      </w:pPr>
      <w:r>
        <w:rPr>
          <w:rFonts w:ascii="Garamond" w:cs="Garamond" w:eastAsia="Garamond" w:hAnsi="Garamond"/>
          <w:b/>
          <w:bCs/>
          <w:color w:val="0D5E57"/>
          <w:sz w:val="24"/>
          <w:szCs w:val="24"/>
        </w:rPr>
        <w:t xml:space="preserve">6.2 The BioBond Scaling Mechanism</w:t>
      </w:r>
    </w:p>
    <w:p>
      <w:pPr>
        <w:spacing w:after="140" w:before="80" w:line="320"/>
        <w:ind w:firstLine="720"/>
      </w:pPr>
      <w:r>
        <w:rPr>
          <w:rFonts w:ascii="Garamond" w:cs="Garamond" w:eastAsia="Garamond" w:hAnsi="Garamond"/>
          <w:sz w:val="23"/>
          <w:szCs w:val="23"/>
        </w:rPr>
        <w:t xml:space="preserve">The BioBond does not finance the conversion of GEO Group facilities directly in Phase 1. It finances the scaling of the alternatives that already exist — in the pattern of the Evergreen Cooperatives in Cleveland. The pathway:</w:t>
      </w:r>
    </w:p>
    <w:p>
      <w:pPr>
        <w:spacing w:after="140" w:before="80" w:line="320"/>
      </w:pPr>
      <w:r>
        <w:rPr>
          <w:rFonts w:ascii="Garamond" w:cs="Garamond" w:eastAsia="Garamond" w:hAnsi="Garamond"/>
          <w:sz w:val="23"/>
          <w:szCs w:val="23"/>
        </w:rPr>
        <w:t xml:space="preserve"/>
      </w:r>
      <w:r>
        <w:rPr>
          <w:rFonts w:ascii="Garamond" w:cs="Garamond" w:eastAsia="Garamond" w:hAnsi="Garamond"/>
          <w:b/>
          <w:bCs/>
          <w:sz w:val="23"/>
          <w:szCs w:val="23"/>
        </w:rPr>
        <w:t xml:space="preserve">Phase 1 (Years 1-3): Measurement infrastructure.</w:t>
      </w:r>
      <w:r>
        <w:rPr>
          <w:rFonts w:ascii="Garamond" w:cs="Garamond" w:eastAsia="Garamond" w:hAnsi="Garamond"/>
          <w:sz w:val="23"/>
          <w:szCs w:val="23"/>
        </w:rPr>
        <w:t xml:space="preserve"/>
      </w:r>
    </w:p>
    <w:p>
      <w:pPr>
        <w:spacing w:after="140" w:before="80" w:line="320"/>
      </w:pPr>
      <w:r>
        <w:rPr>
          <w:rFonts w:ascii="Garamond" w:cs="Garamond" w:eastAsia="Garamond" w:hAnsi="Garamond"/>
          <w:sz w:val="23"/>
          <w:szCs w:val="23"/>
        </w:rPr>
        <w:t xml:space="preserve">The PBC establishes baseline IPS profiles for all Florida DOC contract facilities using public data (GEO 10-K filings, DOC reports, ACLU investigations, OSHA findings). This creates the FHRI_max measurement the BioBond requires. Simultaneously, ACP support functions begin: FHRI_max lookup tool available to families and advocates, navigation services connecting system-impacted families to low-epsilon reentry organizations, regulatory comments supporting beneficial ownership disclosure.</w:t>
      </w:r>
    </w:p>
    <w:p>
      <w:pPr>
        <w:spacing w:after="0" w:before="60"/>
      </w:pPr>
      <w:r>
        <w:t xml:space="preserve"/>
      </w:r>
    </w:p>
    <w:p>
      <w:pPr>
        <w:spacing w:after="140" w:before="80" w:line="320"/>
      </w:pPr>
      <w:r>
        <w:rPr>
          <w:rFonts w:ascii="Garamond" w:cs="Garamond" w:eastAsia="Garamond" w:hAnsi="Garamond"/>
          <w:sz w:val="23"/>
          <w:szCs w:val="23"/>
        </w:rPr>
        <w:t xml:space="preserve"/>
      </w:r>
      <w:r>
        <w:rPr>
          <w:rFonts w:ascii="Garamond" w:cs="Garamond" w:eastAsia="Garamond" w:hAnsi="Garamond"/>
          <w:b/>
          <w:bCs/>
          <w:sz w:val="23"/>
          <w:szCs w:val="23"/>
        </w:rPr>
        <w:t xml:space="preserve">Phase 2 (Years 3-6): Pilot BioBond for low-epsilon alternatives.</w:t>
      </w:r>
      <w:r>
        <w:rPr>
          <w:rFonts w:ascii="Garamond" w:cs="Garamond" w:eastAsia="Garamond" w:hAnsi="Garamond"/>
          <w:sz w:val="23"/>
          <w:szCs w:val="23"/>
        </w:rPr>
        <w:t xml:space="preserve"/>
      </w:r>
    </w:p>
    <w:p>
      <w:pPr>
        <w:spacing w:after="140" w:before="80" w:line="320"/>
      </w:pPr>
      <w:r>
        <w:rPr>
          <w:rFonts w:ascii="Garamond" w:cs="Garamond" w:eastAsia="Garamond" w:hAnsi="Garamond"/>
          <w:sz w:val="23"/>
          <w:szCs w:val="23"/>
        </w:rPr>
        <w:t xml:space="preserve">A first BioBond is issued to capitalize the scaling of Unchained Industries or a comparable Florida low-epsilon reentry organization. Target: expand capacity from 50 formerly incarcerated employees to 500, covering 10 Florida counties with documented reentry services. BioBond terms: 4% return at FHRI_max 55+ maintained for three consecutive annual measurement periods; Hysteresis Recovery Tranche providing initial capital for organizational infrastructure; PBC structure required.</w:t>
      </w:r>
    </w:p>
    <w:p>
      <w:pPr>
        <w:spacing w:after="0" w:before="60"/>
      </w:pPr>
      <w:r>
        <w:t xml:space="preserve"/>
      </w:r>
    </w:p>
    <w:p>
      <w:pPr>
        <w:spacing w:after="140" w:before="80" w:line="320"/>
      </w:pPr>
      <w:r>
        <w:rPr>
          <w:rFonts w:ascii="Garamond" w:cs="Garamond" w:eastAsia="Garamond" w:hAnsi="Garamond"/>
          <w:sz w:val="23"/>
          <w:szCs w:val="23"/>
        </w:rPr>
        <w:t xml:space="preserve"/>
      </w:r>
      <w:r>
        <w:rPr>
          <w:rFonts w:ascii="Garamond" w:cs="Garamond" w:eastAsia="Garamond" w:hAnsi="Garamond"/>
          <w:b/>
          <w:bCs/>
          <w:sz w:val="23"/>
          <w:szCs w:val="23"/>
        </w:rPr>
        <w:t xml:space="preserve">Phase 3 (Years 6-12): Market pressure and contract renegotiation.</w:t>
      </w:r>
      <w:r>
        <w:rPr>
          <w:rFonts w:ascii="Garamond" w:cs="Garamond" w:eastAsia="Garamond" w:hAnsi="Garamond"/>
          <w:sz w:val="23"/>
          <w:szCs w:val="23"/>
        </w:rPr>
        <w:t xml:space="preserve"/>
      </w:r>
    </w:p>
    <w:p>
      <w:pPr>
        <w:spacing w:after="140" w:before="80" w:line="320"/>
      </w:pPr>
      <w:r>
        <w:rPr>
          <w:rFonts w:ascii="Garamond" w:cs="Garamond" w:eastAsia="Garamond" w:hAnsi="Garamond"/>
          <w:sz w:val="23"/>
          <w:szCs w:val="23"/>
        </w:rPr>
        <w:t xml:space="preserve">As the BioBond-financed alternatives capture 15-20% of Florida reentry population, the state has demonstrated at scale that low-epsilon institutional structures produce lower recidivism at comparable or lower cost. This is the data foundation for contract renegotiation: the comparison is no longer theoretical. The Florida legislature has an evidence base for requiring FHRI_max floor standards in DOC contracting — not because legislators became more ethical, but because the measurement infrastructure makes the structural comparison impossible to ignore politically.</w:t>
      </w:r>
    </w:p>
    <w:p>
      <w:pPr>
        <w:spacing w:after="0" w:before="60"/>
      </w:pPr>
      <w:r>
        <w:t xml:space="preserve"/>
      </w:r>
    </w:p>
    <w:p>
      <w:pPr>
        <w:pStyle w:val="Heading1"/>
        <w:spacing w:after="120" w:before="360"/>
      </w:pPr>
      <w:r>
        <w:rPr>
          <w:rFonts w:ascii="Garamond" w:cs="Garamond" w:eastAsia="Garamond" w:hAnsi="Garamond"/>
          <w:b/>
          <w:bCs/>
          <w:color w:val="0D5E57"/>
          <w:sz w:val="28"/>
          <w:szCs w:val="28"/>
        </w:rPr>
        <w:t xml:space="preserve">7. What P-SAGE Adds That Standard Prison Reform Analysis Cannot</w:t>
      </w:r>
    </w:p>
    <w:p>
      <w:pPr>
        <w:spacing w:after="140" w:before="80" w:line="320"/>
        <w:ind w:firstLine="720"/>
      </w:pPr>
      <w:r>
        <w:rPr>
          <w:rFonts w:ascii="Garamond" w:cs="Garamond" w:eastAsia="Garamond" w:hAnsi="Garamond"/>
          <w:sz w:val="23"/>
          <w:szCs w:val="23"/>
        </w:rPr>
        <w:t xml:space="preserve">Standard prison reform analysis asks: are private prisons worse than public prisons? The research answer is: marginally, inconsistently, and across metrics that are difficult to compare. This is the correct empirical answer and it produces policy paralysis, because marginal inconsistent differences are insufficient to motivate structural change.</w:t>
      </w:r>
    </w:p>
    <w:p>
      <w:pPr>
        <w:spacing w:after="140" w:before="80" w:line="320"/>
        <w:ind w:firstLine="720"/>
      </w:pPr>
      <w:r>
        <w:rPr>
          <w:rFonts w:ascii="Garamond" w:cs="Garamond" w:eastAsia="Garamond" w:hAnsi="Garamond"/>
          <w:sz w:val="23"/>
          <w:szCs w:val="23"/>
        </w:rPr>
        <w:t xml:space="preserve">P-SAGE asks: what is the formally derived responsible party for the documented harm? The answer is computable: the ownership architecture that achieved P-adic proximity to the programming budget allocation channel and replaced the Interpretant from rehabilitation-mission to extraction-vehicle. The harm is not "private prisons are somewhat worse." The harm is FHRI_max = 10.9 vs. FHRI_max = 49.7 — a 38.8-point structural gap producing 89.1% absorption of professional coordination capacity before it reaches programming decisions. This is not a statistical finding. It is a structural finding with a specific formal address.</w:t>
      </w:r>
    </w:p>
    <w:p>
      <w:pPr>
        <w:spacing w:after="140" w:before="80" w:line="320"/>
        <w:ind w:firstLine="720"/>
      </w:pPr>
      <w:r>
        <w:rPr>
          <w:rFonts w:ascii="Garamond" w:cs="Garamond" w:eastAsia="Garamond" w:hAnsi="Garamond"/>
          <w:sz w:val="23"/>
          <w:szCs w:val="23"/>
        </w:rPr>
        <w:t xml:space="preserve">The responsible party is not the individual correctional officer with 43% annual turnover probability, experiencing the same moral injury as Roger Boisjoly, whose anomaly reports are structurally absorbed without producing structural change. The responsible party is the ownership architecture that imposed FHRI_max = 10.9 on that officer's professional context by replacing the Interpretant of the budget allocation channel. And after the IPS measurement exists and FHRI_max is citable, any ownership architecture that imposes FHRI_max = 10.9 on a facility's staff and incarcerated population is making a choice whose consequences are known. That is individual culpability layered on structural responsibility.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1B6" w:sz="4"/>
              <w:left w:val="single" w:color="5B21B6" w:sz="12"/>
              <w:bottom w:val="single" w:color="DDDDDD" w:sz="1"/>
              <w:right w:val="single" w:color="DDDDDD" w:sz="1"/>
            </w:tcBorders>
            <w:shd w:fill="EDE9FE" w:val="clear"/>
            <w:tcMar>
              <w:top w:type="dxa" w:w="120"/>
              <w:left w:type="dxa" w:w="200"/>
              <w:bottom w:type="dxa" w:w="120"/>
              <w:right w:type="dxa" w:w="160"/>
            </w:tcMar>
          </w:tcPr>
          <w:p>
            <w:pPr>
              <w:spacing w:after="80" w:before="80"/>
            </w:pPr>
            <w:r>
              <w:rPr>
                <w:rFonts w:ascii="Garamond" w:cs="Garamond" w:eastAsia="Garamond" w:hAnsi="Garamond"/>
                <w:b/>
                <w:bCs/>
                <w:caps/>
                <w:color w:val="5B21B6"/>
                <w:spacing w:val="50"/>
                <w:sz w:val="17"/>
                <w:szCs w:val="17"/>
              </w:rPr>
              <w:t xml:space="preserve">THE MAATHAI PRINCIPLE IN THE CORRECTIONAL CONTEXT</w:t>
            </w:r>
          </w:p>
          <w:p>
            <w:pPr>
              <w:spacing w:after="80" w:before="60" w:line="305"/>
            </w:pPr>
            <w:r>
              <w:rPr>
                <w:rFonts w:ascii="Garamond" w:cs="Garamond" w:eastAsia="Garamond" w:hAnsi="Garamond"/>
                <w:sz w:val="22"/>
                <w:szCs w:val="22"/>
              </w:rPr>
              <w:t xml:space="preserve">Maathai did not fight the government that had deforested Kenya. She planted 50 million trees with 900,000 women until the alternative reality was too large to ignore.</w:t>
            </w:r>
          </w:p>
          <w:p>
            <w:pPr>
              <w:spacing w:after="80" w:before="60" w:line="305"/>
            </w:pPr>
            <w:r>
              <w:rPr>
                <w:rFonts w:ascii="Garamond" w:cs="Garamond" w:eastAsia="Garamond" w:hAnsi="Garamond"/>
                <w:sz w:val="22"/>
                <w:szCs w:val="22"/>
              </w:rPr>
              <w:t xml:space="preserve">Unchained Industries does not fight GEO Group. It employs formerly incarcerated people at living wages with worker ownership, documents their recidivism rates, and builds the alternative until the comparison is undeniable.</w:t>
            </w:r>
          </w:p>
          <w:p>
            <w:pPr>
              <w:spacing w:after="80" w:before="60" w:line="305"/>
            </w:pPr>
            <w:r>
              <w:rPr>
                <w:rFonts w:ascii="Garamond" w:cs="Garamond" w:eastAsia="Garamond" w:hAnsi="Garamond"/>
                <w:sz w:val="22"/>
                <w:szCs w:val="22"/>
              </w:rPr>
              <w:t xml:space="preserve">The BioBond does not require GEO Group to become virtuous. It makes FHRI_max improvement financially rational. The PBC structure makes it legally durable. The IPS measurement makes it politically unavoidable. This is the AMC operating at its first leverage level: not replacing the extraction architecture by force, but making the low-epsilon alternative so measurably superior and financially attractive that the extraction architecture loses its competitive advantage — one facility, one county, one state at a time.</w:t>
            </w:r>
          </w:p>
        </w:tc>
      </w:tr>
    </w:tbl>
    <w:p>
      <w:pPr>
        <w:spacing w:after="0" w:before="60"/>
      </w:pPr>
      <w:r>
        <w:t xml:space="preserve"/>
      </w:r>
    </w:p>
    <w:p>
      <w:pPr>
        <w:pStyle w:val="Heading1"/>
        <w:spacing w:after="120" w:before="360"/>
      </w:pPr>
      <w:r>
        <w:rPr>
          <w:rFonts w:ascii="Garamond" w:cs="Garamond" w:eastAsia="Garamond" w:hAnsi="Garamond"/>
          <w:b/>
          <w:bCs/>
          <w:color w:val="0D5E57"/>
          <w:sz w:val="28"/>
          <w:szCs w:val="28"/>
        </w:rPr>
        <w:t xml:space="preserve">8. Conclusion and Research Agenda</w:t>
      </w:r>
    </w:p>
    <w:p>
      <w:pPr>
        <w:spacing w:after="140" w:before="80" w:line="320"/>
        <w:ind w:firstLine="720"/>
      </w:pPr>
      <w:r>
        <w:rPr>
          <w:rFonts w:ascii="Garamond" w:cs="Garamond" w:eastAsia="Garamond" w:hAnsi="Garamond"/>
          <w:sz w:val="23"/>
          <w:szCs w:val="23"/>
        </w:rPr>
        <w:t xml:space="preserve">This paper has demonstrated: (1) the cross-sector validation of the IPS scale-free law (FHRI_max = 10.9 for GEO Group Florida facilities confirms the formal mechanism is identical to PE nursing home sector despite completely different sector content); (2) the BioBond instrument specification for the correctional sector (margin ratchets, Hysteresis Recovery Tranche, PBC transition pathway); and (3) the Maathai bottom-up pathway in Florida (Unchained Industries and the Florida reentry ecosystem as the low-epsilon alternatives BioBond financing would scale).</w:t>
      </w:r>
    </w:p>
    <w:p>
      <w:pPr>
        <w:spacing w:after="140" w:before="80" w:line="320"/>
        <w:ind w:firstLine="720"/>
      </w:pPr>
      <w:r>
        <w:rPr>
          <w:rFonts w:ascii="Garamond" w:cs="Garamond" w:eastAsia="Garamond" w:hAnsi="Garamond"/>
          <w:sz w:val="23"/>
          <w:szCs w:val="23"/>
        </w:rPr>
        <w:t xml:space="preserve">The research agenda this paper opens: (a) empirical calibration of Florida DOC facility FHRI_max profiles using public data sources (this paper uses estimated parameters; direct IPS audit of specific facilities using GEO 10-K data and DOC inspection reports would produce citable facility-level FHRI_max profiles); (b) BioBond term sheet development with capital architect board member for the Unchained Industries pilot; (c) Florida legislative engagement on beneficial ownership disclosure for DOC contractors (the most immediately achievable T1 regulatory instrument); (d) academic publication in criminal justice policy journals establishing FHRI_max as a citable metric in the prison privatization literature.</w:t>
      </w:r>
    </w:p>
    <w:p>
      <w:pPr>
        <w:spacing w:after="0" w:before="60"/>
      </w:pPr>
      <w:r>
        <w:t xml:space="preserve"/>
      </w:r>
    </w:p>
    <w:p>
      <w:pPr>
        <w:pBdr>
          <w:top w:val="single" w:color="CCCCCC" w:sz="1"/>
        </w:pBdr>
        <w:spacing w:after="60" w:before="200"/>
      </w:pPr>
    </w:p>
    <w:p>
      <w:pPr>
        <w:spacing w:after="60" w:before="80"/>
      </w:pPr>
      <w:r>
        <w:rPr>
          <w:rFonts w:ascii="Garamond" w:cs="Garamond" w:eastAsia="Garamond" w:hAnsi="Garamond"/>
          <w:b/>
          <w:bCs/>
          <w:color w:val="374151"/>
          <w:sz w:val="20"/>
          <w:szCs w:val="20"/>
        </w:rPr>
        <w:t xml:space="preserve">References</w:t>
      </w:r>
    </w:p>
    <w:p>
      <w:pPr>
        <w:spacing w:after="80" w:before="40" w:line="265"/>
        <w:ind w:left="720" w:hanging="720"/>
      </w:pPr>
      <w:r>
        <w:rPr>
          <w:rFonts w:ascii="Garamond" w:cs="Garamond" w:eastAsia="Garamond" w:hAnsi="Garamond"/>
          <w:sz w:val="20"/>
          <w:szCs w:val="20"/>
        </w:rPr>
        <w:t xml:space="preserve">AFSC Investigate. (2024). The GEO Group, Inc. Retrieved from investigate.afsc.org.</w:t>
      </w:r>
    </w:p>
    <w:p>
      <w:pPr>
        <w:spacing w:after="80" w:before="40" w:line="265"/>
        <w:ind w:left="720" w:hanging="720"/>
      </w:pPr>
      <w:r>
        <w:rPr>
          <w:rFonts w:ascii="Garamond" w:cs="Garamond" w:eastAsia="Garamond" w:hAnsi="Garamond"/>
          <w:sz w:val="20"/>
          <w:szCs w:val="20"/>
        </w:rPr>
        <w:t xml:space="preserve">Cicero Institute. (2024). Aligning Profit with Outcomes in Private Prison Procurement. Cicero Institute Research.</w:t>
      </w:r>
    </w:p>
    <w:p>
      <w:pPr>
        <w:spacing w:after="80" w:before="40" w:line="265"/>
        <w:ind w:left="720" w:hanging="720"/>
      </w:pPr>
      <w:r>
        <w:rPr>
          <w:rFonts w:ascii="Garamond" w:cs="Garamond" w:eastAsia="Garamond" w:hAnsi="Garamond"/>
          <w:sz w:val="20"/>
          <w:szCs w:val="20"/>
        </w:rPr>
        <w:t xml:space="preserve">GEO Group, Inc. (2023). Annual Report (Form 10-K). Securities and Exchange Commission.</w:t>
      </w:r>
    </w:p>
    <w:p>
      <w:pPr>
        <w:spacing w:after="80" w:before="40" w:line="265"/>
        <w:ind w:left="720" w:hanging="720"/>
      </w:pPr>
      <w:r>
        <w:rPr>
          <w:rFonts w:ascii="Garamond" w:cs="Garamond" w:eastAsia="Garamond" w:hAnsi="Garamond"/>
          <w:sz w:val="20"/>
          <w:szCs w:val="20"/>
        </w:rPr>
        <w:t xml:space="preserve">GEO Group, Inc. (2022). Success in Florida: GEO Continuum of Care. wearegeo.com.</w:t>
      </w:r>
    </w:p>
    <w:p>
      <w:pPr>
        <w:spacing w:after="80" w:before="40" w:line="265"/>
        <w:ind w:left="720" w:hanging="720"/>
      </w:pPr>
      <w:r>
        <w:rPr>
          <w:rFonts w:ascii="Garamond" w:cs="Garamond" w:eastAsia="Garamond" w:hAnsi="Garamond"/>
          <w:sz w:val="20"/>
          <w:szCs w:val="20"/>
        </w:rPr>
        <w:t xml:space="preserve">In the Public Interest. (2016). How Private Prison Companies Increase Recidivism. Research Brief, June 2016.</w:t>
      </w:r>
    </w:p>
    <w:p>
      <w:pPr>
        <w:spacing w:after="80" w:before="40" w:line="265"/>
        <w:ind w:left="720" w:hanging="720"/>
      </w:pPr>
      <w:r>
        <w:rPr>
          <w:rFonts w:ascii="Garamond" w:cs="Garamond" w:eastAsia="Garamond" w:hAnsi="Garamond"/>
          <w:sz w:val="20"/>
          <w:szCs w:val="20"/>
        </w:rPr>
        <w:t xml:space="preserve">Mertzman, R. (2026). The Scale-Free Semiotic Architecture of Institutional Parasitism: P-Adic Proximity, Triadic Overwrite, and the Formal Basis of P-SAGE. Philosophy Lab Corporation Working Paper.</w:t>
      </w:r>
    </w:p>
    <w:p>
      <w:pPr>
        <w:spacing w:after="80" w:before="40" w:line="265"/>
        <w:ind w:left="720" w:hanging="720"/>
      </w:pPr>
      <w:r>
        <w:rPr>
          <w:rFonts w:ascii="Garamond" w:cs="Garamond" w:eastAsia="Garamond" w:hAnsi="Garamond"/>
          <w:sz w:val="20"/>
          <w:szCs w:val="20"/>
        </w:rPr>
        <w:t xml:space="preserve">Mertzman, R. (2026). μ as a Computable Structural Parameter: Home Health VBP as Cross-Sector IPS Validation. Philosophy Lab Corporation Research Brief.</w:t>
      </w:r>
    </w:p>
    <w:p>
      <w:pPr>
        <w:spacing w:after="80" w:before="40" w:line="265"/>
        <w:ind w:left="720" w:hanging="720"/>
      </w:pPr>
      <w:r>
        <w:rPr>
          <w:rFonts w:ascii="Garamond" w:cs="Garamond" w:eastAsia="Garamond" w:hAnsi="Garamond"/>
          <w:sz w:val="20"/>
          <w:szCs w:val="20"/>
        </w:rPr>
        <w:t xml:space="preserve">Mukherjee, A. (2016). Impacts of Private Prison Contracting on Inmate Time Served and Recidivism. American Economic Journal: Economic Policy, 8(1), 228-260.</w:t>
      </w:r>
    </w:p>
    <w:p>
      <w:pPr>
        <w:spacing w:after="80" w:before="40" w:line="265"/>
        <w:ind w:left="720" w:hanging="720"/>
      </w:pPr>
      <w:r>
        <w:rPr>
          <w:rFonts w:ascii="Garamond" w:cs="Garamond" w:eastAsia="Garamond" w:hAnsi="Garamond"/>
          <w:sz w:val="20"/>
          <w:szCs w:val="20"/>
        </w:rPr>
        <w:t xml:space="preserve">Peterson, L., et al. (2025). Change of Ownership and Quality in Florida Nursing Homes. AARP Florida / USF Florida Policy Exchange Center on Aging.</w:t>
      </w:r>
    </w:p>
    <w:p>
      <w:pPr>
        <w:spacing w:after="80" w:before="40" w:line="265"/>
        <w:ind w:left="720" w:hanging="720"/>
      </w:pPr>
      <w:r>
        <w:rPr>
          <w:rFonts w:ascii="Garamond" w:cs="Garamond" w:eastAsia="Garamond" w:hAnsi="Garamond"/>
          <w:sz w:val="20"/>
          <w:szCs w:val="20"/>
        </w:rPr>
        <w:t xml:space="preserve">Sapolsky, R. (2017). Behave: The Biology of Humans at Our Best and Worst. Penguin Press.</w:t>
      </w:r>
    </w:p>
    <w:p>
      <w:pPr>
        <w:spacing w:after="80" w:before="40" w:line="265"/>
        <w:ind w:left="720" w:hanging="720"/>
      </w:pPr>
      <w:r>
        <w:rPr>
          <w:rFonts w:ascii="Garamond" w:cs="Garamond" w:eastAsia="Garamond" w:hAnsi="Garamond"/>
          <w:sz w:val="20"/>
          <w:szCs w:val="20"/>
        </w:rPr>
        <w:t xml:space="preserve">SourceWatch. (2024). GEO Group. sourcewatch.org.</w:t>
      </w:r>
    </w:p>
    <w:p>
      <w:pPr>
        <w:spacing w:after="80" w:before="40" w:line="265"/>
        <w:ind w:left="720" w:hanging="720"/>
      </w:pPr>
      <w:r>
        <w:rPr>
          <w:rFonts w:ascii="Garamond" w:cs="Garamond" w:eastAsia="Garamond" w:hAnsi="Garamond"/>
          <w:sz w:val="20"/>
          <w:szCs w:val="20"/>
        </w:rPr>
        <w:t xml:space="preserve">Wikipedia. (2024). GEO Group. Retrieved April 2026.</w:t>
      </w:r>
    </w:p>
    <w:p>
      <w:pPr>
        <w:spacing w:after="0" w:before="60"/>
      </w:pPr>
      <w:r>
        <w:t xml:space="preserve"/>
      </w:r>
    </w:p>
    <w:p>
      <w:pPr>
        <w:spacing w:after="0" w:before="80"/>
      </w:pPr>
      <w:r>
        <w:rPr>
          <w:rFonts w:ascii="Garamond" w:cs="Garamond" w:eastAsia="Garamond" w:hAnsi="Garamond"/>
          <w:color w:val="9CA3AF"/>
          <w:sz w:val="17"/>
          <w:szCs w:val="17"/>
        </w:rPr>
        <w:t xml:space="preserve">Working Paper · Philosophy Lab Corporation · April 2026 · Not for citation without author permission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spacing w:before="100"/>
    </w:pPr>
    <w:r>
      <w:rPr>
        <w:rFonts w:ascii="Garamond" w:cs="Garamond" w:eastAsia="Garamond" w:hAnsi="Garamond"/>
        <w:color w:val="9CA3AF"/>
        <w:sz w:val="17"/>
        <w:szCs w:val="17"/>
      </w:rPr>
      <w:t xml:space="preserve">Philosophy Lab Corporation · Working Paper · April 2026</w:t>
    </w:r>
    <w:r>
      <w:rPr>
        <w:rFonts w:ascii="Garamond" w:cs="Garamond" w:eastAsia="Garamond" w:hAnsi="Garamond"/>
        <w:sz w:val="17"/>
        <w:szCs w:val="17"/>
      </w:rPr>
      <w:t xml:space="preserve">	</w:t>
    </w:r>
    <w:r>
      <w:rPr>
        <w:rFonts w:ascii="Garamond" w:cs="Garamond" w:eastAsia="Garamond" w:hAnsi="Garamond"/>
        <w:color w:val="9CA3A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5E57" w:sz="4" w:space="1"/>
      </w:pBdr>
      <w:spacing w:after="100"/>
    </w:pPr>
    <w:r>
      <w:rPr>
        <w:rFonts w:ascii="Garamond" w:cs="Garamond" w:eastAsia="Garamond" w:hAnsi="Garamond"/>
        <w:color w:val="374151"/>
        <w:sz w:val="18"/>
        <w:szCs w:val="18"/>
      </w:rPr>
      <w:t xml:space="preserve">From Parasite to Commonwealth · IPS Audit: GEO Group Florida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rPr>
        <w:rFonts w:ascii="Garamond" w:cs="Garamond" w:eastAsia="Garamond" w:hAnsi="Garamond"/>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Garamond" w:cs="Garamond" w:eastAsia="Garamond" w:hAnsi="Garamond"/>
      <w:b/>
      <w:bCs/>
      <w:color w:val="0D5E57"/>
      <w:sz w:val="28"/>
      <w:szCs w:val="28"/>
    </w:rPr>
  </w:style>
  <w:style w:type="paragraph" w:styleId="Heading2">
    <w:name w:val="Heading 2"/>
    <w:basedOn w:val="Normal"/>
    <w:next w:val="Normal"/>
    <w:qFormat/>
    <w:pPr>
      <w:spacing w:after="100" w:before="220"/>
      <w:outlineLvl w:val="1"/>
    </w:pPr>
    <w:rPr>
      <w:rFonts w:ascii="Garamond" w:cs="Garamond" w:eastAsia="Garamond" w:hAnsi="Garamond"/>
      <w:b/>
      <w:bCs/>
      <w:color w:val="0D5E57"/>
      <w:sz w:val="24"/>
      <w:szCs w:val="24"/>
    </w:rPr>
  </w:style>
  <w:style w:type="paragraph" w:styleId="Heading3">
    <w:name w:val="Heading 3"/>
    <w:basedOn w:val="Normal"/>
    <w:next w:val="Normal"/>
    <w:qFormat/>
    <w:pPr>
      <w:spacing w:after="80" w:before="160"/>
      <w:outlineLvl w:val="2"/>
    </w:pPr>
    <w:rPr>
      <w:rFonts w:ascii="Garamond" w:cs="Garamond" w:eastAsia="Garamond" w:hAnsi="Garamond"/>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2026-04-17T10:14:32.685Z</dcterms:created>
  <dcterms:modified xsi:type="dcterms:W3CDTF">2026-04-17T10:14:32.686Z</dcterms:modified>
</cp:coreProperties>
</file>

<file path=docProps/custom.xml><?xml version="1.0" encoding="utf-8"?>
<Properties xmlns="http://schemas.openxmlformats.org/officeDocument/2006/custom-properties" xmlns:vt="http://schemas.openxmlformats.org/officeDocument/2006/docPropsVTypes"/>
</file>