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666666"/>
          <w:sz w:val="18"/>
          <w:szCs w:val="18"/>
        </w:rPr>
        <w:t xml:space="preserve">RM VÉRTICE DIGITAL INOVA SIMPLES (I.S.)  ·  CNPJ 68.118.290/0001-06</w:t>
      </w:r>
    </w:p>
    <w:p>
      <w:pPr>
        <w:spacing w:after="60"/>
        <w:jc w:val="center"/>
      </w:pPr>
      <w:r>
        <w:rPr>
          <w:b/>
          <w:bCs/>
          <w:color w:val="1A5C6E"/>
          <w:sz w:val="40"/>
          <w:szCs w:val="40"/>
        </w:rPr>
        <w:t xml:space="preserve">Plano de Comercialização — RM Lisura</w:t>
      </w:r>
    </w:p>
    <w:p>
      <w:pPr>
        <w:spacing w:after="300"/>
        <w:jc w:val="center"/>
      </w:pPr>
      <w:r>
        <w:rPr>
          <w:i/>
          <w:iCs/>
          <w:color w:val="666666"/>
          <w:sz w:val="20"/>
          <w:szCs w:val="20"/>
        </w:rPr>
        <w:t xml:space="preserve">Documento de trabalho · Julho/2026 · Valores de exemplo a calibrar · Anexo à parceria com Daysival</w:t>
      </w:r>
    </w:p>
    <w:p>
      <w:pPr>
        <w:pStyle w:val="Heading1"/>
        <w:spacing w:after="120" w:before="280"/>
      </w:pPr>
      <w:r>
        <w:rPr>
          <w:color w:val="1A5C6E"/>
        </w:rPr>
        <w:t xml:space="preserve">1. Resumo executivo</w:t>
      </w:r>
    </w:p>
    <w:p>
      <w:pPr>
        <w:spacing w:after="120"/>
      </w:pPr>
      <w:r>
        <w:t xml:space="preserve">O RM Lisura é uma plataforma web de auditoria e apoio à decisão em contratações públicas, baseada na Lei nº 14.133/2021, com 11 módulos que geram relatórios técnicos em PDF em minutos. O nome remete à lisura do certame — exatamente o que a ferramenta ajuda a garantir. A comercialização proposta cobra por relatório gerado, em três níveis conforme a complexidade e a consequência jurídica da análise, com pacotes mensais para quem usa com frequência. O custo de operação é baixo (IA por chamada + infraestrutura enxuta), o que permite margem alta mesmo nos preços de entrada, e escala sem contratação de equipe.</w:t>
      </w:r>
    </w:p>
    <w:p>
      <w:pPr>
        <w:spacing w:after="120"/>
      </w:pPr>
      <w:r>
        <w:t xml:space="preserve">Marca depositada no INPI em 27/07/2026 (processo nº 944589618, classe NCL 42) e empresa constituída: RM Vértice Digital Inova Simples (I.S.), CNPJ 68.118.290/0001-06.</w:t>
      </w:r>
    </w:p>
    <w:p>
      <w:pPr>
        <w:pStyle w:val="Heading1"/>
        <w:spacing w:after="120" w:before="280"/>
      </w:pPr>
      <w:r>
        <w:rPr>
          <w:color w:val="1A5C6E"/>
        </w:rPr>
        <w:t xml:space="preserve">2. O produto</w:t>
      </w:r>
    </w:p>
    <w:p>
      <w:pPr>
        <w:spacing w:after="120"/>
      </w:pPr>
      <w:r>
        <w:t xml:space="preserve">Ferramenta de apoio — não substitui o parecer jurídico (aviso presente em todos os relatórios). Módulos: Auditoria de Edital, Auditoria de TR, Auditoria de ETP, Due Diligence de Integridade (DDI), Diagnóstico de Integridade, Avaliação de Programa de Integridade, Alterações Contratuais, Monitor de Recebimento, Dosimetria de Sanções, Reabilitação de Fornecedor, Instituto da Diligência e Pesquisa de Mercado com preços reais do PNCP (IN SEGES/MGI 65/2021).</w:t>
      </w:r>
    </w:p>
    <w:p>
      <w:pPr>
        <w:spacing w:after="120"/>
      </w:pPr>
      <w:r>
        <w:t xml:space="preserve">Diferenciais: fundamentação legal citada artigo por artigo em cada apontamento; índice de risco objetivo; pesquisa de preços com fonte oficial (PNCP); relatórios prontos para juntar ao processo administrativo.</w:t>
      </w:r>
    </w:p>
    <w:p>
      <w:pPr>
        <w:spacing w:after="120"/>
      </w:pPr>
      <w:r>
        <w:t xml:space="preserve">Posicionamento: enquanto plataformas concorrentes ajudam o órgão a ELABORAR os documentos da fase preparatória, o RM Lisura AUDITA o que já está pronto e atua também nas fases de execução, sanção e defesa — papéis complementares, público diferente.</w:t>
      </w:r>
    </w:p>
    <w:p>
      <w:pPr>
        <w:pStyle w:val="Heading1"/>
        <w:spacing w:after="120" w:before="280"/>
      </w:pPr>
      <w:r>
        <w:rPr>
          <w:color w:val="1A5C6E"/>
        </w:rPr>
        <w:t xml:space="preserve">3. Público-alvo</w:t>
      </w:r>
    </w:p>
    <w:p>
      <w:pPr>
        <w:pStyle w:val="ListParagraph"/>
        <w:numPr>
          <w:ilvl w:val="0"/>
          <w:numId w:val="2"/>
        </w:numPr>
        <w:spacing w:after="80"/>
      </w:pPr>
      <w:r>
        <w:t xml:space="preserve">Assessorias e escritórios jurídicos que atendem prefeituras e câmaras municipais (canal principal — parceria Daysival).</w:t>
      </w:r>
    </w:p>
    <w:p>
      <w:pPr>
        <w:pStyle w:val="ListParagraph"/>
        <w:numPr>
          <w:ilvl w:val="0"/>
          <w:numId w:val="2"/>
        </w:numPr>
        <w:spacing w:after="80"/>
      </w:pPr>
      <w:r>
        <w:t xml:space="preserve">Setores de licitação e controle interno de municípios pequenos e médios, sem equipe técnica para revisar editais com profundidade.</w:t>
      </w:r>
    </w:p>
    <w:p>
      <w:pPr>
        <w:pStyle w:val="ListParagraph"/>
        <w:numPr>
          <w:ilvl w:val="0"/>
          <w:numId w:val="2"/>
        </w:numPr>
        <w:spacing w:after="80"/>
      </w:pPr>
      <w:r>
        <w:t xml:space="preserve">Empresas licitantes que precisam avaliar riscos de editais e defender-se em processos sancionatórios.</w:t>
      </w:r>
    </w:p>
    <w:p>
      <w:pPr>
        <w:pStyle w:val="Heading1"/>
        <w:spacing w:after="120" w:before="280"/>
      </w:pPr>
      <w:r>
        <w:rPr>
          <w:color w:val="1A5C6E"/>
        </w:rPr>
        <w:t xml:space="preserve">4. Modelo de cobrança — por relatório, em três níveis</w:t>
      </w:r>
    </w:p>
    <w:p>
      <w:pPr>
        <w:spacing w:after="120"/>
      </w:pPr>
      <w:r>
        <w:t xml:space="preserve">Os 11 módulos têm pesos diferentes em esforço, profundidade e consequência da decisão que apoiam. Módulos de maior consequência custam mais — entregam mais valor e são candidatos a rodar em modelo de IA mais robusto, com maior custo de operação.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300"/>
        <w:gridCol w:w="5200"/>
        <w:gridCol w:w="2300"/>
      </w:tblGrid>
      <w:tr>
        <w:tc>
          <w:tcPr>
            <w:tcW w:type="dxa" w:w="1300"/>
            <w:shd w:fill="F2F2F2" w:val="clear"/>
            <w:tcMar>
              <w:top w:type="dxa" w:w="60"/>
              <w:left w:type="dxa" w:w="100"/>
              <w:bottom w:type="dxa" w:w="60"/>
              <w:right w:type="dxa" w:w="100"/>
            </w:tcMar>
          </w:tcPr>
          <w:p>
            <w:r>
              <w:rPr>
                <w:b/>
                <w:bCs/>
                <w:sz w:val="20"/>
                <w:szCs w:val="20"/>
              </w:rPr>
              <w:t xml:space="preserve">Nível</w:t>
            </w:r>
          </w:p>
        </w:tc>
        <w:tc>
          <w:tcPr>
            <w:tcW w:type="dxa" w:w="5200"/>
            <w:shd w:fill="F2F2F2" w:val="clear"/>
            <w:tcMar>
              <w:top w:type="dxa" w:w="60"/>
              <w:left w:type="dxa" w:w="100"/>
              <w:bottom w:type="dxa" w:w="60"/>
              <w:right w:type="dxa" w:w="100"/>
            </w:tcMar>
          </w:tcPr>
          <w:p>
            <w:r>
              <w:rPr>
                <w:b/>
                <w:bCs/>
                <w:sz w:val="20"/>
                <w:szCs w:val="20"/>
              </w:rPr>
              <w:t xml:space="preserve">Módulos incluídos</w:t>
            </w:r>
          </w:p>
        </w:tc>
        <w:tc>
          <w:tcPr>
            <w:tcW w:type="dxa" w:w="2300"/>
            <w:shd w:fill="F2F2F2" w:val="clear"/>
            <w:tcMar>
              <w:top w:type="dxa" w:w="60"/>
              <w:left w:type="dxa" w:w="100"/>
              <w:bottom w:type="dxa" w:w="60"/>
              <w:right w:type="dxa" w:w="100"/>
            </w:tcMar>
          </w:tcPr>
          <w:p>
            <w:r>
              <w:rPr>
                <w:b/>
                <w:bCs/>
                <w:sz w:val="20"/>
                <w:szCs w:val="20"/>
              </w:rPr>
              <w:t xml:space="preserve">Preço/relatório (ex.)</w:t>
            </w:r>
          </w:p>
        </w:tc>
      </w:tr>
      <w:tr>
        <w:tc>
          <w:tcPr>
            <w:tcW w:type="dxa" w:w="1300"/>
            <w:tcMar>
              <w:top w:type="dxa" w:w="60"/>
              <w:left w:type="dxa" w:w="100"/>
              <w:bottom w:type="dxa" w:w="60"/>
              <w:right w:type="dxa" w:w="100"/>
            </w:tcMar>
          </w:tcPr>
          <w:p>
            <w:r>
              <w:rPr>
                <w:b w:val="false"/>
                <w:bCs w:val="false"/>
                <w:sz w:val="20"/>
                <w:szCs w:val="20"/>
              </w:rPr>
              <w:t xml:space="preserve">Simples</w:t>
            </w:r>
          </w:p>
        </w:tc>
        <w:tc>
          <w:tcPr>
            <w:tcW w:type="dxa" w:w="5200"/>
            <w:tcMar>
              <w:top w:type="dxa" w:w="60"/>
              <w:left w:type="dxa" w:w="100"/>
              <w:bottom w:type="dxa" w:w="60"/>
              <w:right w:type="dxa" w:w="100"/>
            </w:tcMar>
          </w:tcPr>
          <w:p>
            <w:r>
              <w:rPr>
                <w:b w:val="false"/>
                <w:bCs w:val="false"/>
                <w:sz w:val="20"/>
                <w:szCs w:val="20"/>
              </w:rPr>
              <w:t xml:space="preserve">Recebimento; Reabilitação de Fornecedor; Instituto da Diligência; DDI.</w:t>
            </w:r>
          </w:p>
        </w:tc>
        <w:tc>
          <w:tcPr>
            <w:tcW w:type="dxa" w:w="2300"/>
            <w:tcMar>
              <w:top w:type="dxa" w:w="60"/>
              <w:left w:type="dxa" w:w="100"/>
              <w:bottom w:type="dxa" w:w="60"/>
              <w:right w:type="dxa" w:w="100"/>
            </w:tcMar>
          </w:tcPr>
          <w:p>
            <w:r>
              <w:rPr>
                <w:b w:val="false"/>
                <w:bCs w:val="false"/>
                <w:sz w:val="20"/>
                <w:szCs w:val="20"/>
              </w:rPr>
              <w:t xml:space="preserve">R$ 30 a R$ 50</w:t>
            </w:r>
          </w:p>
        </w:tc>
      </w:tr>
      <w:tr>
        <w:tc>
          <w:tcPr>
            <w:tcW w:type="dxa" w:w="1300"/>
            <w:tcMar>
              <w:top w:type="dxa" w:w="60"/>
              <w:left w:type="dxa" w:w="100"/>
              <w:bottom w:type="dxa" w:w="60"/>
              <w:right w:type="dxa" w:w="100"/>
            </w:tcMar>
          </w:tcPr>
          <w:p>
            <w:r>
              <w:rPr>
                <w:b w:val="false"/>
                <w:bCs w:val="false"/>
                <w:sz w:val="20"/>
                <w:szCs w:val="20"/>
              </w:rPr>
              <w:t xml:space="preserve">Médio</w:t>
            </w:r>
          </w:p>
        </w:tc>
        <w:tc>
          <w:tcPr>
            <w:tcW w:type="dxa" w:w="5200"/>
            <w:tcMar>
              <w:top w:type="dxa" w:w="60"/>
              <w:left w:type="dxa" w:w="100"/>
              <w:bottom w:type="dxa" w:w="60"/>
              <w:right w:type="dxa" w:w="100"/>
            </w:tcMar>
          </w:tcPr>
          <w:p>
            <w:r>
              <w:rPr>
                <w:b w:val="false"/>
                <w:bCs w:val="false"/>
                <w:sz w:val="20"/>
                <w:szCs w:val="20"/>
              </w:rPr>
              <w:t xml:space="preserve">Auditoria de Edital; Auditoria de TR; Auditoria de ETP; Alterações Contratuais; Avaliação de PI.</w:t>
            </w:r>
          </w:p>
        </w:tc>
        <w:tc>
          <w:tcPr>
            <w:tcW w:type="dxa" w:w="2300"/>
            <w:tcMar>
              <w:top w:type="dxa" w:w="60"/>
              <w:left w:type="dxa" w:w="100"/>
              <w:bottom w:type="dxa" w:w="60"/>
              <w:right w:type="dxa" w:w="100"/>
            </w:tcMar>
          </w:tcPr>
          <w:p>
            <w:r>
              <w:rPr>
                <w:b w:val="false"/>
                <w:bCs w:val="false"/>
                <w:sz w:val="20"/>
                <w:szCs w:val="20"/>
              </w:rPr>
              <w:t xml:space="preserve">R$ 60 a R$ 90</w:t>
            </w:r>
          </w:p>
        </w:tc>
      </w:tr>
      <w:tr>
        <w:tc>
          <w:tcPr>
            <w:tcW w:type="dxa" w:w="1300"/>
            <w:tcMar>
              <w:top w:type="dxa" w:w="60"/>
              <w:left w:type="dxa" w:w="100"/>
              <w:bottom w:type="dxa" w:w="60"/>
              <w:right w:type="dxa" w:w="100"/>
            </w:tcMar>
          </w:tcPr>
          <w:p>
            <w:r>
              <w:rPr>
                <w:b w:val="false"/>
                <w:bCs w:val="false"/>
                <w:sz w:val="20"/>
                <w:szCs w:val="20"/>
              </w:rPr>
              <w:t xml:space="preserve">Alto</w:t>
            </w:r>
          </w:p>
        </w:tc>
        <w:tc>
          <w:tcPr>
            <w:tcW w:type="dxa" w:w="5200"/>
            <w:tcMar>
              <w:top w:type="dxa" w:w="60"/>
              <w:left w:type="dxa" w:w="100"/>
              <w:bottom w:type="dxa" w:w="60"/>
              <w:right w:type="dxa" w:w="100"/>
            </w:tcMar>
          </w:tcPr>
          <w:p>
            <w:r>
              <w:rPr>
                <w:b w:val="false"/>
                <w:bCs w:val="false"/>
                <w:sz w:val="20"/>
                <w:szCs w:val="20"/>
              </w:rPr>
              <w:t xml:space="preserve">Dosimetria de Sanções; Pesquisa de Mercado; Diagnóstico de Integridade.</w:t>
            </w:r>
          </w:p>
        </w:tc>
        <w:tc>
          <w:tcPr>
            <w:tcW w:type="dxa" w:w="2300"/>
            <w:tcMar>
              <w:top w:type="dxa" w:w="60"/>
              <w:left w:type="dxa" w:w="100"/>
              <w:bottom w:type="dxa" w:w="60"/>
              <w:right w:type="dxa" w:w="100"/>
            </w:tcMar>
          </w:tcPr>
          <w:p>
            <w:r>
              <w:rPr>
                <w:b w:val="false"/>
                <w:bCs w:val="false"/>
                <w:sz w:val="20"/>
                <w:szCs w:val="20"/>
              </w:rPr>
              <w:t xml:space="preserve">R$ 120 a R$ 180</w:t>
            </w:r>
          </w:p>
        </w:tc>
      </w:tr>
    </w:tbl>
    <w:p>
      <w:pPr>
        <w:spacing w:after="120"/>
      </w:pPr>
      <w:r>
        <w:t xml:space="preserve"/>
      </w:r>
    </w:p>
    <w:p>
      <w:pPr>
        <w:pStyle w:val="Heading2"/>
        <w:spacing w:after="100" w:before="220"/>
      </w:pPr>
      <w:r>
        <w:rPr>
          <w:color w:val="1A5C6E"/>
        </w:rPr>
        <w:t xml:space="preserve">Pacotes mensais (previsibilidade)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300"/>
      </w:tblGrid>
      <w:tr>
        <w:tc>
          <w:tcPr>
            <w:tcW w:type="dxa" w:w="2000"/>
            <w:shd w:fill="F2F2F2" w:val="clear"/>
            <w:tcMar>
              <w:top w:type="dxa" w:w="60"/>
              <w:left w:type="dxa" w:w="100"/>
              <w:bottom w:type="dxa" w:w="60"/>
              <w:right w:type="dxa" w:w="100"/>
            </w:tcMar>
          </w:tcPr>
          <w:p>
            <w:r>
              <w:rPr>
                <w:b/>
                <w:bCs/>
                <w:sz w:val="20"/>
                <w:szCs w:val="20"/>
              </w:rPr>
              <w:t xml:space="preserve">Pacote</w:t>
            </w:r>
          </w:p>
        </w:tc>
        <w:tc>
          <w:tcPr>
            <w:tcW w:type="dxa" w:w="4500"/>
            <w:shd w:fill="F2F2F2" w:val="clear"/>
            <w:tcMar>
              <w:top w:type="dxa" w:w="60"/>
              <w:left w:type="dxa" w:w="100"/>
              <w:bottom w:type="dxa" w:w="60"/>
              <w:right w:type="dxa" w:w="100"/>
            </w:tcMar>
          </w:tcPr>
          <w:p>
            <w:r>
              <w:rPr>
                <w:b/>
                <w:bCs/>
                <w:sz w:val="20"/>
                <w:szCs w:val="20"/>
              </w:rPr>
              <w:t xml:space="preserve">Inclui</w:t>
            </w:r>
          </w:p>
        </w:tc>
        <w:tc>
          <w:tcPr>
            <w:tcW w:type="dxa" w:w="2300"/>
            <w:shd w:fill="F2F2F2" w:val="clear"/>
            <w:tcMar>
              <w:top w:type="dxa" w:w="60"/>
              <w:left w:type="dxa" w:w="100"/>
              <w:bottom w:type="dxa" w:w="60"/>
              <w:right w:type="dxa" w:w="100"/>
            </w:tcMar>
          </w:tcPr>
          <w:p>
            <w:r>
              <w:rPr>
                <w:b/>
                <w:bCs/>
                <w:sz w:val="20"/>
                <w:szCs w:val="20"/>
              </w:rPr>
              <w:t xml:space="preserve">Valor (ex.)</w:t>
            </w:r>
          </w:p>
        </w:tc>
      </w:tr>
      <w:tr>
        <w:tc>
          <w:tcPr>
            <w:tcW w:type="dxa" w:w="2000"/>
            <w:tcMar>
              <w:top w:type="dxa" w:w="60"/>
              <w:left w:type="dxa" w:w="100"/>
              <w:bottom w:type="dxa" w:w="60"/>
              <w:right w:type="dxa" w:w="100"/>
            </w:tcMar>
          </w:tcPr>
          <w:p>
            <w:r>
              <w:rPr>
                <w:b w:val="false"/>
                <w:bCs w:val="false"/>
                <w:sz w:val="20"/>
                <w:szCs w:val="20"/>
              </w:rPr>
              <w:t xml:space="preserve">Avulso</w:t>
            </w:r>
          </w:p>
        </w:tc>
        <w:tc>
          <w:tcPr>
            <w:tcW w:type="dxa" w:w="4500"/>
            <w:tcMar>
              <w:top w:type="dxa" w:w="60"/>
              <w:left w:type="dxa" w:w="100"/>
              <w:bottom w:type="dxa" w:w="60"/>
              <w:right w:type="dxa" w:w="100"/>
            </w:tcMar>
          </w:tcPr>
          <w:p>
            <w:r>
              <w:rPr>
                <w:b w:val="false"/>
                <w:bCs w:val="false"/>
                <w:sz w:val="20"/>
                <w:szCs w:val="20"/>
              </w:rPr>
              <w:t>Paga por relatório, conforme o nível. Cortesia de 3 relatórios na entrada, uma única vez.</w:t>
            </w:r>
          </w:p>
        </w:tc>
        <w:tc>
          <w:tcPr>
            <w:tcW w:type="dxa" w:w="2300"/>
            <w:tcMar>
              <w:top w:type="dxa" w:w="60"/>
              <w:left w:type="dxa" w:w="100"/>
              <w:bottom w:type="dxa" w:w="60"/>
              <w:right w:type="dxa" w:w="100"/>
            </w:tcMar>
          </w:tcPr>
          <w:p>
            <w:r>
              <w:rPr>
                <w:b w:val="false"/>
                <w:bCs w:val="false"/>
                <w:sz w:val="20"/>
                <w:szCs w:val="20"/>
              </w:rPr>
              <w:t xml:space="preserve">Sem mensalidade</w:t>
            </w:r>
          </w:p>
        </w:tc>
      </w:tr>
      <w:tr>
        <w:tc>
          <w:tcPr>
            <w:tcW w:type="dxa" w:w="2000"/>
            <w:tcMar>
              <w:top w:type="dxa" w:w="60"/>
              <w:left w:type="dxa" w:w="100"/>
              <w:bottom w:type="dxa" w:w="60"/>
              <w:right w:type="dxa" w:w="100"/>
            </w:tcMar>
          </w:tcPr>
          <w:p>
            <w:r>
              <w:rPr>
                <w:b w:val="false"/>
                <w:bCs w:val="false"/>
                <w:sz w:val="20"/>
                <w:szCs w:val="20"/>
              </w:rPr>
              <w:t xml:space="preserve">Básico</w:t>
            </w:r>
          </w:p>
        </w:tc>
        <w:tc>
          <w:tcPr>
            <w:tcW w:type="dxa" w:w="4500"/>
            <w:tcMar>
              <w:top w:type="dxa" w:w="60"/>
              <w:left w:type="dxa" w:w="100"/>
              <w:bottom w:type="dxa" w:w="60"/>
              <w:right w:type="dxa" w:w="100"/>
            </w:tcMar>
          </w:tcPr>
          <w:p>
            <w:r>
              <w:rPr>
                <w:b w:val="false"/>
                <w:bCs w:val="false"/>
                <w:sz w:val="20"/>
                <w:szCs w:val="20"/>
              </w:rPr>
              <w:t xml:space="preserve">Até 20 relatórios/mês (qualquer nível).</w:t>
            </w:r>
          </w:p>
        </w:tc>
        <w:tc>
          <w:tcPr>
            <w:tcW w:type="dxa" w:w="2300"/>
            <w:tcMar>
              <w:top w:type="dxa" w:w="60"/>
              <w:left w:type="dxa" w:w="100"/>
              <w:bottom w:type="dxa" w:w="60"/>
              <w:right w:type="dxa" w:w="100"/>
            </w:tcMar>
          </w:tcPr>
          <w:p>
            <w:r>
              <w:rPr>
                <w:b w:val="false"/>
                <w:bCs w:val="false"/>
                <w:sz w:val="20"/>
                <w:szCs w:val="20"/>
              </w:rPr>
              <w:t xml:space="preserve">R$ 900/mês</w:t>
            </w:r>
          </w:p>
        </w:tc>
      </w:tr>
      <w:tr>
        <w:tc>
          <w:tcPr>
            <w:tcW w:type="dxa" w:w="2000"/>
            <w:tcMar>
              <w:top w:type="dxa" w:w="60"/>
              <w:left w:type="dxa" w:w="100"/>
              <w:bottom w:type="dxa" w:w="60"/>
              <w:right w:type="dxa" w:w="100"/>
            </w:tcMar>
          </w:tcPr>
          <w:p>
            <w:r>
              <w:rPr>
                <w:b w:val="false"/>
                <w:bCs w:val="false"/>
                <w:sz w:val="20"/>
                <w:szCs w:val="20"/>
              </w:rPr>
              <w:t xml:space="preserve">Profissional</w:t>
            </w:r>
          </w:p>
        </w:tc>
        <w:tc>
          <w:tcPr>
            <w:tcW w:type="dxa" w:w="4500"/>
            <w:tcMar>
              <w:top w:type="dxa" w:w="60"/>
              <w:left w:type="dxa" w:w="100"/>
              <w:bottom w:type="dxa" w:w="60"/>
              <w:right w:type="dxa" w:w="100"/>
            </w:tcMar>
          </w:tcPr>
          <w:p>
            <w:r>
              <w:rPr>
                <w:b w:val="false"/>
                <w:bCs w:val="false"/>
                <w:sz w:val="20"/>
                <w:szCs w:val="20"/>
              </w:rPr>
              <w:t xml:space="preserve">Até 50 relatórios/mês (qualquer nível).</w:t>
            </w:r>
          </w:p>
        </w:tc>
        <w:tc>
          <w:tcPr>
            <w:tcW w:type="dxa" w:w="2300"/>
            <w:tcMar>
              <w:top w:type="dxa" w:w="60"/>
              <w:left w:type="dxa" w:w="100"/>
              <w:bottom w:type="dxa" w:w="60"/>
              <w:right w:type="dxa" w:w="100"/>
            </w:tcMar>
          </w:tcPr>
          <w:p>
            <w:r>
              <w:rPr>
                <w:b w:val="false"/>
                <w:bCs w:val="false"/>
                <w:sz w:val="20"/>
                <w:szCs w:val="20"/>
              </w:rPr>
              <w:t xml:space="preserve">R$ 1.900/mês</w:t>
            </w:r>
          </w:p>
        </w:tc>
      </w:tr>
      <w:tr>
        <w:tc>
          <w:tcPr>
            <w:tcW w:type="dxa" w:w="2000"/>
            <w:tcMar>
              <w:top w:type="dxa" w:w="60"/>
              <w:left w:type="dxa" w:w="100"/>
              <w:bottom w:type="dxa" w:w="60"/>
              <w:right w:type="dxa" w:w="100"/>
            </w:tcMar>
          </w:tcPr>
          <w:p>
            <w:r>
              <w:rPr>
                <w:b w:val="false"/>
                <w:bCs w:val="false"/>
                <w:sz w:val="20"/>
                <w:szCs w:val="20"/>
              </w:rPr>
              <w:t xml:space="preserve">Ilimitado</w:t>
            </w:r>
          </w:p>
        </w:tc>
        <w:tc>
          <w:tcPr>
            <w:tcW w:type="dxa" w:w="4500"/>
            <w:tcMar>
              <w:top w:type="dxa" w:w="60"/>
              <w:left w:type="dxa" w:w="100"/>
              <w:bottom w:type="dxa" w:w="60"/>
              <w:right w:type="dxa" w:w="100"/>
            </w:tcMar>
          </w:tcPr>
          <w:p>
            <w:r>
              <w:rPr>
                <w:b w:val="false"/>
                <w:bCs w:val="false"/>
                <w:sz w:val="20"/>
                <w:szCs w:val="20"/>
              </w:rPr>
              <w:t xml:space="preserve">Uso livre, sujeito a política de uso justo.</w:t>
            </w:r>
          </w:p>
        </w:tc>
        <w:tc>
          <w:tcPr>
            <w:tcW w:type="dxa" w:w="2300"/>
            <w:tcMar>
              <w:top w:type="dxa" w:w="60"/>
              <w:left w:type="dxa" w:w="100"/>
              <w:bottom w:type="dxa" w:w="60"/>
              <w:right w:type="dxa" w:w="100"/>
            </w:tcMar>
          </w:tcPr>
          <w:p>
            <w:r>
              <w:rPr>
                <w:b w:val="false"/>
                <w:bCs w:val="false"/>
                <w:sz w:val="20"/>
                <w:szCs w:val="20"/>
              </w:rPr>
              <w:t xml:space="preserve">R$ 3.500/mês</w:t>
            </w:r>
          </w:p>
        </w:tc>
      </w:tr>
    </w:tbl>
    <w:p>
      <w:pPr>
        <w:spacing w:after="120"/>
      </w:pPr>
      <w:r>
        <w:t xml:space="preserve"/>
      </w:r>
    </w:p>
    <w:p>
      <w:pPr>
        <w:spacing w:after="120"/>
      </w:pPr>
      <w:r>
        <w:t xml:space="preserve">Coerência dos pacotes: 20 relatórios avulsos a preço médio (~R$ 70) somam ~R$ 1.400 — o Básico a R$ 900 embute ~35% de desconto; o Profissional, ~45%. O Ilimitado funciona como teto para clientes de alto volume.</w:t>
      </w:r>
    </w:p>
    <w:p>
      <w:pPr>
        <w:spacing w:after="120"/>
      </w:pPr>
      <w:r>
        <w:t xml:space="preserve">Política de uso justo (Ilimitado): uso individual pela organização contratante, sem revenda de relatórios a terceiros nem compartilhamento de acesso; volume de referência de até 120 relatórios/mês.</w:t>
      </w:r>
    </w:p>
    <w:p>
      <w:pPr>
        <w:spacing w:after="120"/>
      </w:pPr>
      <w:r>
        <w:t>Controle já implementado no sistema: ao atingir o limite do plano, a geração é bloqueada com aviso ao usuário; o plano Avulso concede 3 relatórios de cortesia uma única vez, na entrada; o painel do administrador mostra o uso e a cobrança sugerida de cada cliente.</w:t>
      </w:r>
    </w:p>
    <w:p>
      <w:pPr>
        <w:pStyle w:val="Heading1"/>
        <w:spacing w:after="120" w:before="280"/>
      </w:pPr>
      <w:r>
        <w:rPr>
          <w:color w:val="1A5C6E"/>
        </w:rPr>
        <w:t xml:space="preserve">5. Custo de operação e margem (estimativas a calibrar)</w:t>
      </w:r>
    </w:p>
    <w:p>
      <w:pPr>
        <w:spacing w:after="120"/>
      </w:pPr>
      <w:r>
        <w:t xml:space="preserve">O custo variável dominante é a chamada de IA. Nas condições atuais, o custo típico por relatório fica em centavos de real; se os módulos de nível Alto migrarem para um modelo mais forte, a estimativa é de R$ 2 a R$ 6 por relatório (a medir na prática). Custos fixos: hospedagem enxuta, banco de dados no plano gratuito e domínio. Mesmo no cenário conservador, a margem bruta por relatório supera 90% no nível Alto e 95% nos demais.</w:t>
      </w:r>
    </w:p>
    <w:p>
      <w:pPr>
        <w:pStyle w:val="Heading1"/>
        <w:spacing w:after="120" w:before="280"/>
      </w:pPr>
      <w:r>
        <w:rPr>
          <w:color w:val="1A5C6E"/>
        </w:rPr>
        <w:t xml:space="preserve">6. Parceria comercial</w:t>
      </w:r>
    </w:p>
    <w:p>
      <w:pPr>
        <w:spacing w:after="120"/>
      </w:pPr>
      <w:r>
        <w:t xml:space="preserve">Esta tabela corresponde ao Item II da contraproposta de Daysival (cobrança pelo uso das análises). Pontos a formalizar: percentual de divisão da receita entre RM Vértice Digital (produto/tecnologia) e Daysival (canal comercial/jurídico), responsabilidades de suporte ao cliente, titularidade da marca e da carteira de clientes, e regra de saída. A marca RM Lisura pertence à RM Vértice Digital (depósito no INPI em nome do sócio, com cessão à empresa em andamento).</w:t>
      </w:r>
    </w:p>
    <w:p>
      <w:pPr>
        <w:pStyle w:val="Heading1"/>
        <w:spacing w:after="120" w:before="280"/>
      </w:pPr>
      <w:r>
        <w:rPr>
          <w:color w:val="1A5C6E"/>
        </w:rPr>
        <w:t xml:space="preserve">7. Operação de cobrança — em fases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100"/>
        <w:gridCol w:w="4900"/>
        <w:gridCol w:w="2800"/>
      </w:tblGrid>
      <w:tr>
        <w:tc>
          <w:tcPr>
            <w:tcW w:type="dxa" w:w="1100"/>
            <w:shd w:fill="F2F2F2" w:val="clear"/>
            <w:tcMar>
              <w:top w:type="dxa" w:w="60"/>
              <w:left w:type="dxa" w:w="100"/>
              <w:bottom w:type="dxa" w:w="60"/>
              <w:right w:type="dxa" w:w="100"/>
            </w:tcMar>
          </w:tcPr>
          <w:p>
            <w:r>
              <w:rPr>
                <w:b/>
                <w:bCs/>
                <w:sz w:val="20"/>
                <w:szCs w:val="20"/>
              </w:rPr>
              <w:t xml:space="preserve">Fase</w:t>
            </w:r>
          </w:p>
        </w:tc>
        <w:tc>
          <w:tcPr>
            <w:tcW w:type="dxa" w:w="4900"/>
            <w:shd w:fill="F2F2F2" w:val="clear"/>
            <w:tcMar>
              <w:top w:type="dxa" w:w="60"/>
              <w:left w:type="dxa" w:w="100"/>
              <w:bottom w:type="dxa" w:w="60"/>
              <w:right w:type="dxa" w:w="100"/>
            </w:tcMar>
          </w:tcPr>
          <w:p>
            <w:r>
              <w:rPr>
                <w:b/>
                <w:bCs/>
                <w:sz w:val="20"/>
                <w:szCs w:val="20"/>
              </w:rPr>
              <w:t xml:space="preserve">O que acontece</w:t>
            </w:r>
          </w:p>
        </w:tc>
        <w:tc>
          <w:tcPr>
            <w:tcW w:type="dxa" w:w="2800"/>
            <w:shd w:fill="F2F2F2" w:val="clear"/>
            <w:tcMar>
              <w:top w:type="dxa" w:w="60"/>
              <w:left w:type="dxa" w:w="100"/>
              <w:bottom w:type="dxa" w:w="60"/>
              <w:right w:type="dxa" w:w="100"/>
            </w:tcMar>
          </w:tcPr>
          <w:p>
            <w:r>
              <w:rPr>
                <w:b/>
                <w:bCs/>
                <w:sz w:val="20"/>
                <w:szCs w:val="20"/>
              </w:rPr>
              <w:t xml:space="preserve">Situação</w:t>
            </w:r>
          </w:p>
        </w:tc>
      </w:tr>
      <w:tr>
        <w:tc>
          <w:tcPr>
            <w:tcW w:type="dxa" w:w="1100"/>
            <w:tcMar>
              <w:top w:type="dxa" w:w="60"/>
              <w:left w:type="dxa" w:w="100"/>
              <w:bottom w:type="dxa" w:w="60"/>
              <w:right w:type="dxa" w:w="100"/>
            </w:tcMar>
          </w:tcPr>
          <w:p>
            <w:r>
              <w:rPr>
                <w:b w:val="false"/>
                <w:bCs w:val="false"/>
                <w:sz w:val="20"/>
                <w:szCs w:val="20"/>
              </w:rPr>
              <w:t xml:space="preserve">1. Piloto</w:t>
            </w:r>
          </w:p>
        </w:tc>
        <w:tc>
          <w:tcPr>
            <w:tcW w:type="dxa" w:w="4900"/>
            <w:tcMar>
              <w:top w:type="dxa" w:w="60"/>
              <w:left w:type="dxa" w:w="100"/>
              <w:bottom w:type="dxa" w:w="60"/>
              <w:right w:type="dxa" w:w="100"/>
            </w:tcMar>
          </w:tcPr>
          <w:p>
            <w:r>
              <w:rPr>
                <w:b w:val="false"/>
                <w:bCs w:val="false"/>
                <w:sz w:val="20"/>
                <w:szCs w:val="20"/>
              </w:rPr>
              <w:t xml:space="preserve">2 a 5 clientes convidados usam grátis por 30 dias; colhe depoimentos e calibra preços.</w:t>
            </w:r>
          </w:p>
        </w:tc>
        <w:tc>
          <w:tcPr>
            <w:tcW w:type="dxa" w:w="2800"/>
            <w:tcMar>
              <w:top w:type="dxa" w:w="60"/>
              <w:left w:type="dxa" w:w="100"/>
              <w:bottom w:type="dxa" w:w="60"/>
              <w:right w:type="dxa" w:w="100"/>
            </w:tcMar>
          </w:tcPr>
          <w:p>
            <w:r>
              <w:rPr>
                <w:b w:val="false"/>
                <w:bCs w:val="false"/>
                <w:sz w:val="20"/>
                <w:szCs w:val="20"/>
              </w:rPr>
              <w:t xml:space="preserve">Pronto — cadastro com aprovação no ar.</w:t>
            </w:r>
          </w:p>
        </w:tc>
      </w:tr>
      <w:tr>
        <w:tc>
          <w:tcPr>
            <w:tcW w:type="dxa" w:w="1100"/>
            <w:tcMar>
              <w:top w:type="dxa" w:w="60"/>
              <w:left w:type="dxa" w:w="100"/>
              <w:bottom w:type="dxa" w:w="60"/>
              <w:right w:type="dxa" w:w="100"/>
            </w:tcMar>
          </w:tcPr>
          <w:p>
            <w:r>
              <w:rPr>
                <w:b w:val="false"/>
                <w:bCs w:val="false"/>
                <w:sz w:val="20"/>
                <w:szCs w:val="20"/>
              </w:rPr>
              <w:t xml:space="preserve">2. Manual</w:t>
            </w:r>
          </w:p>
        </w:tc>
        <w:tc>
          <w:tcPr>
            <w:tcW w:type="dxa" w:w="4900"/>
            <w:tcMar>
              <w:top w:type="dxa" w:w="60"/>
              <w:left w:type="dxa" w:w="100"/>
              <w:bottom w:type="dxa" w:w="60"/>
              <w:right w:type="dxa" w:w="100"/>
            </w:tcMar>
          </w:tcPr>
          <w:p>
            <w:r>
              <w:rPr>
                <w:b w:val="false"/>
                <w:bCs w:val="false"/>
                <w:sz w:val="20"/>
                <w:szCs w:val="20"/>
              </w:rPr>
              <w:t xml:space="preserve">Cobrança por Pix no fim do mês, conferindo o uso no painel admin.</w:t>
            </w:r>
          </w:p>
        </w:tc>
        <w:tc>
          <w:tcPr>
            <w:tcW w:type="dxa" w:w="2800"/>
            <w:tcMar>
              <w:top w:type="dxa" w:w="60"/>
              <w:left w:type="dxa" w:w="100"/>
              <w:bottom w:type="dxa" w:w="60"/>
              <w:right w:type="dxa" w:w="100"/>
            </w:tcMar>
          </w:tcPr>
          <w:p>
            <w:r>
              <w:rPr>
                <w:b w:val="false"/>
                <w:bCs w:val="false"/>
                <w:sz w:val="20"/>
                <w:szCs w:val="20"/>
              </w:rPr>
              <w:t xml:space="preserve">Pronto — contador de uso e cobrança sugerida funcionando.</w:t>
            </w:r>
          </w:p>
        </w:tc>
      </w:tr>
      <w:tr>
        <w:tc>
          <w:tcPr>
            <w:tcW w:type="dxa" w:w="1100"/>
            <w:tcMar>
              <w:top w:type="dxa" w:w="60"/>
              <w:left w:type="dxa" w:w="100"/>
              <w:bottom w:type="dxa" w:w="60"/>
              <w:right w:type="dxa" w:w="100"/>
            </w:tcMar>
          </w:tcPr>
          <w:p>
            <w:r>
              <w:rPr>
                <w:b w:val="false"/>
                <w:bCs w:val="false"/>
                <w:sz w:val="20"/>
                <w:szCs w:val="20"/>
              </w:rPr>
              <w:t xml:space="preserve">3. Automática</w:t>
            </w:r>
          </w:p>
        </w:tc>
        <w:tc>
          <w:tcPr>
            <w:tcW w:type="dxa" w:w="4900"/>
            <w:tcMar>
              <w:top w:type="dxa" w:w="60"/>
              <w:left w:type="dxa" w:w="100"/>
              <w:bottom w:type="dxa" w:w="60"/>
              <w:right w:type="dxa" w:w="100"/>
            </w:tcMar>
          </w:tcPr>
          <w:p>
            <w:r>
              <w:rPr>
                <w:b w:val="false"/>
                <w:bCs w:val="false"/>
                <w:sz w:val="20"/>
                <w:szCs w:val="20"/>
              </w:rPr>
              <w:t xml:space="preserve">Assinatura/pacotes com cartão (Mercado Pago ou Stripe); bloqueio automático por inadimplência.</w:t>
            </w:r>
          </w:p>
        </w:tc>
        <w:tc>
          <w:tcPr>
            <w:tcW w:type="dxa" w:w="2800"/>
            <w:tcMar>
              <w:top w:type="dxa" w:w="60"/>
              <w:left w:type="dxa" w:w="100"/>
              <w:bottom w:type="dxa" w:w="60"/>
              <w:right w:type="dxa" w:w="100"/>
            </w:tcMar>
          </w:tcPr>
          <w:p>
            <w:r>
              <w:rPr>
                <w:b w:val="false"/>
                <w:bCs w:val="false"/>
                <w:sz w:val="20"/>
                <w:szCs w:val="20"/>
              </w:rPr>
              <w:t xml:space="preserve">A implementar quando houver volume.</w:t>
            </w:r>
          </w:p>
        </w:tc>
      </w:tr>
    </w:tbl>
    <w:p>
      <w:pPr>
        <w:spacing w:after="120"/>
      </w:pPr>
      <w:r>
        <w:t xml:space="preserve"/>
      </w:r>
    </w:p>
    <w:p>
      <w:pPr>
        <w:spacing w:after="120"/>
      </w:pPr>
      <w:r>
        <w:t xml:space="preserve">Formalização: emissão de nota fiscal pela RM Vértice Digital (CNPJ 68.118.290/0001-06) e contrato simples de licença de uso, com aviso de não-substituição de parecer jurídico.</w:t>
      </w:r>
    </w:p>
    <w:p>
      <w:pPr>
        <w:pStyle w:val="Heading1"/>
        <w:spacing w:after="120" w:before="280"/>
      </w:pPr>
      <w:r>
        <w:rPr>
          <w:color w:val="1A5C6E"/>
        </w:rPr>
        <w:t xml:space="preserve">8. Metas iniciais (6 meses)</w:t>
      </w:r>
    </w:p>
    <w:p>
      <w:pPr>
        <w:pStyle w:val="ListParagraph"/>
        <w:numPr>
          <w:ilvl w:val="0"/>
          <w:numId w:val="2"/>
        </w:numPr>
        <w:spacing w:after="80"/>
      </w:pPr>
      <w:r>
        <w:t xml:space="preserve">Mês 1–2: piloto com até 5 organizações; meta de 40 relatórios gerados e 3 depoimentos.</w:t>
      </w:r>
    </w:p>
    <w:p>
      <w:pPr>
        <w:pStyle w:val="ListParagraph"/>
        <w:numPr>
          <w:ilvl w:val="0"/>
          <w:numId w:val="2"/>
        </w:numPr>
        <w:spacing w:after="80"/>
      </w:pPr>
      <w:r>
        <w:t xml:space="preserve">Mês 3–4: converter 3 pilotos em pagantes (mix avulso/Básico); receita alvo R$ 2.000–3.000/mês.</w:t>
      </w:r>
    </w:p>
    <w:p>
      <w:pPr>
        <w:pStyle w:val="ListParagraph"/>
        <w:numPr>
          <w:ilvl w:val="0"/>
          <w:numId w:val="2"/>
        </w:numPr>
        <w:spacing w:after="80"/>
      </w:pPr>
      <w:r>
        <w:t xml:space="preserve">Mês 5–6: 6 a 10 clientes ativos; receita alvo R$ 5.000–8.000/mês; decidir investimento na Fase 3.</w:t>
      </w:r>
    </w:p>
    <w:p>
      <w:pPr>
        <w:pStyle w:val="Heading1"/>
        <w:spacing w:after="120" w:before="280"/>
      </w:pPr>
      <w:r>
        <w:rPr>
          <w:color w:val="1A5C6E"/>
        </w:rPr>
        <w:t xml:space="preserve">9. Riscos e mitigação</w:t>
      </w:r>
    </w:p>
    <w:p>
      <w:pPr>
        <w:pStyle w:val="ListParagraph"/>
        <w:numPr>
          <w:ilvl w:val="0"/>
          <w:numId w:val="2"/>
        </w:numPr>
        <w:spacing w:after="80"/>
      </w:pPr>
      <w:r>
        <w:t xml:space="preserve">Custo de IA subir com modelos fortes → medir custo real por relatório desde o piloto.</w:t>
      </w:r>
    </w:p>
    <w:p>
      <w:pPr>
        <w:pStyle w:val="ListParagraph"/>
        <w:numPr>
          <w:ilvl w:val="0"/>
          <w:numId w:val="2"/>
        </w:numPr>
        <w:spacing w:after="80"/>
      </w:pPr>
      <w:r>
        <w:t xml:space="preserve">Responsabilidade por erro da análise → disclaimers em app e PDFs; contrato reforça caráter de apoio.</w:t>
      </w:r>
    </w:p>
    <w:p>
      <w:pPr>
        <w:pStyle w:val="ListParagraph"/>
        <w:numPr>
          <w:ilvl w:val="0"/>
          <w:numId w:val="2"/>
        </w:numPr>
        <w:spacing w:after="80"/>
      </w:pPr>
      <w:r>
        <w:t xml:space="preserve">Inadimplência na fase manual → pacotes pré-pagos; Fase 3 automatiza o bloqueio.</w:t>
      </w:r>
    </w:p>
    <w:p>
      <w:pPr>
        <w:pStyle w:val="ListParagraph"/>
        <w:numPr>
          <w:ilvl w:val="0"/>
          <w:numId w:val="2"/>
        </w:numPr>
        <w:spacing w:after="80"/>
      </w:pPr>
      <w:r>
        <w:t xml:space="preserve">Concorrência de plataformas grandes → foco em nicho (municípios pequenos + canal jurídico), preço acessível e atuação nas fases que os concorrentes não cobrem.</w:t>
      </w:r>
    </w:p>
    <w:p>
      <w:pPr>
        <w:pStyle w:val="ListParagraph"/>
        <w:numPr>
          <w:ilvl w:val="0"/>
          <w:numId w:val="2"/>
        </w:numPr>
        <w:spacing w:after="80"/>
      </w:pPr>
      <w:r>
        <w:t xml:space="preserve">Marca → depósito no INPI já feito; acompanhar publicação na RPI e prazo de oposição.</w:t>
      </w:r>
    </w:p>
    <w:p>
      <w:pPr>
        <w:spacing w:before="300"/>
      </w:pPr>
      <w:r>
        <w:rPr>
          <w:i/>
          <w:iCs/>
          <w:color w:val="666666"/>
          <w:sz w:val="20"/>
          <w:szCs w:val="20"/>
        </w:rPr>
        <w:t xml:space="preserve">RM Vértice Digital — contato@rmverticedigital.com.br</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2026-07-27T19:03:34.456Z</dcterms:created>
  <dcterms:modified xsi:type="dcterms:W3CDTF">2026-07-27T19:03:34.456Z</dcterms:modified>
</cp:coreProperties>
</file>

<file path=docProps/custom.xml><?xml version="1.0" encoding="utf-8"?>
<Properties xmlns="http://schemas.openxmlformats.org/officeDocument/2006/custom-properties" xmlns:vt="http://schemas.openxmlformats.org/officeDocument/2006/docPropsVTypes"/>
</file>