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4E79"/>
          <w:sz w:val="34"/>
        </w:rPr>
        <w:t>RM Lisura — devolutiva ao 1º Mapeamento</w:t>
      </w:r>
    </w:p>
    <w:p>
      <w:pPr>
        <w:spacing w:after="240"/>
      </w:pPr>
      <w:r>
        <w:rPr>
          <w:i/>
          <w:color w:val="444444"/>
          <w:sz w:val="21"/>
        </w:rPr>
        <w:t>Resposta ao documento “1º Mapeamento para up no sistema”, de 09/08/2026 · Roberto Maurício · RM Vértice Digital</w:t>
      </w:r>
    </w:p>
    <w:p>
      <w:pPr>
        <w:jc w:val="both"/>
      </w:pPr>
      <w:r>
        <w:rPr>
          <w:b w:val="0"/>
        </w:rPr>
        <w:t>Caro Daysival,</w:t>
      </w:r>
    </w:p>
    <w:p>
      <w:pPr>
        <w:jc w:val="both"/>
      </w:pPr>
      <w:r>
        <w:rPr>
          <w:b w:val="0"/>
        </w:rPr>
        <w:t>Recebi o 1º Mapeamento e o li integralmente. Ele chega no momento certo: o app já cobre boa parte do que você organizou, mas o seu documento deixa claro que estamos entregando o insumo e não o produto final que o órgão precisa. Abaixo está o confronto entre o que existe hoje e o que o seu mapeamento aponta, seguido do que preciso de você para avançar.</w:t>
      </w:r>
    </w:p>
    <w:p>
      <w:pPr>
        <w:spacing w:before="280" w:after="100"/>
      </w:pPr>
      <w:r>
        <w:rPr>
          <w:b/>
          <w:color w:val="1F4E79"/>
          <w:sz w:val="26"/>
        </w:rPr>
        <w:t>1. O que li no seu mapeamento</w:t>
      </w:r>
    </w:p>
    <w:p>
      <w:pPr>
        <w:jc w:val="both"/>
      </w:pPr>
      <w:r>
        <w:rPr>
          <w:b w:val="0"/>
        </w:rPr>
        <w:t>Você nomeou o objeto de um modo que muda o posicionamento do produto: auditoria dos processos licitatórios e das contratações diretas PARA ELABORAÇÃO DO PARECER JURÍDICO DE CONTROLE PRÉVIO DE LEGALIDADE. Hoje o RM Lisura entrega relatório técnico de auditoria. O que você aponta é que a entrega útil ao órgão é a instrução do parecer do art. 53 — obrigatório antes de todo edital e, pelo § 4º, também nas contratações diretas, adesões a atas e termos aditivos.</w:t>
      </w:r>
    </w:p>
    <w:p>
      <w:pPr>
        <w:jc w:val="both"/>
      </w:pPr>
      <w:r>
        <w:rPr>
          <w:b w:val="0"/>
        </w:rPr>
        <w:t>E o dado que você trouxe sustenta o mercado: pelo 1º Diagnóstico da Advocacia Pública Municipal (ANPM), apenas 34,4% das prefeituras têm procurador concursado — 1.916 de 5.570. Cerca de 3.600 prefeituras precisam emitir um parecer obrigatório sem estrutura jurídica própria. É exatamente aí que a ferramenta faz diferença.</w:t>
      </w:r>
    </w:p>
    <w:p>
      <w:pPr>
        <w:spacing w:before="280" w:after="100"/>
      </w:pPr>
      <w:r>
        <w:rPr>
          <w:b/>
          <w:color w:val="1F4E79"/>
          <w:sz w:val="26"/>
        </w:rPr>
        <w:t>2. O que o app já cobre — e onde estão as lacunas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75"/>
          </w:tcPr>
          <w:p>
            <w:r/>
            <w:r>
              <w:rPr>
                <w:b/>
                <w:sz w:val="20"/>
              </w:rPr>
              <w:t>Módulo do mapeamento</w:t>
            </w:r>
          </w:p>
        </w:tc>
        <w:tc>
          <w:tcPr>
            <w:tcW w:type="dxa" w:w="5896"/>
          </w:tcPr>
          <w:p>
            <w:r/>
            <w:r>
              <w:rPr>
                <w:b/>
                <w:sz w:val="20"/>
              </w:rPr>
              <w:t>Situação no RM Lisura hoje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I — Processo licitatório (arts. 11 a 14)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Parcial. Os objetivos e a governança são avaliados de forma indireta na Auditoria de Edital e no Diagnóstico de Integridade Pública, mas não há verificação dedicada ao art. 11.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II — Fase preparatória (arts. 18 a 27)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BEM COBERTO. É o núcleo atual: Auditoria de ETP, Auditoria de Termo de Referência (9 dimensões da IN 81/2022), Auditoria de Edital com índice de risco de nulidade e Pesquisa de Mercado com preços reais do PNCP (art. 23 / IN 65/2021).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III — Contratações diretas (arts. 72 a 75)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LACUNA PRINCIPAL. Não há módulo dedicado. O art. 74, IV (credenciamento) já é analisado dentro da auditoria de edital, mas falta o checklist do art. 72, o enquadramento das hipóteses e a verificação de fracionamento.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IV — Parecer de controle prévio (arts. 53 e 54)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LACUNA. É a peça final que o seu mapeamento propõe e a que dá sentido a todas as anteriores.</w:t>
            </w:r>
          </w:p>
        </w:tc>
      </w:tr>
    </w:tbl>
    <w:p/>
    <w:p>
      <w:pPr>
        <w:spacing w:before="280" w:after="100"/>
      </w:pPr>
      <w:r>
        <w:rPr>
          <w:b/>
          <w:color w:val="1F4E79"/>
          <w:sz w:val="26"/>
        </w:rPr>
        <w:t>3. Por onde vou começar: o Módulo III</w:t>
      </w:r>
    </w:p>
    <w:p>
      <w:pPr>
        <w:jc w:val="both"/>
      </w:pPr>
      <w:r>
        <w:rPr>
          <w:b w:val="0"/>
        </w:rPr>
        <w:t>Escolhi as contratações diretas como próxima entrega, por três razões práticas:</w:t>
      </w:r>
    </w:p>
    <w:p>
      <w:pPr>
        <w:pStyle w:val="ListBullet"/>
        <w:spacing w:after="80"/>
      </w:pPr>
      <w:r>
        <w:t>É o maior volume real. Numa prefeitura de porte médio, as dispensas e inexigibilidades superam de longe as licitações — e são justamente as que passam com menos análise.</w:t>
      </w:r>
    </w:p>
    <w:p>
      <w:pPr>
        <w:pStyle w:val="ListBullet"/>
        <w:spacing w:after="80"/>
      </w:pPr>
      <w:r>
        <w:t>O art. 72 é um checklist fechado de oito documentos obrigatórios. Verificação objetiva, sem margem de interpretação: ou o documento está no processo, ou não está.</w:t>
      </w:r>
    </w:p>
    <w:p>
      <w:pPr>
        <w:pStyle w:val="ListBullet"/>
        <w:spacing w:after="80"/>
      </w:pPr>
      <w:r>
        <w:t>O art. 75, § 1º manda somar o que foi gasto no exercício pela unidade gestora e por objetos de mesma natureza. É onde o TCU mais aponta fracionamento irregular, é conta que ninguém faz à mão — e é onde o computador é imbatível.</w:t>
      </w:r>
    </w:p>
    <w:p>
      <w:pPr>
        <w:jc w:val="both"/>
      </w:pPr>
      <w:r>
        <w:rPr>
          <w:b w:val="0"/>
        </w:rPr>
        <w:t>O que o módulo vai entregar: verificação documento a documento do art. 72; conferência do enquadramento invocado (art. 74, I a V, com os requisitos dos §§ 1º a 5º; art. 75, I a XVIII, com os limites atualizados pelo Decreto 12.807/2025); alerta de fracionamento; e apontamento do art. 73 quando houver indício de contratação direta indevida.</w:t>
      </w:r>
    </w:p>
    <w:p>
      <w:pPr>
        <w:spacing w:before="280" w:after="100"/>
      </w:pPr>
      <w:r>
        <w:rPr>
          <w:b/>
          <w:color w:val="1F4E79"/>
          <w:sz w:val="26"/>
        </w:rPr>
        <w:t>4. Uma ressalva que precisa ficar registrada</w:t>
      </w:r>
    </w:p>
    <w:p>
      <w:pPr>
        <w:jc w:val="both"/>
      </w:pPr>
      <w:r>
        <w:rPr>
          <w:b w:val="0"/>
        </w:rPr>
        <w:t>Parecer jurídico é ato privativo de advogado (Lei 8.906/94, art. 1º, II). O aplicativo não pode — e não vai — emitir parecer. O que ele produzirá é a MINUTA INSTRUÍDA: os fatos organizados, os fundamentos legais levantados artigo por artigo, as pendências documentais apontadas e os pontos que exigem decisão jurídica sinalizados como tal. Quem revisa, complementa, assina e assume a responsabilidade técnica é o advogado ou procurador do órgão.</w:t>
      </w:r>
    </w:p>
    <w:p>
      <w:pPr>
        <w:jc w:val="both"/>
      </w:pPr>
      <w:r>
        <w:rPr>
          <w:b w:val="0"/>
        </w:rPr>
        <w:t>Faço questão de deixar isso explícito por dois motivos. O primeiro é de conformidade: se o produto for vendido como “parecer pronto”, expõe você, a mim e o próprio órgão. O segundo é que essa fronteira é o que garante o seu papel permanente no negócio — a ferramenta acelera o trabalho jurídico, não o substitui.</w:t>
      </w:r>
    </w:p>
    <w:p>
      <w:pPr>
        <w:jc w:val="both"/>
      </w:pPr>
      <w:r>
        <w:rPr>
          <w:b w:val="0"/>
        </w:rPr>
        <w:t>Vale também registrar o § 5º do art. 53: a análise jurídica é dispensável, por ato da autoridade jurídica máxima, nos casos de baixo valor, baixa complexidade, entrega imediata ou uso de minutas padronizadas. Isso reduz parte do volume — mas abre uma frente de serviço: padronizar as minutas do órgão é exatamente o tipo de trabalho que se cobra à parte.</w:t>
      </w:r>
    </w:p>
    <w:p>
      <w:pPr>
        <w:spacing w:before="280" w:after="100"/>
      </w:pPr>
      <w:r>
        <w:rPr>
          <w:b/>
          <w:color w:val="1F4E79"/>
          <w:sz w:val="26"/>
        </w:rPr>
        <w:t>5. Poupando o seu tempo no 2º Mapeamento</w:t>
      </w:r>
    </w:p>
    <w:p>
      <w:pPr>
        <w:jc w:val="both"/>
      </w:pPr>
      <w:r>
        <w:rPr>
          <w:b w:val="0"/>
        </w:rPr>
        <w:t>Dos quatro temas que você listou para o 2º Mapeamento, um já está pronto: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535"/>
          </w:tcPr>
          <w:p>
            <w:r/>
            <w:r>
              <w:rPr>
                <w:b/>
                <w:sz w:val="20"/>
              </w:rPr>
              <w:t>Tema do 2º Mapeamento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</w:rPr>
              <w:t>Situação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I — Adesões / caronas a atas de registro de preços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Não existe. Interessa, e muito.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II — Contratos: reajuste, repactuação, revisão e reequilíbrio; termos aditivos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JÁ EXISTE. O módulo Alterações Contratuais cobre isso. Vale você testar e me dizer o que falta.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III — Outras adesões e registro de preços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Não existe.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IV — Ordem cronológica de pagamentos e antecipação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Não existe. Tema pouco explorado pelos concorrentes.</w:t>
            </w:r>
          </w:p>
        </w:tc>
      </w:tr>
    </w:tbl>
    <w:p/>
    <w:p>
      <w:pPr>
        <w:spacing w:before="280" w:after="100"/>
      </w:pPr>
      <w:r>
        <w:rPr>
          <w:b/>
          <w:color w:val="1F4E79"/>
          <w:sz w:val="26"/>
        </w:rPr>
        <w:t>6. O que preciso de você</w:t>
      </w:r>
    </w:p>
    <w:p>
      <w:pPr>
        <w:jc w:val="both"/>
      </w:pPr>
      <w:r>
        <w:rPr>
          <w:b w:val="0"/>
        </w:rPr>
        <w:t>O texto da lei eu consigo ler e estruturar sozinho. O que não consigo obter em lugar nenhum é a sua experiência de campo. Especificamente:</w:t>
      </w:r>
    </w:p>
    <w:p>
      <w:pPr>
        <w:pStyle w:val="ListNumber"/>
        <w:spacing w:after="80"/>
      </w:pPr>
      <w:r>
        <w:t>Os vícios mais frequentes que você encontra na prática. Quais falhas se repetem nos processos que chegam à sua mesa? Uma lista de vinte vícios reais vale mais, para o app, do que cem artigos transcritos.</w:t>
      </w:r>
    </w:p>
    <w:p>
      <w:pPr>
        <w:pStyle w:val="ListNumber"/>
        <w:spacing w:after="80"/>
      </w:pPr>
      <w:r>
        <w:t>Um modelo do seu parecer, com dados fictícios ou anonimizados. A estrutura que você usa — ordem das seções, forma de concluir, como registra ressalvas — é o que vai definir o formato de saída do módulo.</w:t>
      </w:r>
    </w:p>
    <w:p>
      <w:pPr>
        <w:pStyle w:val="ListNumber"/>
        <w:spacing w:after="80"/>
      </w:pPr>
      <w:r>
        <w:t>Os acórdãos do TCU que você cita com mais frequência, sobretudo sobre dispensa, inexigibilidade e fracionamento. Cada um vira uma regra de verificação.</w:t>
      </w:r>
    </w:p>
    <w:p>
      <w:pPr>
        <w:pStyle w:val="ListNumber"/>
        <w:spacing w:after="80"/>
      </w:pPr>
      <w:r>
        <w:t>Como o órgão decide na prática entre licitar e contratar diretamente. Onde o erro costuma nascer: no enquadramento, na justificativa de preço ou na razão da escolha do contratado?</w:t>
      </w:r>
    </w:p>
    <w:p>
      <w:pPr>
        <w:pStyle w:val="ListNumber"/>
        <w:spacing w:after="80"/>
      </w:pPr>
      <w:r>
        <w:t>Sua leitura sobre a fronteira do parecer. Você concorda com a minha ressalva do item 4? E qual seria o seu papel na revisão das minutas que o app gerar?</w:t>
      </w:r>
    </w:p>
    <w:p>
      <w:pPr>
        <w:spacing w:before="280" w:after="100"/>
      </w:pPr>
      <w:r>
        <w:rPr>
          <w:b/>
          <w:color w:val="1F4E79"/>
          <w:sz w:val="26"/>
        </w:rPr>
        <w:t>7. Sobre a sua tabela de honorários</w:t>
      </w:r>
    </w:p>
    <w:p>
      <w:pPr>
        <w:jc w:val="both"/>
      </w:pPr>
      <w:r>
        <w:rPr>
          <w:b w:val="0"/>
        </w:rPr>
        <w:t>Ficou entendido e registrado: a tabela que você apresentou reflete os valores que você pratica com os seus clientes e não se aplica às entregas da nossa parceria. São coisas separadas — o produto da plataforma de um lado, o seu serviço jurídico do outro. Quando um cliente da plataforma precisar de parecer sobre caso concreto, a contratação é direta com você, pelos seus valores, sem intermediação nossa.</w:t>
      </w:r>
    </w:p>
    <w:p>
      <w:pPr>
        <w:spacing w:before="280" w:after="100"/>
      </w:pPr>
      <w:r>
        <w:rPr>
          <w:b/>
          <w:color w:val="1F4E79"/>
          <w:sz w:val="26"/>
        </w:rPr>
        <w:t>8. Próximos passos</w:t>
      </w:r>
    </w:p>
    <w:p>
      <w:pPr>
        <w:pStyle w:val="ListBullet"/>
        <w:spacing w:after="80"/>
      </w:pPr>
      <w:r>
        <w:t>Eu: desenvolvo o módulo de Contratações Diretas e te chamo para testar antes de qualquer cliente ver.</w:t>
      </w:r>
    </w:p>
    <w:p>
      <w:pPr>
        <w:pStyle w:val="ListBullet"/>
        <w:spacing w:after="80"/>
      </w:pPr>
      <w:r>
        <w:t>Você: avalia o aplicativo com calma e me manda os cinco itens do item 6.</w:t>
      </w:r>
    </w:p>
    <w:p>
      <w:pPr>
        <w:pStyle w:val="ListBullet"/>
        <w:spacing w:after="80"/>
      </w:pPr>
      <w:r>
        <w:t>Nós dois: em setembro, quando você vier a Aracaju, fechamos o acordo por escrito e revisamos o roteiro com o que tiver sido aprendido até lá.</w:t>
      </w:r>
    </w:p>
    <w:p>
      <w:pPr>
        <w:jc w:val="both"/>
      </w:pPr>
      <w:r>
        <w:rPr>
          <w:b w:val="0"/>
        </w:rPr>
        <w:t>Um abraço,</w:t>
      </w:r>
    </w:p>
    <w:p>
      <w:pPr>
        <w:jc w:val="both"/>
      </w:pPr>
      <w:r>
        <w:rPr>
          <w:b w:val="0"/>
        </w:rPr>
        <w:t>Roberto Maurício</w:t>
      </w:r>
    </w:p>
    <w:p>
      <w:pPr>
        <w:jc w:val="both"/>
      </w:pPr>
      <w:r>
        <w:rPr>
          <w:b w:val="0"/>
        </w:rPr>
        <w:t>RM Vértice Digital Inova Simples (I.S.) — CNPJ 68.118.290/0001-06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