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B83C6D"/>
        </w:rPr>
        <w:t>Ninho &amp; Mimo Trends</w:t>
      </w:r>
    </w:p>
    <w:p>
      <w:pPr>
        <w:jc w:val="center"/>
      </w:pPr>
      <w:r>
        <w:rPr>
          <w:color w:val="2E2E40"/>
          <w:sz w:val="36"/>
        </w:rPr>
        <w:t>Documentação Técnica</w:t>
      </w:r>
    </w:p>
    <w:p>
      <w:pPr>
        <w:jc w:val="center"/>
      </w:pPr>
      <w:r>
        <w:rPr>
          <w:i/>
          <w:color w:val="555555"/>
        </w:rPr>
        <w:t>Plataforma de inteligência de produtos para gestantes, mães, bebês e crianças de até 10 anos — coleta, deduplicação, pontuação e ranking de oportunidades para orientar produção de conteúdo.</w:t>
      </w:r>
    </w:p>
    <w:p/>
    <w:p>
      <w:pPr>
        <w:jc w:val="center"/>
      </w:pPr>
      <w:r>
        <w:rPr>
          <w:color w:val="555555"/>
          <w:sz w:val="18"/>
        </w:rPr>
        <w:t>Versão do documento: 1.0  |  Base: MVP completo (Etapas 1–10)</w:t>
      </w:r>
    </w:p>
    <w:p>
      <w:r>
        <w:br w:type="page"/>
      </w:r>
    </w:p>
    <w:p>
      <w:pPr>
        <w:pStyle w:val="Heading1"/>
      </w:pPr>
      <w:r>
        <w:t>Sumário</w:t>
      </w:r>
    </w:p>
    <w:p>
      <w:pPr>
        <w:pStyle w:val="ListNumber"/>
      </w:pPr>
      <w:r>
        <w:t>1. Visão geral e arquitetura</w:t>
      </w:r>
    </w:p>
    <w:p>
      <w:pPr>
        <w:pStyle w:val="ListNumber"/>
      </w:pPr>
      <w:r>
        <w:t>2. Estrutura de módulos (src/ninho_mimo_trends)</w:t>
      </w:r>
    </w:p>
    <w:p>
      <w:pPr>
        <w:pStyle w:val="ListNumber"/>
      </w:pPr>
      <w:r>
        <w:t>3. Modelo de dados (PostgreSQL)</w:t>
      </w:r>
    </w:p>
    <w:p>
      <w:pPr>
        <w:pStyle w:val="ListNumber"/>
      </w:pPr>
      <w:r>
        <w:t>4. Sistema de pontuação (scoring)</w:t>
      </w:r>
    </w:p>
    <w:p>
      <w:pPr>
        <w:pStyle w:val="ListNumber"/>
      </w:pPr>
      <w:r>
        <w:t>5. CLI — comandos, parsers e exit codes</w:t>
      </w:r>
    </w:p>
    <w:p>
      <w:pPr>
        <w:pStyle w:val="ListNumber"/>
      </w:pPr>
      <w:r>
        <w:t>6. Como executar o projeto do zero</w:t>
      </w:r>
    </w:p>
    <w:p>
      <w:pPr>
        <w:pStyle w:val="ListNumber"/>
      </w:pPr>
      <w:r>
        <w:t>7. Testes automatizados</w:t>
      </w:r>
    </w:p>
    <w:p>
      <w:pPr>
        <w:pStyle w:val="ListNumber"/>
      </w:pPr>
      <w:r>
        <w:t>8. Coletor Shopee Affiliate Open API</w:t>
      </w:r>
    </w:p>
    <w:p>
      <w:pPr>
        <w:pStyle w:val="ListNumber"/>
      </w:pPr>
      <w:r>
        <w:t>9. Roadmap e limitações conhecidas</w:t>
      </w:r>
    </w:p>
    <w:p>
      <w:r>
        <w:br w:type="page"/>
      </w:r>
    </w:p>
    <w:p>
      <w:pPr>
        <w:pStyle w:val="Heading1"/>
      </w:pPr>
      <w:r>
        <w:t>1. Visão geral e arquitetura</w:t>
      </w:r>
    </w:p>
    <w:p>
      <w:r>
        <w:t>O projeto é uma aplicação CLI (sem framework web) em Python 3.12+, que fala diretamente com um banco PostgreSQL. Não há automação de postagem em redes sociais — o sistema apenas gera um ranking para orientar a produção manual de conteúdo.</w:t>
      </w:r>
    </w:p>
    <w:p>
      <w:pPr>
        <w:pStyle w:val="Heading2"/>
      </w:pPr>
      <w:r>
        <w:t>1.1 Camadas e regra de dependência</w:t>
      </w:r>
    </w:p>
    <w:p>
      <w:r>
        <w:t>A aplicação segue uma arquitetura em camadas simples. Cada camada só conhece as camadas abaixo dela: business/ nunca importa cli/; repositories/ nunca importa business/; scoring/ e deduplication/ são módulos puros (sem acesso a banco de dados), o que os torna fáceis de testar isoladamente.</w:t>
      </w:r>
    </w:p>
    <w:p>
      <w:pPr>
        <w:spacing w:before="80" w:after="160"/>
        <w:ind w:left="283"/>
      </w:pPr>
      <w:r>
        <w:rPr>
          <w:rFonts w:ascii="Consolas" w:hAnsi="Consolas"/>
          <w:color w:val="1A1A1A"/>
          <w:sz w:val="19"/>
        </w:rPr>
        <w:t>cli/                 parser.py (argparse) + handlers.py (dispatch, exit codes)</w:t>
      </w:r>
      <w:r>
        <w:br/>
      </w:r>
      <w:r>
        <w:rPr>
          <w:rFonts w:ascii="Consolas" w:hAnsi="Consolas"/>
          <w:color w:val="1A1A1A"/>
          <w:sz w:val="19"/>
        </w:rPr>
        <w:t>cli/commands/        uma função fina por comando/subcomando</w:t>
      </w:r>
      <w:r>
        <w:br/>
      </w:r>
      <w:r>
        <w:rPr>
          <w:rFonts w:ascii="Consolas" w:hAnsi="Consolas"/>
          <w:color w:val="1A1A1A"/>
          <w:sz w:val="19"/>
        </w:rPr>
        <w:t>business/            regras de negócio e orquestração</w:t>
      </w:r>
      <w:r>
        <w:br/>
      </w:r>
      <w:r>
        <w:rPr>
          <w:rFonts w:ascii="Consolas" w:hAnsi="Consolas"/>
          <w:color w:val="1A1A1A"/>
          <w:sz w:val="19"/>
        </w:rPr>
        <w:t>collectors/          BaseCollector, MockCollector, PublicSourceCollector, ShopeeAffiliateCollector</w:t>
      </w:r>
      <w:r>
        <w:br/>
      </w:r>
      <w:r>
        <w:rPr>
          <w:rFonts w:ascii="Consolas" w:hAnsi="Consolas"/>
          <w:color w:val="1A1A1A"/>
          <w:sz w:val="19"/>
        </w:rPr>
        <w:t>deduplication/       normalizer.py, product_matcher.py (funções puras)</w:t>
      </w:r>
      <w:r>
        <w:br/>
      </w:r>
      <w:r>
        <w:rPr>
          <w:rFonts w:ascii="Consolas" w:hAnsi="Consolas"/>
          <w:color w:val="1A1A1A"/>
          <w:sz w:val="19"/>
        </w:rPr>
        <w:t>scoring/             trend/social/risk/opportunity score (funções puras)</w:t>
      </w:r>
      <w:r>
        <w:br/>
      </w:r>
      <w:r>
        <w:rPr>
          <w:rFonts w:ascii="Consolas" w:hAnsi="Consolas"/>
          <w:color w:val="1A1A1A"/>
          <w:sz w:val="19"/>
        </w:rPr>
        <w:t>schemas/             validação Pydantic na fronteira externa</w:t>
      </w:r>
      <w:r>
        <w:br/>
      </w:r>
      <w:r>
        <w:rPr>
          <w:rFonts w:ascii="Consolas" w:hAnsi="Consolas"/>
          <w:color w:val="1A1A1A"/>
          <w:sz w:val="19"/>
        </w:rPr>
        <w:t>repositories/        acesso a dados por agregado</w:t>
      </w:r>
      <w:r>
        <w:br/>
      </w:r>
      <w:r>
        <w:rPr>
          <w:rFonts w:ascii="Consolas" w:hAnsi="Consolas"/>
          <w:color w:val="1A1A1A"/>
          <w:sz w:val="19"/>
        </w:rPr>
        <w:t>database/            engine, session, UnitOfWork, healthcheck</w:t>
      </w:r>
      <w:r>
        <w:br/>
      </w:r>
      <w:r>
        <w:rPr>
          <w:rFonts w:ascii="Consolas" w:hAnsi="Consolas"/>
          <w:color w:val="1A1A1A"/>
          <w:sz w:val="19"/>
        </w:rPr>
        <w:t>models/              SQLAlchemy 2.0 (Mapped / mapped_column)</w:t>
      </w:r>
      <w:r>
        <w:br/>
      </w:r>
      <w:r>
        <w:rPr>
          <w:rFonts w:ascii="Consolas" w:hAnsi="Consolas"/>
          <w:color w:val="1A1A1A"/>
          <w:sz w:val="19"/>
        </w:rPr>
        <w:t>configuration/       Settings (.env) + json_loader (configs/*.json)</w:t>
      </w:r>
      <w:r>
        <w:br/>
      </w:r>
      <w:r>
        <w:rPr>
          <w:rFonts w:ascii="Consolas" w:hAnsi="Consolas"/>
          <w:color w:val="1A1A1A"/>
          <w:sz w:val="19"/>
        </w:rPr>
        <w:t>logging_config/      logging estruturado</w:t>
      </w:r>
      <w:r>
        <w:br/>
      </w:r>
      <w:r>
        <w:rPr>
          <w:rFonts w:ascii="Consolas" w:hAnsi="Consolas"/>
          <w:color w:val="1A1A1A"/>
          <w:sz w:val="19"/>
        </w:rPr>
        <w:t>utils/               texto, hashing, dinheiro, datas, retry</w:t>
      </w:r>
    </w:p>
    <w:p>
      <w:pPr>
        <w:pStyle w:val="Heading2"/>
      </w:pPr>
      <w:r>
        <w:t>1.2 Fluxo de coleta ponta a ponta</w:t>
      </w:r>
    </w:p>
    <w:p>
      <w:pPr>
        <w:pStyle w:val="ListBullet"/>
      </w:pPr>
      <w:r>
        <w:t>CLI (collect --source X) aciona CollectionService.run_collection</w:t>
      </w:r>
    </w:p>
    <w:p>
      <w:pPr>
        <w:pStyle w:val="ListBullet"/>
      </w:pPr>
      <w:r>
        <w:t>CollectorRegistry localiza o coletor da fonte (mock, público, Shopee...)</w:t>
      </w:r>
    </w:p>
    <w:p>
      <w:pPr>
        <w:pStyle w:val="ListBullet"/>
      </w:pPr>
      <w:r>
        <w:t>collector.validate_configuration() e collector.collect() retornam produtos padronizados</w:t>
      </w:r>
    </w:p>
    <w:p>
      <w:pPr>
        <w:pStyle w:val="ListBullet"/>
      </w:pPr>
      <w:r>
        <w:t>Cada item é validado (Pydantic) e passa pela deduplicação (hash canônico + similaridade)</w:t>
      </w:r>
    </w:p>
    <w:p>
      <w:pPr>
        <w:pStyle w:val="ListBullet"/>
      </w:pPr>
      <w:r>
        <w:t>Produto é criado ou reaproveitado; snapshot de histórico é gravado</w:t>
      </w:r>
    </w:p>
    <w:p>
      <w:pPr>
        <w:pStyle w:val="ListBullet"/>
      </w:pPr>
      <w:r>
        <w:t>ScoringService recalcula as 4 pontuações e grava uma nova linha em tb_product_scores</w:t>
      </w:r>
    </w:p>
    <w:p>
      <w:pPr>
        <w:pStyle w:val="ListBullet"/>
      </w:pPr>
      <w:r>
        <w:t>tb_collection_runs é atualizado com o resultado final da execução</w:t>
      </w:r>
    </w:p>
    <w:p>
      <w:r>
        <w:t>Erros em um único item (categoria desconhecida, dado inválido) são capturados, contados em tb_collection_errors e NÃO interrompem a coleta. Apenas uma falha da fonte inteira (ex.: fonte desativada) interrompe a execução e marca o status como FAILED.</w:t>
      </w:r>
    </w:p>
    <w:p>
      <w:pPr>
        <w:pStyle w:val="Heading2"/>
      </w:pPr>
      <w:r>
        <w:t>1.3 Modo --dry-run</w:t>
      </w:r>
    </w:p>
    <w:p>
      <w:r>
        <w:t>Executa toda a validação/normalização normalmente, mas reverte (rollback) a transação ao final — nenhum dado é gravado. Útil para validar uma fonte nova sem efeito colateral no banco.</w:t>
      </w:r>
    </w:p>
    <w:p>
      <w:r>
        <w:br w:type="page"/>
      </w:r>
    </w:p>
    <w:p>
      <w:pPr>
        <w:pStyle w:val="Heading1"/>
      </w:pPr>
      <w:r>
        <w:t>2. Estrutura de módulos (src/ninho_mimo_trends)</w:t>
      </w:r>
    </w:p>
    <w:p>
      <w:pPr>
        <w:pStyle w:val="Heading2"/>
      </w:pPr>
      <w:r>
        <w:t>2.1 business/ — regras de negócio e orquestração</w:t>
      </w:r>
    </w:p>
    <w:p>
      <w:r>
        <w:t>Cada serviço orquestra repositórios (via UnitOfWork) e módulos puros (scoring/, deduplication/). É a única camada que conhece o fluxo completo de uma operação de domínio.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18"/>
            <w:shd w:fill="B83C6D"/>
          </w:tcPr>
          <w:p>
            <w:r>
              <w:rPr>
                <w:b/>
                <w:color w:val="FFFFFF"/>
                <w:sz w:val="19"/>
              </w:rPr>
              <w:t>Arquivo</w:t>
            </w:r>
          </w:p>
        </w:tc>
        <w:tc>
          <w:tcPr>
            <w:tcW w:type="dxa" w:w="5953"/>
            <w:shd w:fill="B83C6D"/>
          </w:tcPr>
          <w:p>
            <w:r>
              <w:rPr>
                <w:b/>
                <w:color w:val="FFFFFF"/>
                <w:sz w:val="19"/>
              </w:rPr>
              <w:t>Responsabilidade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collection_service.py</w:t>
            </w:r>
          </w:p>
        </w:tc>
        <w:tc>
          <w:tcPr>
            <w:tcW w:type="dxa" w:w="5953"/>
          </w:tcPr>
          <w:p>
            <w:r>
              <w:rPr>
                <w:sz w:val="19"/>
              </w:rPr>
              <w:t>Orquestra o fluxo completo de uma coleta (fonte → coletor → dedup → persistência → score).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product_service.py</w:t>
            </w:r>
          </w:p>
        </w:tc>
        <w:tc>
          <w:tcPr>
            <w:tcW w:type="dxa" w:w="5953"/>
          </w:tcPr>
          <w:p>
            <w:r>
              <w:rPr>
                <w:sz w:val="19"/>
              </w:rPr>
              <w:t>Busca/lista produtos e implementa a deduplicação (find_or_create_product).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scoring_service.py</w:t>
            </w:r>
          </w:p>
        </w:tc>
        <w:tc>
          <w:tcPr>
            <w:tcW w:type="dxa" w:w="5953"/>
          </w:tcPr>
          <w:p>
            <w:r>
              <w:rPr>
                <w:sz w:val="19"/>
              </w:rPr>
              <w:t>Calcula as 4 pontuações e persiste uma nova linha em tb_product_scores.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trend_service.py</w:t>
            </w:r>
          </w:p>
        </w:tc>
        <w:tc>
          <w:tcPr>
            <w:tcW w:type="dxa" w:w="5953"/>
          </w:tcPr>
          <w:p>
            <w:r>
              <w:rPr>
                <w:sz w:val="19"/>
              </w:rPr>
              <w:t>Regras auxiliares de tendência usadas pelo scoring_service.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moderation_service.py</w:t>
            </w:r>
          </w:p>
        </w:tc>
        <w:tc>
          <w:tcPr>
            <w:tcW w:type="dxa" w:w="5953"/>
          </w:tcPr>
          <w:p>
            <w:r>
              <w:rPr>
                <w:sz w:val="19"/>
              </w:rPr>
              <w:t>Aprova/rejeita produtos manualmente; nunca bloqueia aprovação de produto de risco, apenas alerta via log.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export_service.py</w:t>
            </w:r>
          </w:p>
        </w:tc>
        <w:tc>
          <w:tcPr>
            <w:tcW w:type="dxa" w:w="5953"/>
          </w:tcPr>
          <w:p>
            <w:r>
              <w:rPr>
                <w:sz w:val="19"/>
              </w:rPr>
              <w:t>Monta as linhas do ranking e exporta para CSV/XLSX.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safety_service.py</w:t>
            </w:r>
          </w:p>
        </w:tc>
        <w:tc>
          <w:tcPr>
            <w:tcW w:type="dxa" w:w="5953"/>
          </w:tcPr>
          <w:p>
            <w:r>
              <w:rPr>
                <w:sz w:val="19"/>
              </w:rPr>
              <w:t>Função pura que gera alertas de segurança (INMETRO/ANVISA, engasgo, sono, etc.) a partir de categoria/texto/risco.</w:t>
            </w:r>
          </w:p>
        </w:tc>
      </w:tr>
    </w:tbl>
    <w:p/>
    <w:p>
      <w:pPr>
        <w:pStyle w:val="Heading2"/>
      </w:pPr>
      <w:r>
        <w:t>2.2 cli/ — interface de linha de comando</w:t>
      </w:r>
    </w:p>
    <w:p>
      <w:r>
        <w:t>Camada mais externa: converte argumentos de linha de comando em chamadas para business/, e mapeia exceções de domínio para exit codes.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18"/>
            <w:shd w:fill="B83C6D"/>
          </w:tcPr>
          <w:p>
            <w:r>
              <w:rPr>
                <w:b/>
                <w:color w:val="FFFFFF"/>
                <w:sz w:val="19"/>
              </w:rPr>
              <w:t>Arquivo</w:t>
            </w:r>
          </w:p>
        </w:tc>
        <w:tc>
          <w:tcPr>
            <w:tcW w:type="dxa" w:w="5953"/>
            <w:shd w:fill="B83C6D"/>
          </w:tcPr>
          <w:p>
            <w:r>
              <w:rPr>
                <w:b/>
                <w:color w:val="FFFFFF"/>
                <w:sz w:val="19"/>
              </w:rPr>
              <w:t>Responsabilidade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parser.py</w:t>
            </w:r>
          </w:p>
        </w:tc>
        <w:tc>
          <w:tcPr>
            <w:tcW w:type="dxa" w:w="5953"/>
          </w:tcPr>
          <w:p>
            <w:r>
              <w:rPr>
                <w:sz w:val="19"/>
              </w:rPr>
              <w:t>Constrói a árvore completa de comandos/subcomandos com argparse.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handlers.py</w:t>
            </w:r>
          </w:p>
        </w:tc>
        <w:tc>
          <w:tcPr>
            <w:tcW w:type="dxa" w:w="5953"/>
          </w:tcPr>
          <w:p>
            <w:r>
              <w:rPr>
                <w:sz w:val="19"/>
              </w:rPr>
              <w:t>Executa o comando escolhido, formata a saída no terminal e mapeia exceções → exit codes.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exit_codes.py</w:t>
            </w:r>
          </w:p>
        </w:tc>
        <w:tc>
          <w:tcPr>
            <w:tcW w:type="dxa" w:w="5953"/>
          </w:tcPr>
          <w:p>
            <w:r>
              <w:rPr>
                <w:sz w:val="19"/>
              </w:rPr>
              <w:t>Constantes dos códigos de saída do processo (0 a 6).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commands/*.py</w:t>
            </w:r>
          </w:p>
        </w:tc>
        <w:tc>
          <w:tcPr>
            <w:tcW w:type="dxa" w:w="5953"/>
          </w:tcPr>
          <w:p>
            <w:r>
              <w:rPr>
                <w:sz w:val="19"/>
              </w:rPr>
              <w:t>Uma função fina por comando (collect.py, seed.py, database.py, list_products.py, show_product.py, rank_products.py, approve_product.py, reject_product.py, export_products.py) — cada uma abre um UnitOfWork e delega para business/.</w:t>
            </w:r>
          </w:p>
        </w:tc>
      </w:tr>
    </w:tbl>
    <w:p/>
    <w:p>
      <w:pPr>
        <w:pStyle w:val="Heading2"/>
      </w:pPr>
      <w:r>
        <w:t>2.3 collectors/ — integração com fontes externas</w:t>
      </w:r>
    </w:p>
    <w:p>
      <w:r>
        <w:t>Cada coletor implementa a interface BaseCollector e retorna produtos no formato padronizado CollectedProduct, antes de qualquer normalização.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18"/>
            <w:shd w:fill="B83C6D"/>
          </w:tcPr>
          <w:p>
            <w:r>
              <w:rPr>
                <w:b/>
                <w:color w:val="FFFFFF"/>
                <w:sz w:val="19"/>
              </w:rPr>
              <w:t>Arquivo</w:t>
            </w:r>
          </w:p>
        </w:tc>
        <w:tc>
          <w:tcPr>
            <w:tcW w:type="dxa" w:w="5953"/>
            <w:shd w:fill="B83C6D"/>
          </w:tcPr>
          <w:p>
            <w:r>
              <w:rPr>
                <w:b/>
                <w:color w:val="FFFFFF"/>
                <w:sz w:val="19"/>
              </w:rPr>
              <w:t>Responsabilidade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base.py</w:t>
            </w:r>
          </w:p>
        </w:tc>
        <w:tc>
          <w:tcPr>
            <w:tcW w:type="dxa" w:w="5953"/>
          </w:tcPr>
          <w:p>
            <w:r>
              <w:rPr>
                <w:sz w:val="19"/>
              </w:rPr>
              <w:t>Classe abstrata BaseCollector (validate_configuration, healthcheck, collect, normalize_product) e dataclass CollectedProduct.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mock_collector.py</w:t>
            </w:r>
          </w:p>
        </w:tc>
        <w:tc>
          <w:tcPr>
            <w:tcW w:type="dxa" w:w="5953"/>
          </w:tcPr>
          <w:p>
            <w:r>
              <w:rPr>
                <w:sz w:val="19"/>
              </w:rPr>
              <w:t>Lê data/fixtures/mock_products.json (19 produtos × 4 snapshots = 76 itens). Não faz chamada de rede; usado em demos/testes.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public_source_collector.py</w:t>
            </w:r>
          </w:p>
        </w:tc>
        <w:tc>
          <w:tcPr>
            <w:tcW w:type="dxa" w:w="5953"/>
          </w:tcPr>
          <w:p>
            <w:r>
              <w:rPr>
                <w:sz w:val="19"/>
              </w:rPr>
              <w:t>Mecanismo genérico de coleta HTTP respeitosa (robots.txt, rate limit, retry/backoff). Desabilitado por padrão — não há fonte pública real conectada.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shopee_affiliate_collector.py</w:t>
            </w:r>
          </w:p>
        </w:tc>
        <w:tc>
          <w:tcPr>
            <w:tcW w:type="dxa" w:w="5953"/>
          </w:tcPr>
          <w:p>
            <w:r>
              <w:rPr>
                <w:sz w:val="19"/>
              </w:rPr>
              <w:t>Integração real com a Shopee Affiliate Open API (GraphQL). Requer credenciais de afiliado. Detalhado na seção 8.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registry.py</w:t>
            </w:r>
          </w:p>
        </w:tc>
        <w:tc>
          <w:tcPr>
            <w:tcW w:type="dxa" w:w="5953"/>
          </w:tcPr>
          <w:p>
            <w:r>
              <w:rPr>
                <w:sz w:val="19"/>
              </w:rPr>
              <w:t>CollectorRegistry: mapeia Source.code → classe de coletor.</w:t>
            </w:r>
          </w:p>
        </w:tc>
      </w:tr>
    </w:tbl>
    <w:p/>
    <w:p>
      <w:pPr>
        <w:pStyle w:val="Heading2"/>
      </w:pPr>
      <w:r>
        <w:t>2.4 deduplication/ — normalização e correspondência de produtos</w:t>
      </w:r>
    </w:p>
    <w:p>
      <w:r>
        <w:t>Módulos puros (sem I/O), o que permite testá-los isoladamente sem banco de dados.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18"/>
            <w:shd w:fill="B83C6D"/>
          </w:tcPr>
          <w:p>
            <w:r>
              <w:rPr>
                <w:b/>
                <w:color w:val="FFFFFF"/>
                <w:sz w:val="19"/>
              </w:rPr>
              <w:t>Arquivo</w:t>
            </w:r>
          </w:p>
        </w:tc>
        <w:tc>
          <w:tcPr>
            <w:tcW w:type="dxa" w:w="5953"/>
            <w:shd w:fill="B83C6D"/>
          </w:tcPr>
          <w:p>
            <w:r>
              <w:rPr>
                <w:b/>
                <w:color w:val="FFFFFF"/>
                <w:sz w:val="19"/>
              </w:rPr>
              <w:t>Responsabilidade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normalizer.py</w:t>
            </w:r>
          </w:p>
        </w:tc>
        <w:tc>
          <w:tcPr>
            <w:tcW w:type="dxa" w:w="5953"/>
          </w:tcPr>
          <w:p>
            <w:r>
              <w:rPr>
                <w:sz w:val="19"/>
              </w:rPr>
              <w:t>Gera 3 variantes do nome de um produto: original, normalizado (para exibição) e chave de comparação (sem acentos/termos promocionais).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product_matcher.py</w:t>
            </w:r>
          </w:p>
        </w:tc>
        <w:tc>
          <w:tcPr>
            <w:tcW w:type="dxa" w:w="5953"/>
          </w:tcPr>
          <w:p>
            <w:r>
              <w:rPr>
                <w:sz w:val="19"/>
              </w:rPr>
              <w:t>Classifica dois produtos como EXACT_MATCH (hash idêntico), POSSIBLE_MATCH (similaridade ≥ 85% via RapidFuzz) ou DIFFERENT_PRODUCT. POSSIBLE_MATCH nunca é mesclado automaticamente — apenas gera um log de aviso para revisão humana.</w:t>
            </w:r>
          </w:p>
        </w:tc>
      </w:tr>
    </w:tbl>
    <w:p/>
    <w:p>
      <w:pPr>
        <w:pStyle w:val="Heading2"/>
      </w:pPr>
      <w:r>
        <w:t>2.5 scoring/ — cálculo de pontuações</w:t>
      </w:r>
    </w:p>
    <w:p>
      <w:r>
        <w:t>Funções puras, parametrizadas por configs/scoring_rules.json. Detalhado na seção 4.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18"/>
            <w:shd w:fill="B83C6D"/>
          </w:tcPr>
          <w:p>
            <w:r>
              <w:rPr>
                <w:b/>
                <w:color w:val="FFFFFF"/>
                <w:sz w:val="19"/>
              </w:rPr>
              <w:t>Arquivo</w:t>
            </w:r>
          </w:p>
        </w:tc>
        <w:tc>
          <w:tcPr>
            <w:tcW w:type="dxa" w:w="5953"/>
            <w:shd w:fill="B83C6D"/>
          </w:tcPr>
          <w:p>
            <w:r>
              <w:rPr>
                <w:b/>
                <w:color w:val="FFFFFF"/>
                <w:sz w:val="19"/>
              </w:rPr>
              <w:t>Responsabilidade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trend_score.py</w:t>
            </w:r>
          </w:p>
        </w:tc>
        <w:tc>
          <w:tcPr>
            <w:tcW w:type="dxa" w:w="5953"/>
          </w:tcPr>
          <w:p>
            <w:r>
              <w:rPr>
                <w:sz w:val="19"/>
              </w:rPr>
              <w:t>Mede desempenho ao longo do tempo (crescimento de vendas/avaliações/ranking).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social_score.py</w:t>
            </w:r>
          </w:p>
        </w:tc>
        <w:tc>
          <w:tcPr>
            <w:tcW w:type="dxa" w:w="5953"/>
          </w:tcPr>
          <w:p>
            <w:r>
              <w:rPr>
                <w:sz w:val="19"/>
              </w:rPr>
              <w:t>Mede potencial de conteúdo para redes sociais (visual, facilidade de demonstração, apelo emocional, etc.).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risk_score.py</w:t>
            </w:r>
          </w:p>
        </w:tc>
        <w:tc>
          <w:tcPr>
            <w:tcW w:type="dxa" w:w="5953"/>
          </w:tcPr>
          <w:p>
            <w:r>
              <w:rPr>
                <w:sz w:val="19"/>
              </w:rPr>
              <w:t>Mede risco de segurança/regulatório (palavras-chave, categoria, faixa etária ausente).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opportunity_score.py</w:t>
            </w:r>
          </w:p>
        </w:tc>
        <w:tc>
          <w:tcPr>
            <w:tcW w:type="dxa" w:w="5953"/>
          </w:tcPr>
          <w:p>
            <w:r>
              <w:rPr>
                <w:sz w:val="19"/>
              </w:rPr>
              <w:t>Combina os três scores acima + preço + disponibilidade no ranking final.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score_calculator.py</w:t>
            </w:r>
          </w:p>
        </w:tc>
        <w:tc>
          <w:tcPr>
            <w:tcW w:type="dxa" w:w="5953"/>
          </w:tcPr>
          <w:p>
            <w:r>
              <w:rPr>
                <w:sz w:val="19"/>
              </w:rPr>
              <w:t>Orquestra as 4 fórmulas e monta o resultado agregado (ProductScoringResult).</w:t>
            </w:r>
          </w:p>
        </w:tc>
      </w:tr>
    </w:tbl>
    <w:p/>
    <w:p>
      <w:pPr>
        <w:pStyle w:val="Heading2"/>
      </w:pPr>
      <w:r>
        <w:t>2.6 database/, repositories/ e models/ — persistência</w:t>
      </w:r>
    </w:p>
    <w:p>
      <w:r>
        <w:t>database/ cuida da infraestrutura de conexão; models/ define o schema SQLAlchemy; repositories/ encapsula as consultas por agregado (um repositório por tabela principal).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18"/>
            <w:shd w:fill="B83C6D"/>
          </w:tcPr>
          <w:p>
            <w:r>
              <w:rPr>
                <w:b/>
                <w:color w:val="FFFFFF"/>
                <w:sz w:val="19"/>
              </w:rPr>
              <w:t>Arquivo</w:t>
            </w:r>
          </w:p>
        </w:tc>
        <w:tc>
          <w:tcPr>
            <w:tcW w:type="dxa" w:w="5953"/>
            <w:shd w:fill="B83C6D"/>
          </w:tcPr>
          <w:p>
            <w:r>
              <w:rPr>
                <w:b/>
                <w:color w:val="FFFFFF"/>
                <w:sz w:val="19"/>
              </w:rPr>
              <w:t>Responsabilidade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database/engine.py</w:t>
            </w:r>
          </w:p>
        </w:tc>
        <w:tc>
          <w:tcPr>
            <w:tcW w:type="dxa" w:w="5953"/>
          </w:tcPr>
          <w:p>
            <w:r>
              <w:rPr>
                <w:sz w:val="19"/>
              </w:rPr>
              <w:t>Cria (uma única vez, via lru_cache) o Engine SQLAlchemy a partir de Settings.database_url.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database/session.py</w:t>
            </w:r>
          </w:p>
        </w:tc>
        <w:tc>
          <w:tcPr>
            <w:tcW w:type="dxa" w:w="5953"/>
          </w:tcPr>
          <w:p>
            <w:r>
              <w:rPr>
                <w:sz w:val="19"/>
              </w:rPr>
              <w:t>Fábrica de sessões SQLAlchemy.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database/unit_of_work.py</w:t>
            </w:r>
          </w:p>
        </w:tc>
        <w:tc>
          <w:tcPr>
            <w:tcW w:type="dxa" w:w="5953"/>
          </w:tcPr>
          <w:p>
            <w:r>
              <w:rPr>
                <w:sz w:val="19"/>
              </w:rPr>
              <w:t>Padrão Unit of Work: agrupa uma sessão + todos os repositórios em um único objeto (uow.products, uow.sources, uow.categories, ...).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database/healthcheck.py</w:t>
            </w:r>
          </w:p>
        </w:tc>
        <w:tc>
          <w:tcPr>
            <w:tcW w:type="dxa" w:w="5953"/>
          </w:tcPr>
          <w:p>
            <w:r>
              <w:rPr>
                <w:sz w:val="19"/>
              </w:rPr>
              <w:t>Executa um SELECT 1 para validar a conectividade (usado por database check).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models/*.py</w:t>
            </w:r>
          </w:p>
        </w:tc>
        <w:tc>
          <w:tcPr>
            <w:tcW w:type="dxa" w:w="5953"/>
          </w:tcPr>
          <w:p>
            <w:r>
              <w:rPr>
                <w:sz w:val="19"/>
              </w:rPr>
              <w:t>Um arquivo por tabela (product.py, category.py, source.py, product_source.py, product_history.py, product_score.py, publication_status.py, collection_run.py, collection_error.py, age_range.py) + base.py com TimestampMixin.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repositories/*.py</w:t>
            </w:r>
          </w:p>
        </w:tc>
        <w:tc>
          <w:tcPr>
            <w:tcW w:type="dxa" w:w="5953"/>
          </w:tcPr>
          <w:p>
            <w:r>
              <w:rPr>
                <w:sz w:val="19"/>
              </w:rPr>
              <w:t>Um repositório por agregado principal (product, source, category, age_range, history, score, collection_run, collection_error) — cada um recebe a Session e expõe métodos de consulta/gravação.</w:t>
            </w:r>
          </w:p>
        </w:tc>
      </w:tr>
    </w:tbl>
    <w:p/>
    <w:p>
      <w:pPr>
        <w:pStyle w:val="Heading2"/>
      </w:pPr>
      <w:r>
        <w:t>2.7 schemas/, enums/, exceptions/, configuration/, logging_config/, utils/</w:t>
      </w:r>
    </w:p>
    <w:p>
      <w:r>
        <w:t>Módulos de suporte usados em várias camadas.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18"/>
            <w:shd w:fill="B83C6D"/>
          </w:tcPr>
          <w:p>
            <w:r>
              <w:rPr>
                <w:b/>
                <w:color w:val="FFFFFF"/>
                <w:sz w:val="19"/>
              </w:rPr>
              <w:t>Arquivo</w:t>
            </w:r>
          </w:p>
        </w:tc>
        <w:tc>
          <w:tcPr>
            <w:tcW w:type="dxa" w:w="5953"/>
            <w:shd w:fill="B83C6D"/>
          </w:tcPr>
          <w:p>
            <w:r>
              <w:rPr>
                <w:b/>
                <w:color w:val="FFFFFF"/>
                <w:sz w:val="19"/>
              </w:rPr>
              <w:t>Responsabilidade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schemas/product.py</w:t>
            </w:r>
          </w:p>
        </w:tc>
        <w:tc>
          <w:tcPr>
            <w:tcW w:type="dxa" w:w="5953"/>
          </w:tcPr>
          <w:p>
            <w:r>
              <w:rPr>
                <w:sz w:val="19"/>
              </w:rPr>
              <w:t>CollectedProductSchema — valida um produto coletado antes de persistir (preço não-negativo, moeda ISO, rating 0–5, etc.).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schemas/collection.py</w:t>
            </w:r>
          </w:p>
        </w:tc>
        <w:tc>
          <w:tcPr>
            <w:tcW w:type="dxa" w:w="5953"/>
          </w:tcPr>
          <w:p>
            <w:r>
              <w:rPr>
                <w:sz w:val="19"/>
              </w:rPr>
              <w:t>CollectionSummary — resumo de uma execução de coleta retornado pela CLI.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schemas/export.py</w:t>
            </w:r>
          </w:p>
        </w:tc>
        <w:tc>
          <w:tcPr>
            <w:tcW w:type="dxa" w:w="5953"/>
          </w:tcPr>
          <w:p>
            <w:r>
              <w:rPr>
                <w:sz w:val="19"/>
              </w:rPr>
              <w:t>ExportRow — uma linha da planilha de exportação (inclui Link de afiliado).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schemas/scoring.py</w:t>
            </w:r>
          </w:p>
        </w:tc>
        <w:tc>
          <w:tcPr>
            <w:tcW w:type="dxa" w:w="5953"/>
          </w:tcPr>
          <w:p>
            <w:r>
              <w:rPr>
                <w:sz w:val="19"/>
              </w:rPr>
              <w:t>Schemas de resultado do cálculo de pontuação.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enums/*.py</w:t>
            </w:r>
          </w:p>
        </w:tc>
        <w:tc>
          <w:tcPr>
            <w:tcW w:type="dxa" w:w="5953"/>
          </w:tcPr>
          <w:p>
            <w:r>
              <w:rPr>
                <w:sz w:val="19"/>
              </w:rPr>
              <w:t>CollectionStatus, MatchType, ModerationStatus, RiskLevel, SourceType/Availability, TrendStatus — todos persistidos como string (native_enum=False).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exceptions/*.py</w:t>
            </w:r>
          </w:p>
        </w:tc>
        <w:tc>
          <w:tcPr>
            <w:tcW w:type="dxa" w:w="5953"/>
          </w:tcPr>
          <w:p>
            <w:r>
              <w:rPr>
                <w:sz w:val="19"/>
              </w:rPr>
              <w:t>Hierarquia própria: NinhoMimoTrendsError → ConfigurationError, ExportError, CollectorError (→ CollectorConfigurationError, SourceUnavailableError), DatabaseConnectionError, ProductValidationError.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configuration/settings.py</w:t>
            </w:r>
          </w:p>
        </w:tc>
        <w:tc>
          <w:tcPr>
            <w:tcW w:type="dxa" w:w="5953"/>
          </w:tcPr>
          <w:p>
            <w:r>
              <w:rPr>
                <w:sz w:val="19"/>
              </w:rPr>
              <w:t>Settings (pydantic-settings): credenciais/variáveis sensíveis do .env (banco, HTTP, Shopee).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configuration/json_loader.py</w:t>
            </w:r>
          </w:p>
        </w:tc>
        <w:tc>
          <w:tcPr>
            <w:tcW w:type="dxa" w:w="5953"/>
          </w:tcPr>
          <w:p>
            <w:r>
              <w:rPr>
                <w:sz w:val="19"/>
              </w:rPr>
              <w:t>Carrega configs/*.json (regras de negócio versionadas, não sensíveis: categorias, fontes, regras de pontuação).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logging_config/logger.py</w:t>
            </w:r>
          </w:p>
        </w:tc>
        <w:tc>
          <w:tcPr>
            <w:tcW w:type="dxa" w:w="5953"/>
          </w:tcPr>
          <w:p>
            <w:r>
              <w:rPr>
                <w:sz w:val="19"/>
              </w:rPr>
              <w:t>Configuração de logging estruturado (nível via .env ou --log-level).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utils/text.py, hashing.py, money.py, dates.py, retry.py</w:t>
            </w:r>
          </w:p>
        </w:tc>
        <w:tc>
          <w:tcPr>
            <w:tcW w:type="dxa" w:w="5953"/>
          </w:tcPr>
          <w:p>
            <w:r>
              <w:rPr>
                <w:sz w:val="19"/>
              </w:rPr>
              <w:t>Normalização de texto, hashing canônico/URL, Decimal monetário (nunca float), datas em UTC, retry com backoff exponencial.</w:t>
            </w:r>
          </w:p>
        </w:tc>
      </w:tr>
    </w:tbl>
    <w:p/>
    <w:p>
      <w:r>
        <w:br w:type="page"/>
      </w:r>
    </w:p>
    <w:p>
      <w:pPr>
        <w:pStyle w:val="Heading1"/>
      </w:pPr>
      <w:r>
        <w:t>3. Modelo de dados (PostgreSQL)</w:t>
      </w:r>
    </w:p>
    <w:p>
      <w:r>
        <w:t>Schema versionado via Alembic (migrations/), modelado com SQLAlchemy 2.0. Todas as tabelas usam o prefixo tb_. Enums de domínio são armazenados como VARCHAR (não como ENUM nativo do Postgres), para permitir novos valores sem uma migração ALTER TYPE. Valores monetários/percentuais usam sempre Numeric (nunca Float).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fill="B83C6D"/>
          </w:tcPr>
          <w:p>
            <w:r>
              <w:rPr>
                <w:b/>
                <w:color w:val="FFFFFF"/>
                <w:sz w:val="19"/>
              </w:rPr>
              <w:t>Tabela</w:t>
            </w:r>
          </w:p>
        </w:tc>
        <w:tc>
          <w:tcPr>
            <w:tcW w:type="dxa" w:w="6520"/>
            <w:shd w:fill="B83C6D"/>
          </w:tcPr>
          <w:p>
            <w:r>
              <w:rPr>
                <w:b/>
                <w:color w:val="FFFFFF"/>
                <w:sz w:val="19"/>
              </w:rPr>
              <w:t>Descrição resumida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tb_categories</w:t>
            </w:r>
          </w:p>
        </w:tc>
        <w:tc>
          <w:tcPr>
            <w:tcW w:type="dxa" w:w="6520"/>
          </w:tcPr>
          <w:p>
            <w:r>
              <w:rPr>
                <w:sz w:val="19"/>
              </w:rPr>
              <w:t>Categorias de produto, com hierarquia opcional (categoria pai/filha).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tb_age_ranges</w:t>
            </w:r>
          </w:p>
        </w:tc>
        <w:tc>
          <w:tcPr>
            <w:tcW w:type="dxa" w:w="6520"/>
          </w:tcPr>
          <w:p>
            <w:r>
              <w:rPr>
                <w:sz w:val="19"/>
              </w:rPr>
              <w:t>Faixas etárias (ou gestação) às quais um produto se destina.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tb_sources</w:t>
            </w:r>
          </w:p>
        </w:tc>
        <w:tc>
          <w:tcPr>
            <w:tcW w:type="dxa" w:w="6520"/>
          </w:tcPr>
          <w:p>
            <w:r>
              <w:rPr>
                <w:sz w:val="19"/>
              </w:rPr>
              <w:t>Fontes externas (API/feed/página) de onde produtos são coletados.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tb_products</w:t>
            </w:r>
          </w:p>
        </w:tc>
        <w:tc>
          <w:tcPr>
            <w:tcW w:type="dxa" w:w="6520"/>
          </w:tcPr>
          <w:p>
            <w:r>
              <w:rPr>
                <w:sz w:val="19"/>
              </w:rPr>
              <w:t>Produto canônico, já deduplicado entre fontes.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tb_product_sources</w:t>
            </w:r>
          </w:p>
        </w:tc>
        <w:tc>
          <w:tcPr>
            <w:tcW w:type="dxa" w:w="6520"/>
          </w:tcPr>
          <w:p>
            <w:r>
              <w:rPr>
                <w:sz w:val="19"/>
              </w:rPr>
              <w:t>Ocorrência de um produto canônico em uma fonte específica (preço, link, afiliado, etc.).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tb_product_history</w:t>
            </w:r>
          </w:p>
        </w:tc>
        <w:tc>
          <w:tcPr>
            <w:tcW w:type="dxa" w:w="6520"/>
          </w:tcPr>
          <w:p>
            <w:r>
              <w:rPr>
                <w:sz w:val="19"/>
              </w:rPr>
              <w:t>Snapshot pontual das métricas a cada coleta — base do Trend Score.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tb_product_scores</w:t>
            </w:r>
          </w:p>
        </w:tc>
        <w:tc>
          <w:tcPr>
            <w:tcW w:type="dxa" w:w="6520"/>
          </w:tcPr>
          <w:p>
            <w:r>
              <w:rPr>
                <w:sz w:val="19"/>
              </w:rPr>
              <w:t>Resultado do cálculo de pontuação em um momento (histórico preservado, nunca sobrescrito).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tb_publication_status</w:t>
            </w:r>
          </w:p>
        </w:tc>
        <w:tc>
          <w:tcPr>
            <w:tcW w:type="dxa" w:w="6520"/>
          </w:tcPr>
          <w:p>
            <w:r>
              <w:rPr>
                <w:sz w:val="19"/>
              </w:rPr>
              <w:t>Controle manual de aprovação/rejeição para divulgação.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tb_collection_runs</w:t>
            </w:r>
          </w:p>
        </w:tc>
        <w:tc>
          <w:tcPr>
            <w:tcW w:type="dxa" w:w="6520"/>
          </w:tcPr>
          <w:p>
            <w:r>
              <w:rPr>
                <w:sz w:val="19"/>
              </w:rPr>
              <w:t>Registro de uma execução de coleta (contadores, status, execution_id).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tb_collection_errors</w:t>
            </w:r>
          </w:p>
        </w:tc>
        <w:tc>
          <w:tcPr>
            <w:tcW w:type="dxa" w:w="6520"/>
          </w:tcPr>
          <w:p>
            <w:r>
              <w:rPr>
                <w:sz w:val="19"/>
              </w:rPr>
              <w:t>Erro individual ocorrido ao processar um item durante uma coleta.</w:t>
            </w:r>
          </w:p>
        </w:tc>
      </w:tr>
    </w:tbl>
    <w:p/>
    <w:p>
      <w:r>
        <w:t>Diagrama de relacionamento e detalhamento completo de colunas/tipos: ver docs/database.md no repositório.</w:t>
      </w:r>
    </w:p>
    <w:p>
      <w:pPr>
        <w:pStyle w:val="Heading2"/>
      </w:pPr>
      <w:r>
        <w:t>3.1 Migrações (Alembic)</w:t>
      </w:r>
    </w:p>
    <w:p>
      <w:pPr>
        <w:spacing w:before="80" w:after="160"/>
        <w:ind w:left="283"/>
      </w:pPr>
      <w:r>
        <w:rPr>
          <w:rFonts w:ascii="Consolas" w:hAnsi="Consolas"/>
          <w:color w:val="1A1A1A"/>
          <w:sz w:val="19"/>
        </w:rPr>
        <w:t>ninho-mimo-trends database check              # testa a conexao</w:t>
      </w:r>
      <w:r>
        <w:br/>
      </w:r>
      <w:r>
        <w:rPr>
          <w:rFonts w:ascii="Consolas" w:hAnsi="Consolas"/>
          <w:color w:val="1A1A1A"/>
          <w:sz w:val="19"/>
        </w:rPr>
        <w:t>ninho-mimo-trends database upgrade            # aplica ate a revisao 'head'</w:t>
      </w:r>
      <w:r>
        <w:br/>
      </w:r>
      <w:r>
        <w:rPr>
          <w:rFonts w:ascii="Consolas" w:hAnsi="Consolas"/>
          <w:color w:val="1A1A1A"/>
          <w:sz w:val="19"/>
        </w:rPr>
        <w:t>ninho-mimo-trends database upgrade --revision &lt;rev&gt;</w:t>
      </w:r>
      <w:r>
        <w:br/>
      </w:r>
      <w:r>
        <w:rPr>
          <w:rFonts w:ascii="Consolas" w:hAnsi="Consolas"/>
          <w:color w:val="1A1A1A"/>
          <w:sz w:val="19"/>
        </w:rPr>
        <w:t>ninho-mimo-trends database downgrade --revision &lt;rev&gt;   # --revision e obrigatorio</w:t>
      </w:r>
    </w:p>
    <w:p>
      <w:r>
        <w:t>A URL de conexão nunca fica hardcoded: alembic.ini traz apenas um placeholder; migrations/env.py monta a URL real em tempo de execução a partir de Settings.database_url (lido do .env).</w:t>
      </w:r>
    </w:p>
    <w:p>
      <w:pPr>
        <w:pStyle w:val="Heading2"/>
      </w:pPr>
      <w:r>
        <w:t>3.2 Banco de testes dedicado</w:t>
      </w:r>
    </w:p>
    <w:p>
      <w:r>
        <w:t>A suíte de testes usa um banco PostgreSQL separado (ninho_mimo_trends_test), nunca o de desenvolvimento/produção. O schema é criado/removido diretamente via Base.metadata.create_all()/drop_all() em tests/conftest.py (sem Alembic). Um fixture de segurança aborta toda a sessão de testes caso o nome do banco configurado não contenha "test" — proteção contra rodar a suíte (que trunca tabelas) contra um banco real por engano.</w:t>
      </w:r>
    </w:p>
    <w:p>
      <w:r>
        <w:br w:type="page"/>
      </w:r>
    </w:p>
    <w:p>
      <w:pPr>
        <w:pStyle w:val="Heading1"/>
      </w:pPr>
      <w:r>
        <w:t>4. Sistema de pontuação (scoring)</w:t>
      </w:r>
    </w:p>
    <w:p>
      <w:r>
        <w:t>Quatro pontuações, todas em Decimal, escala 0–100 (ou None quando não há dados suficientes). Pesos e limiares vêm de configs/scoring_rules.json — podem ser ajustados sem alterar código. Cada cálculo grava seus detalhes na coluna JSONB calculation_details, para auditoria.</w:t>
      </w:r>
    </w:p>
    <w:p>
      <w:pPr>
        <w:pStyle w:val="Heading2"/>
      </w:pPr>
      <w:r>
        <w:t>4.1 Trend Score</w:t>
      </w:r>
    </w:p>
    <w:p>
      <w:r>
        <w:t>Requer no mínimo 3 pontos de histórico; caso contrário, o valor é None e o status é SEM_HISTORICO_SUFICIENTE. Componentes: crescimento de vendas (30%), crescimento de avaliações (20%), melhora de ranking (20%), persistência da tendência (15%), diversidade de fontes (10%), recência (5%). Inclui amortecimento de amostra pequena, para não inflar percentuais calculados sobre valores absolutos baixos (ex.: 1→3 vendas).</w:t>
      </w:r>
    </w:p>
    <w:p>
      <w:pPr>
        <w:pStyle w:val="Heading2"/>
      </w:pPr>
      <w:r>
        <w:t>4.2 Social Score</w:t>
      </w:r>
    </w:p>
    <w:p>
      <w:r>
        <w:t>Mede potencial de conteúdo (facilidade de viralizar em vídeo curto). Base de 50 pontos + bônus por categoria (ex.: criancas-brinquedos +15) + bônus por palavra-chave no nome/descrição (ex.: "montessori" +10, "sensorial" +8).</w:t>
      </w:r>
    </w:p>
    <w:p>
      <w:pPr>
        <w:pStyle w:val="Heading2"/>
      </w:pPr>
      <w:r>
        <w:t>4.3 Risk Score</w:t>
      </w:r>
    </w:p>
    <w:p>
      <w:r>
        <w:t>Mede risco de segurança/regulatório (quanto maior, mais arriscado). Usa o maior valor entre palavras-chave de risco encontradas (ex.: "medicamento" 90, "peça pequena" 60) + risco por categoria + penalidade por faixa etária ausente (+20). Classificado em LOW (&lt;30) / MEDIUM (30–54) / HIGH (55–74) / CRITICAL (≥75).</w:t>
      </w:r>
    </w:p>
    <w:p>
      <w:pPr>
        <w:pStyle w:val="Heading2"/>
      </w:pPr>
      <w:r>
        <w:t>4.4 Opportunity Score</w:t>
      </w:r>
    </w:p>
    <w:p>
      <w:r>
        <w:t>Combina os três scores anteriores com preço e disponibilidade: Trend (35%), Social (25%), qualidade das avaliações (15%), diversidade de fontes (10%), faixa de preço ideal R$25–R$250 (10%), disponibilidade (5%) — com penalidade final por nível de risco (de 0 a -70 pontos). É o campo usado para ordenar o ranking (products rank / products export).</w:t>
      </w:r>
    </w:p>
    <w:p>
      <w:r>
        <w:br w:type="page"/>
      </w:r>
    </w:p>
    <w:p>
      <w:pPr>
        <w:pStyle w:val="Heading1"/>
      </w:pPr>
      <w:r>
        <w:t>5. CLI — comandos, parsers e exit codes</w:t>
      </w:r>
    </w:p>
    <w:p>
      <w:r>
        <w:t>Ponto de entrada instalado: ninho-mimo-trends (via [project.scripts] no pyproject.toml). Também é possível rodar via python -m ninho_mimo_trends. Toda a árvore de comandos é construída em cli/parser.py com argparse.</w:t>
      </w:r>
    </w:p>
    <w:p>
      <w:pPr>
        <w:spacing w:before="80" w:after="160"/>
        <w:ind w:left="283"/>
      </w:pPr>
      <w:r>
        <w:rPr>
          <w:rFonts w:ascii="Consolas" w:hAnsi="Consolas"/>
          <w:color w:val="1A1A1A"/>
          <w:sz w:val="19"/>
        </w:rPr>
        <w:t>ninho-mimo-trends --help</w:t>
      </w:r>
      <w:r>
        <w:br/>
      </w:r>
      <w:r>
        <w:rPr>
          <w:rFonts w:ascii="Consolas" w:hAnsi="Consolas"/>
          <w:color w:val="1A1A1A"/>
          <w:sz w:val="19"/>
        </w:rPr>
        <w:t>ninho-mimo-trends &lt;comando&gt; --help</w:t>
      </w:r>
      <w:r>
        <w:br/>
      </w:r>
      <w:r>
        <w:rPr>
          <w:rFonts w:ascii="Consolas" w:hAnsi="Consolas"/>
          <w:color w:val="1A1A1A"/>
          <w:sz w:val="19"/>
        </w:rPr>
        <w:t>ninho-mimo-trends --log-level DEBUG &lt;comando&gt;   # flag global, antes do subcomando</w:t>
      </w:r>
    </w:p>
    <w:p>
      <w:pPr>
        <w:pStyle w:val="Heading2"/>
      </w:pPr>
      <w:r>
        <w:t>5.1 database — gerenciamento de schema</w:t>
      </w:r>
    </w:p>
    <w:p>
      <w:pPr>
        <w:spacing w:before="80" w:after="160"/>
        <w:ind w:left="283"/>
      </w:pPr>
      <w:r>
        <w:rPr>
          <w:rFonts w:ascii="Consolas" w:hAnsi="Consolas"/>
          <w:color w:val="1A1A1A"/>
          <w:sz w:val="19"/>
        </w:rPr>
        <w:t>ninho-mimo-trends database check</w:t>
      </w:r>
      <w:r>
        <w:br/>
      </w:r>
      <w:r>
        <w:rPr>
          <w:rFonts w:ascii="Consolas" w:hAnsi="Consolas"/>
          <w:color w:val="1A1A1A"/>
          <w:sz w:val="19"/>
        </w:rPr>
        <w:t>ninho-mimo-trends database upgrade [--revision head]</w:t>
      </w:r>
      <w:r>
        <w:br/>
      </w:r>
      <w:r>
        <w:rPr>
          <w:rFonts w:ascii="Consolas" w:hAnsi="Consolas"/>
          <w:color w:val="1A1A1A"/>
          <w:sz w:val="19"/>
        </w:rPr>
        <w:t>ninho-mimo-trends database downgrade --revision &lt;rev&gt;</w:t>
      </w:r>
    </w:p>
    <w:p>
      <w:pPr>
        <w:pStyle w:val="Heading2"/>
      </w:pPr>
      <w:r>
        <w:t>5.2 seed — dados de referência</w:t>
      </w:r>
    </w:p>
    <w:p>
      <w:r>
        <w:t>Popula tb_categories, tb_age_ranges e tb_sources a partir de configs/categories.json e configs/sources.json. Idempotente (usa get_or_create em cada repositório).</w:t>
      </w:r>
    </w:p>
    <w:p>
      <w:pPr>
        <w:spacing w:before="80" w:after="160"/>
        <w:ind w:left="283"/>
      </w:pPr>
      <w:r>
        <w:rPr>
          <w:rFonts w:ascii="Consolas" w:hAnsi="Consolas"/>
          <w:color w:val="1A1A1A"/>
          <w:sz w:val="19"/>
        </w:rPr>
        <w:t>ninho-mimo-trends seed</w:t>
      </w:r>
    </w:p>
    <w:p>
      <w:pPr>
        <w:pStyle w:val="Heading2"/>
      </w:pPr>
      <w:r>
        <w:t>5.3 collect — executar uma coleta</w:t>
      </w:r>
    </w:p>
    <w:p>
      <w:pPr>
        <w:spacing w:before="80" w:after="160"/>
        <w:ind w:left="283"/>
      </w:pPr>
      <w:r>
        <w:rPr>
          <w:rFonts w:ascii="Consolas" w:hAnsi="Consolas"/>
          <w:color w:val="1A1A1A"/>
          <w:sz w:val="19"/>
        </w:rPr>
        <w:t>ninho-mimo-trends collect --source mock</w:t>
      </w:r>
      <w:r>
        <w:br/>
      </w:r>
      <w:r>
        <w:rPr>
          <w:rFonts w:ascii="Consolas" w:hAnsi="Consolas"/>
          <w:color w:val="1A1A1A"/>
          <w:sz w:val="19"/>
        </w:rPr>
        <w:t>ninho-mimo-trends collect --source shopee_affiliate --category criancas-brinquedos --limit 20</w:t>
      </w:r>
      <w:r>
        <w:br/>
      </w:r>
      <w:r>
        <w:rPr>
          <w:rFonts w:ascii="Consolas" w:hAnsi="Consolas"/>
          <w:color w:val="1A1A1A"/>
          <w:sz w:val="19"/>
        </w:rPr>
        <w:t>ninho-mimo-trends collect --source mock --dry-run</w:t>
      </w:r>
      <w:r>
        <w:br/>
      </w:r>
      <w:r>
        <w:rPr>
          <w:rFonts w:ascii="Consolas" w:hAnsi="Consolas"/>
          <w:color w:val="1A1A1A"/>
          <w:sz w:val="19"/>
        </w:rPr>
        <w:t>ninho-mimo-trends collect --source mock --execution-id &lt;uuid&gt;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fill="B83C6D"/>
          </w:tcPr>
          <w:p>
            <w:r>
              <w:rPr>
                <w:b/>
                <w:color w:val="FFFFFF"/>
                <w:sz w:val="19"/>
              </w:rPr>
              <w:t>Flag</w:t>
            </w:r>
          </w:p>
        </w:tc>
        <w:tc>
          <w:tcPr>
            <w:tcW w:type="dxa" w:w="1701"/>
            <w:shd w:fill="B83C6D"/>
          </w:tcPr>
          <w:p>
            <w:r>
              <w:rPr>
                <w:b/>
                <w:color w:val="FFFFFF"/>
                <w:sz w:val="19"/>
              </w:rPr>
              <w:t>Obrigatório</w:t>
            </w:r>
          </w:p>
        </w:tc>
        <w:tc>
          <w:tcPr>
            <w:tcW w:type="dxa" w:w="5386"/>
            <w:shd w:fill="B83C6D"/>
          </w:tcPr>
          <w:p>
            <w:r>
              <w:rPr>
                <w:b/>
                <w:color w:val="FFFFFF"/>
                <w:sz w:val="19"/>
              </w:rPr>
              <w:t>Descrição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--source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sim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Código da fonte cadastrada em tb_sources (ex.: mock, shopee_affiliate).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--category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depende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Slug de categoria. Obrigatório para shopee_affiliate (usado como termo de busca).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--limit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não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Limite de itens a coletar.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--dry-run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não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Valida/normaliza tudo, mas reverte a transação (nada é gravado).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--execution-id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não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UUID customizado para identificar a execução em tb_collection_runs.</w:t>
            </w:r>
          </w:p>
        </w:tc>
      </w:tr>
    </w:tbl>
    <w:p/>
    <w:p>
      <w:pPr>
        <w:pStyle w:val="Heading2"/>
      </w:pPr>
      <w:r>
        <w:t>5.4 products — consulta e moderação</w:t>
      </w:r>
    </w:p>
    <w:p>
      <w:pPr>
        <w:spacing w:before="80" w:after="160"/>
        <w:ind w:left="283"/>
      </w:pPr>
      <w:r>
        <w:rPr>
          <w:rFonts w:ascii="Consolas" w:hAnsi="Consolas"/>
          <w:color w:val="1A1A1A"/>
          <w:sz w:val="19"/>
        </w:rPr>
        <w:t>ninho-mimo-trends products list [--category ...] [--status PENDING] [--order-by opportunity_score] [--limit 20]</w:t>
      </w:r>
      <w:r>
        <w:br/>
      </w:r>
      <w:r>
        <w:rPr>
          <w:rFonts w:ascii="Consolas" w:hAnsi="Consolas"/>
          <w:color w:val="1A1A1A"/>
          <w:sz w:val="19"/>
        </w:rPr>
        <w:t>ninho-mimo-trends products show &lt;id&gt;</w:t>
      </w:r>
      <w:r>
        <w:br/>
      </w:r>
      <w:r>
        <w:rPr>
          <w:rFonts w:ascii="Consolas" w:hAnsi="Consolas"/>
          <w:color w:val="1A1A1A"/>
          <w:sz w:val="19"/>
        </w:rPr>
        <w:t>ninho-mimo-trends products rank [--category ...] [--limit 5]</w:t>
      </w:r>
      <w:r>
        <w:br/>
      </w:r>
      <w:r>
        <w:rPr>
          <w:rFonts w:ascii="Consolas" w:hAnsi="Consolas"/>
          <w:color w:val="1A1A1A"/>
          <w:sz w:val="19"/>
        </w:rPr>
        <w:t>ninho-mimo-trends products approve &lt;id&gt; [--notes "..."]</w:t>
      </w:r>
      <w:r>
        <w:br/>
      </w:r>
      <w:r>
        <w:rPr>
          <w:rFonts w:ascii="Consolas" w:hAnsi="Consolas"/>
          <w:color w:val="1A1A1A"/>
          <w:sz w:val="19"/>
        </w:rPr>
        <w:t>ninho-mimo-trends products reject &lt;id&gt; [--notes "..."]</w:t>
      </w:r>
      <w:r>
        <w:br/>
      </w:r>
      <w:r>
        <w:rPr>
          <w:rFonts w:ascii="Consolas" w:hAnsi="Consolas"/>
          <w:color w:val="1A1A1A"/>
          <w:sz w:val="19"/>
        </w:rPr>
        <w:t>ninho-mimo-trends products export --format {csv,xlsx} [--output caminho] [--category ...] [--min-opportunity N] [--max-risk N] [--limit 100]</w:t>
      </w:r>
    </w:p>
    <w:p>
      <w:r>
        <w:t>products approve/reject grava/atualiza tb_publication_status e sincroniza tb_products.moderation_status. Produtos com risco HIGH/CRITICAL PODEM ser aprovados manualmente (não são bloqueados) — apenas um aviso é registrado no log, reforçando a necessidade de revisão humana.</w:t>
      </w:r>
    </w:p>
    <w:p>
      <w:pPr>
        <w:pStyle w:val="Heading2"/>
      </w:pPr>
      <w:r>
        <w:t>5.5 Exit codes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  <w:shd w:fill="B83C6D"/>
          </w:tcPr>
          <w:p>
            <w:r>
              <w:rPr>
                <w:b/>
                <w:color w:val="FFFFFF"/>
                <w:sz w:val="19"/>
              </w:rPr>
              <w:t>Código</w:t>
            </w:r>
          </w:p>
        </w:tc>
        <w:tc>
          <w:tcPr>
            <w:tcW w:type="dxa" w:w="2835"/>
            <w:shd w:fill="B83C6D"/>
          </w:tcPr>
          <w:p>
            <w:r>
              <w:rPr>
                <w:b/>
                <w:color w:val="FFFFFF"/>
                <w:sz w:val="19"/>
              </w:rPr>
              <w:t>Constante</w:t>
            </w:r>
          </w:p>
        </w:tc>
        <w:tc>
          <w:tcPr>
            <w:tcW w:type="dxa" w:w="4819"/>
            <w:shd w:fill="B83C6D"/>
          </w:tcPr>
          <w:p>
            <w:r>
              <w:rPr>
                <w:b/>
                <w:color w:val="FFFFFF"/>
                <w:sz w:val="19"/>
              </w:rPr>
              <w:t>Quando ocorre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SUCCESS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Execução concluída sem erros.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UNEXPECTED_ERROR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Qualquer exceção não mapeada.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ARGUMENT_ERROR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ProductValidationError (ex.: products show 9999).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CONFIGURATION_ERROR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Configuração inválida ou ausente.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DATABASE_ERROR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Falha de conexão com o PostgreSQL.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COLLECTION_ERROR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Falha na coleta (fonte inexistente/desativada).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EXPORT_ERROR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Falha na exportação (ex.: formato inválido).</w:t>
            </w:r>
          </w:p>
        </w:tc>
      </w:tr>
    </w:tbl>
    <w:p/>
    <w:p>
      <w:r>
        <w:br w:type="page"/>
      </w:r>
    </w:p>
    <w:p>
      <w:pPr>
        <w:pStyle w:val="Heading1"/>
      </w:pPr>
      <w:r>
        <w:t>6. Como executar o projeto do zero</w:t>
      </w:r>
    </w:p>
    <w:p>
      <w:r>
        <w:t>Pré-requisitos: Python 3.12+, PostgreSQL local (ou acessível) em execução.</w:t>
      </w:r>
    </w:p>
    <w:p>
      <w:pPr>
        <w:pStyle w:val="Heading2"/>
      </w:pPr>
      <w:r>
        <w:t>6.1 Ambiente virtual e dependências</w:t>
      </w:r>
    </w:p>
    <w:p>
      <w:pPr>
        <w:spacing w:before="80" w:after="160"/>
        <w:ind w:left="283"/>
      </w:pPr>
      <w:r>
        <w:rPr>
          <w:rFonts w:ascii="Consolas" w:hAnsi="Consolas"/>
          <w:color w:val="1A1A1A"/>
          <w:sz w:val="19"/>
        </w:rPr>
        <w:t>python -m venv .venv</w:t>
      </w:r>
      <w:r>
        <w:br/>
      </w:r>
      <w:r>
        <w:rPr>
          <w:rFonts w:ascii="Consolas" w:hAnsi="Consolas"/>
          <w:color w:val="1A1A1A"/>
          <w:sz w:val="19"/>
        </w:rPr>
        <w:t>.\.venv\Scripts\python.exe -m pip install -e ".[dev]"   # instala app + ferramentas de dev/teste</w:t>
      </w:r>
    </w:p>
    <w:p>
      <w:pPr>
        <w:pStyle w:val="Heading2"/>
      </w:pPr>
      <w:r>
        <w:t>6.2 Configuração (.env)</w:t>
      </w:r>
    </w:p>
    <w:p>
      <w:r>
        <w:t>Copiar .env.example para .env e ajustar as credenciais do PostgreSQL (DB_HOST, DB_PORT, DB_NAME, DB_USER, DB_PASSWORD) e, se for usar o coletor Shopee, SHOPEE_AFFILIATE_APP_ID / SHOPEE_AFFILIATE_SECRET. O arquivo .env nunca deve ser commitado (já está no .gitignore).</w:t>
      </w:r>
    </w:p>
    <w:p>
      <w:pPr>
        <w:pStyle w:val="Heading2"/>
      </w:pPr>
      <w:r>
        <w:t>6.3 Criar o(s) banco(s) de dados</w:t>
      </w:r>
    </w:p>
    <w:p>
      <w:r>
        <w:t>O PostgreSQL precisa que o banco já exista antes das migrações (o Alembic cria as tabelas, não o banco em si). São necessários DOIS bancos: o de desenvolvimento e o dedicado a testes.</w:t>
      </w:r>
    </w:p>
    <w:p>
      <w:pPr>
        <w:spacing w:before="80" w:after="160"/>
        <w:ind w:left="283"/>
      </w:pPr>
      <w:r>
        <w:rPr>
          <w:rFonts w:ascii="Consolas" w:hAnsi="Consolas"/>
          <w:color w:val="1A1A1A"/>
          <w:sz w:val="19"/>
        </w:rPr>
        <w:t>psql -U postgres -h localhost -c "CREATE DATABASE ninho_mimo_trends;"</w:t>
      </w:r>
      <w:r>
        <w:br/>
      </w:r>
      <w:r>
        <w:rPr>
          <w:rFonts w:ascii="Consolas" w:hAnsi="Consolas"/>
          <w:color w:val="1A1A1A"/>
          <w:sz w:val="19"/>
        </w:rPr>
        <w:t>psql -U postgres -h localhost -c "CREATE DATABASE ninho_mimo_trends_test;"   # obrigatorio para os testes</w:t>
      </w:r>
    </w:p>
    <w:p>
      <w:pPr>
        <w:pStyle w:val="Heading2"/>
      </w:pPr>
      <w:r>
        <w:t>6.4 Aplicar as migrações e popular dados de referência</w:t>
      </w:r>
    </w:p>
    <w:p>
      <w:pPr>
        <w:spacing w:before="80" w:after="160"/>
        <w:ind w:left="283"/>
      </w:pPr>
      <w:r>
        <w:rPr>
          <w:rFonts w:ascii="Consolas" w:hAnsi="Consolas"/>
          <w:color w:val="1A1A1A"/>
          <w:sz w:val="19"/>
        </w:rPr>
        <w:t>.\.venv\Scripts\python.exe -m alembic upgrade head</w:t>
      </w:r>
      <w:r>
        <w:br/>
      </w:r>
      <w:r>
        <w:rPr>
          <w:rFonts w:ascii="Consolas" w:hAnsi="Consolas"/>
          <w:color w:val="1A1A1A"/>
          <w:sz w:val="19"/>
        </w:rPr>
        <w:t>.\.venv\Scripts\python.exe -m ninho_mimo_trends seed</w:t>
      </w:r>
    </w:p>
    <w:p>
      <w:pPr>
        <w:pStyle w:val="Heading2"/>
      </w:pPr>
      <w:r>
        <w:t>6.5 Coletar produtos e explorar o ranking</w:t>
      </w:r>
    </w:p>
    <w:p>
      <w:pPr>
        <w:spacing w:before="80" w:after="160"/>
        <w:ind w:left="283"/>
      </w:pPr>
      <w:r>
        <w:rPr>
          <w:rFonts w:ascii="Consolas" w:hAnsi="Consolas"/>
          <w:color w:val="1A1A1A"/>
          <w:sz w:val="19"/>
        </w:rPr>
        <w:t>.\.venv\Scripts\python.exe -m ninho_mimo_trends collect --source mock</w:t>
      </w:r>
      <w:r>
        <w:br/>
      </w:r>
      <w:r>
        <w:rPr>
          <w:rFonts w:ascii="Consolas" w:hAnsi="Consolas"/>
          <w:color w:val="1A1A1A"/>
          <w:sz w:val="19"/>
        </w:rPr>
        <w:t>.\.venv\Scripts\python.exe -m ninho_mimo_trends products rank --limit 10</w:t>
      </w:r>
      <w:r>
        <w:br/>
      </w:r>
      <w:r>
        <w:rPr>
          <w:rFonts w:ascii="Consolas" w:hAnsi="Consolas"/>
          <w:color w:val="1A1A1A"/>
          <w:sz w:val="19"/>
        </w:rPr>
        <w:t>.\.venv\Scripts\python.exe -m ninho_mimo_trends products export --format xlsx</w:t>
      </w:r>
    </w:p>
    <w:p>
      <w:r>
        <w:br w:type="page"/>
      </w:r>
    </w:p>
    <w:p>
      <w:pPr>
        <w:pStyle w:val="Heading1"/>
      </w:pPr>
      <w:r>
        <w:t>7. Testes automatizados</w:t>
      </w:r>
    </w:p>
    <w:p>
      <w:r>
        <w:t>Organizados em tests/unit/ (funções puras: scoring, deduplicação, hashing, normalização de texto, schemas, safety_service — sem banco de dados) e tests/integration/ (CLI, coleta, repositórios, exportação, seed, moderação — com banco PostgreSQL de teste real).</w:t>
      </w:r>
    </w:p>
    <w:p>
      <w:pPr>
        <w:spacing w:before="80" w:after="160"/>
        <w:ind w:left="283"/>
      </w:pPr>
      <w:r>
        <w:rPr>
          <w:rFonts w:ascii="Consolas" w:hAnsi="Consolas"/>
          <w:color w:val="1A1A1A"/>
          <w:sz w:val="19"/>
        </w:rPr>
        <w:t>.\.venv\Scripts\python.exe -m pytest -q</w:t>
      </w:r>
      <w:r>
        <w:br/>
      </w:r>
      <w:r>
        <w:rPr>
          <w:rFonts w:ascii="Consolas" w:hAnsi="Consolas"/>
          <w:color w:val="1A1A1A"/>
          <w:sz w:val="19"/>
        </w:rPr>
        <w:t>.\.venv\Scripts\python.exe -m pytest --cov=src --cov-report=term-missing</w:t>
      </w:r>
    </w:p>
    <w:p>
      <w:r>
        <w:t>tests/conftest.py força DB_NAME=ninho_mimo_trends_test antes de qualquer import de configuração, cria o schema uma vez por sessão (Base.metadata.create_all) e limpa (TRUNCATE ... RESTART IDENTITY CASCADE) todas as tabelas antes de cada teste, garantindo isolamento total entre casos de teste. Um fixture de segurança recusa rodar caso o nome do banco não contenha "test" ou caso APP_ENV=PROD.</w:t>
      </w:r>
    </w:p>
    <w:p>
      <w:r>
        <w:t>Estado atual: 81 testes, 100% aprovados (0 falhas, 0 erros).</w:t>
      </w:r>
    </w:p>
    <w:p>
      <w:r>
        <w:br w:type="page"/>
      </w:r>
    </w:p>
    <w:p>
      <w:pPr>
        <w:pStyle w:val="Heading1"/>
      </w:pPr>
      <w:r>
        <w:t>8. Coletor Shopee Affiliate Open API</w:t>
      </w:r>
    </w:p>
    <w:p>
      <w:r>
        <w:t>Único coletor real conectado a uma fonte externa (além do mock). Usa a API oficial de afiliados da Shopee (GraphQL) — não é scraping nem automação de navegador, e exige uma conta de afiliado ativa.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B83C6D"/>
          </w:tcPr>
          <w:p>
            <w:r>
              <w:rPr>
                <w:b/>
                <w:color w:val="FFFFFF"/>
                <w:sz w:val="19"/>
              </w:rPr>
              <w:t>Aspecto</w:t>
            </w:r>
          </w:p>
        </w:tc>
        <w:tc>
          <w:tcPr>
            <w:tcW w:type="dxa" w:w="7087"/>
            <w:shd w:fill="B83C6D"/>
          </w:tcPr>
          <w:p>
            <w:r>
              <w:rPr>
                <w:b/>
                <w:color w:val="FFFFFF"/>
                <w:sz w:val="19"/>
              </w:rPr>
              <w:t>Detalhe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Endpoint</w:t>
            </w:r>
          </w:p>
        </w:tc>
        <w:tc>
          <w:tcPr>
            <w:tcW w:type="dxa" w:w="7087"/>
          </w:tcPr>
          <w:p>
            <w:r>
              <w:rPr>
                <w:sz w:val="19"/>
              </w:rPr>
              <w:t>POST https://open-api.affiliate.shopee.com.br/graphql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Autenticação</w:t>
            </w:r>
          </w:p>
        </w:tc>
        <w:tc>
          <w:tcPr>
            <w:tcW w:type="dxa" w:w="7087"/>
          </w:tcPr>
          <w:p>
            <w:r>
              <w:rPr>
                <w:sz w:val="19"/>
              </w:rPr>
              <w:t>Cabeçalho Authorization: SHA256 Credential={app_id}, Timestamp={ts}, Signature={sig}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Assinatura</w:t>
            </w:r>
          </w:p>
        </w:tc>
        <w:tc>
          <w:tcPr>
            <w:tcW w:type="dxa" w:w="7087"/>
          </w:tcPr>
          <w:p>
            <w:r>
              <w:rPr>
                <w:sz w:val="19"/>
              </w:rPr>
              <w:t>sig = sha256(f"{app_id}{ts}{payload_json}{secret}").hexdigest()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Credenciais</w:t>
            </w:r>
          </w:p>
        </w:tc>
        <w:tc>
          <w:tcPr>
            <w:tcW w:type="dxa" w:w="7087"/>
          </w:tcPr>
          <w:p>
            <w:r>
              <w:rPr>
                <w:sz w:val="19"/>
              </w:rPr>
              <w:t>SHOPEE_AFFILIATE_APP_ID / SHOPEE_AFFILIATE_SECRET no .env (nunca no código)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Query usada</w:t>
            </w:r>
          </w:p>
        </w:tc>
        <w:tc>
          <w:tcPr>
            <w:tcW w:type="dxa" w:w="7087"/>
          </w:tcPr>
          <w:p>
            <w:r>
              <w:rPr>
                <w:sz w:val="19"/>
              </w:rPr>
              <w:t>productOfferV2(keyword, page, limit) — paginado, 20 itens/página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Categoria</w:t>
            </w:r>
          </w:p>
        </w:tc>
        <w:tc>
          <w:tcPr>
            <w:tcW w:type="dxa" w:w="7087"/>
          </w:tcPr>
          <w:p>
            <w:r>
              <w:rPr>
                <w:sz w:val="19"/>
              </w:rPr>
              <w:t>--category é obrigatório: o slug interno vira o termo de busca (keyword) na Shopee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Link de afiliado</w:t>
            </w:r>
          </w:p>
        </w:tc>
        <w:tc>
          <w:tcPr>
            <w:tcW w:type="dxa" w:w="7087"/>
          </w:tcPr>
          <w:p>
            <w:r>
              <w:rPr>
                <w:sz w:val="19"/>
              </w:rPr>
              <w:t>Campo offerLink é persistido em tb_product_sources.affiliate_url e exibido em products show / export</w:t>
            </w:r>
          </w:p>
        </w:tc>
      </w:tr>
    </w:tbl>
    <w:p/>
    <w:p>
      <w:pPr>
        <w:spacing w:before="80" w:after="160"/>
        <w:ind w:left="283"/>
      </w:pPr>
      <w:r>
        <w:rPr>
          <w:rFonts w:ascii="Consolas" w:hAnsi="Consolas"/>
          <w:color w:val="1A1A1A"/>
          <w:sz w:val="19"/>
        </w:rPr>
        <w:t>ninho-mimo-trends collect --source shopee_affiliate --category criancas-brinquedos --limit 20</w:t>
      </w:r>
    </w:p>
    <w:p>
      <w:r>
        <w:t>Limitação conhecida: a API da Shopee não usa a taxonomia de categorias deste projeto — a busca é sempre por palavra-chave livre, e a qualidade dos resultados depende do termo de busca gerado a partir do nome da categoria.</w:t>
      </w:r>
    </w:p>
    <w:p>
      <w:r>
        <w:br w:type="page"/>
      </w:r>
    </w:p>
    <w:p>
      <w:pPr>
        <w:pStyle w:val="Heading1"/>
      </w:pPr>
      <w:r>
        <w:t>9. Roadmap e limitações conhecidas</w:t>
      </w:r>
    </w:p>
    <w:p>
      <w:r>
        <w:t>Fora de escopo deste MVP, propositalmente: framework web, autenticação, automação de postagem em redes sociais, Docker/Redis/Celery, Selenium/Playwright, bypass de proteções anti-bot.</w:t>
      </w:r>
    </w:p>
    <w:p>
      <w:pPr>
        <w:pStyle w:val="ListBullet"/>
      </w:pPr>
      <w:r>
        <w:t>Fase 1 — Conectar mais fontes reais (ex.: Mercado Livre, mediante app OAuth próprio).</w:t>
      </w:r>
    </w:p>
    <w:p>
      <w:pPr>
        <w:pStyle w:val="ListBullet"/>
      </w:pPr>
      <w:r>
        <w:t>Fase 2 — Tabela dedicada para revisão de POSSIBLE_MATCH (hoje só gera log de aviso).</w:t>
      </w:r>
    </w:p>
    <w:p>
      <w:pPr>
        <w:pStyle w:val="ListBullet"/>
      </w:pPr>
      <w:r>
        <w:t>Fase 3 — Conectar safety_service (já implementado e testado) ao pipeline de coleta.</w:t>
      </w:r>
    </w:p>
    <w:p>
      <w:pPr>
        <w:pStyle w:val="ListBullet"/>
      </w:pPr>
      <w:r>
        <w:t>Fase 4 — Notificações e agendamento periódico de coletas.</w:t>
      </w:r>
    </w:p>
    <w:p>
      <w:pPr>
        <w:pStyle w:val="ListBullet"/>
      </w:pPr>
      <w:r>
        <w:t>Fase 5 — Interface web somente leitura para visualizar o ranking.</w:t>
      </w:r>
    </w:p>
    <w:p>
      <w:pPr>
        <w:pStyle w:val="ListBullet"/>
      </w:pPr>
      <w:r>
        <w:t>Fase 6 — Múltiplas fontes simultâneas com concorrência controlada.</w:t>
      </w:r>
    </w:p>
    <w:p>
      <w:pPr>
        <w:pStyle w:val="ListBullet"/>
      </w:pPr>
      <w:r>
        <w:t>Fase 7 — Enriquecimento de conteúdo (sugestões de legenda/roteiro).</w:t>
      </w:r>
    </w:p>
    <w:p>
      <w:pPr>
        <w:pStyle w:val="ListBullet"/>
      </w:pPr>
      <w:r>
        <w:t>Fase 8 — Observabilidade (métricas de execução, alertas de fonte instável).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B83C6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2E4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E2E4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