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b/>
          <w:color w:val="0A1F44"/>
          <w:sz w:val="84"/>
        </w:rPr>
        <w:t>ZappIQ</w:t>
      </w:r>
    </w:p>
    <w:p>
      <w:pPr>
        <w:spacing w:before="120" w:after="60"/>
      </w:pPr>
      <w:r>
        <w:rPr>
          <w:b/>
          <w:i w:val="0"/>
          <w:color w:val="008C8C"/>
          <w:sz w:val="44"/>
        </w:rPr>
        <w:t>Modelo Comercial 2026</w:t>
      </w:r>
    </w:p>
    <w:p>
      <w:pPr>
        <w:spacing w:before="0" w:after="1200"/>
      </w:pPr>
      <w:r>
        <w:rPr>
          <w:b w:val="0"/>
          <w:i/>
          <w:color w:val="555C66"/>
          <w:sz w:val="26"/>
        </w:rPr>
        <w:t>Pricing, planos, margens e posicionamento competitivo</w:t>
      </w:r>
    </w:p>
    <w:p>
      <w:pPr>
        <w:pBdr>
          <w:bottom w:val="single" w:sz="8" w:space="1" w:color="0A1F44"/>
        </w:pBdr>
      </w:pPr>
    </w:p>
    <w:p>
      <w:pPr>
        <w:spacing w:before="200" w:after="80"/>
      </w:pPr>
      <w:r>
        <w:rPr>
          <w:b/>
          <w:i w:val="0"/>
          <w:color w:val="0A1F44"/>
          <w:sz w:val="28"/>
        </w:rPr>
        <w:t>Plataforma Conversacional Corporativa com IA</w:t>
      </w:r>
    </w:p>
    <w:p>
      <w:pPr>
        <w:spacing w:before="0" w:after="400"/>
      </w:pPr>
      <w:r>
        <w:rPr>
          <w:b w:val="0"/>
          <w:i/>
          <w:color w:val="555C66"/>
          <w:sz w:val="20"/>
        </w:rPr>
        <w:t>Documento estratégico — uso interno e discussão com investidores/sócios.</w:t>
      </w:r>
    </w:p>
    <w:p>
      <w:pPr>
        <w:spacing w:before="0" w:after="40"/>
      </w:pPr>
      <w:r>
        <w:rPr>
          <w:b w:val="0"/>
          <w:i w:val="0"/>
          <w:color w:val="555C66"/>
          <w:sz w:val="22"/>
        </w:rPr>
        <w:t>Autor: Rodrigo Ghetti — Founder</w:t>
      </w:r>
    </w:p>
    <w:p>
      <w:pPr>
        <w:spacing w:before="0" w:after="40"/>
      </w:pPr>
      <w:r>
        <w:rPr>
          <w:b w:val="0"/>
          <w:i w:val="0"/>
          <w:color w:val="555C66"/>
          <w:sz w:val="22"/>
        </w:rPr>
        <w:t>Data: Abril de 2026 · Versão 1.0</w:t>
      </w:r>
    </w:p>
    <w:p>
      <w:pPr>
        <w:spacing w:before="120" w:after="120"/>
      </w:pPr>
      <w:r>
        <w:rPr>
          <w:b/>
          <w:i w:val="0"/>
          <w:color w:val="E86A00"/>
          <w:sz w:val="20"/>
        </w:rPr>
        <w:t>Classificação: CONFIDENCIAL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Sumário Executivo</w:t>
      </w:r>
    </w:p>
    <w:p>
      <w:pPr>
        <w:spacing w:before="0" w:after="200"/>
      </w:pPr>
      <w:r>
        <w:rPr>
          <w:b w:val="0"/>
          <w:i w:val="0"/>
          <w:sz w:val="22"/>
        </w:rPr>
        <w:t>O ZappIQ é uma plataforma conversacional corporativa construída com IA nativa, observabilidade embarcada e governança LGPD de fábrica. Este documento apresenta a arquitetura comercial proposta para lançamento em 2026: cinco tiers de plano (Starter, Growth, Scale, Business e Enterprise), modelo de add-ons e overages, e a tese de precificação calibrada contra o mercado brasileiro de automação WhatsApp + IA conversacional.</w:t>
      </w:r>
    </w:p>
    <w:p>
      <w:pPr>
        <w:spacing w:before="120" w:after="80"/>
      </w:pPr>
      <w:r>
        <w:rPr>
          <w:b/>
          <w:i w:val="0"/>
          <w:color w:val="0A1F44"/>
          <w:sz w:val="22"/>
        </w:rPr>
        <w:t>Tese comercial em três linhas:</w:t>
      </w:r>
    </w:p>
    <w:p>
      <w:pPr>
        <w:pStyle w:val="ListBullet"/>
        <w:spacing w:after="40"/>
      </w:pPr>
      <w:r>
        <w:rPr>
          <w:b/>
          <w:sz w:val="22"/>
        </w:rPr>
        <w:t>Entrada:</w:t>
      </w:r>
      <w:r>
        <w:rPr>
          <w:sz w:val="22"/>
        </w:rPr>
        <w:t xml:space="preserve"> SMBs querem IA real, não scripts lineares. Hoje pagam caro por produtos "chatbot" que não resolvem. Captura aqui com preço agressivo e IA de verdade.</w:t>
      </w:r>
    </w:p>
    <w:p>
      <w:pPr>
        <w:pStyle w:val="ListBullet"/>
        <w:spacing w:after="40"/>
      </w:pPr>
      <w:r>
        <w:rPr>
          <w:b/>
          <w:sz w:val="22"/>
        </w:rPr>
        <w:t>Expansão:</w:t>
      </w:r>
      <w:r>
        <w:rPr>
          <w:sz w:val="22"/>
        </w:rPr>
        <w:t xml:space="preserve"> Mid-market exige governança (LGPD, audit, SSO), observabilidade e custos previsíveis. Diferenciação aqui com dashboard de observabilidade exposto ao cliente — único no BR.</w:t>
      </w:r>
    </w:p>
    <w:p>
      <w:pPr>
        <w:pStyle w:val="ListBullet"/>
        <w:spacing w:after="40"/>
      </w:pPr>
      <w:r>
        <w:rPr>
          <w:b/>
          <w:sz w:val="22"/>
        </w:rPr>
        <w:t>Enterprise:</w:t>
      </w:r>
      <w:r>
        <w:rPr>
          <w:sz w:val="22"/>
        </w:rPr>
        <w:t xml:space="preserve"> Enterprises contratam outcomes, não ferramentas. Posicionamento de plataforma co-criada com SLA e BYO-LLM, com margem bruta esperada de 55–65%.</w:t>
      </w:r>
    </w:p>
    <w:p>
      <w:pPr>
        <w:spacing w:before="200" w:after="80"/>
      </w:pPr>
      <w:r>
        <w:rPr>
          <w:b/>
          <w:i w:val="0"/>
          <w:color w:val="0A1F44"/>
          <w:sz w:val="22"/>
        </w:rPr>
        <w:t>Margem bruta consolidada esperada:</w:t>
      </w:r>
    </w:p>
    <w:p>
      <w:pPr>
        <w:pStyle w:val="ListBullet"/>
        <w:spacing w:after="40"/>
      </w:pPr>
      <w:r>
        <w:rPr>
          <w:sz w:val="22"/>
        </w:rPr>
        <w:t>Starter: ~70% (captura, baixo custo de servir)</w:t>
      </w:r>
    </w:p>
    <w:p>
      <w:pPr>
        <w:pStyle w:val="ListBullet"/>
        <w:spacing w:after="40"/>
      </w:pPr>
      <w:r>
        <w:rPr>
          <w:sz w:val="22"/>
        </w:rPr>
        <w:t>Growth: ~60% (mix Haiku+Sonnet, volume)</w:t>
      </w:r>
    </w:p>
    <w:p>
      <w:pPr>
        <w:pStyle w:val="ListBullet"/>
        <w:spacing w:after="40"/>
      </w:pPr>
      <w:r>
        <w:rPr>
          <w:sz w:val="22"/>
        </w:rPr>
        <w:t>Scale: ~55% (infra dedicada + suporte)</w:t>
      </w:r>
    </w:p>
    <w:p>
      <w:pPr>
        <w:pStyle w:val="ListBullet"/>
        <w:spacing w:after="40"/>
      </w:pPr>
      <w:r>
        <w:rPr>
          <w:sz w:val="22"/>
        </w:rPr>
        <w:t>Business: ~55% (SSO, auditoria, CS)</w:t>
      </w:r>
    </w:p>
    <w:p>
      <w:pPr>
        <w:pStyle w:val="ListBullet"/>
        <w:spacing w:after="40"/>
      </w:pPr>
      <w:r>
        <w:rPr>
          <w:sz w:val="22"/>
        </w:rPr>
        <w:t>Enterprise: 55–65% (pricing customizado, alta ACV)</w:t>
      </w:r>
    </w:p>
    <w:p>
      <w:pPr>
        <w:spacing w:before="120" w:after="120"/>
      </w:pPr>
      <w:r>
        <w:rPr>
          <w:b w:val="0"/>
          <w:i/>
          <w:color w:val="555C66"/>
          <w:sz w:val="20"/>
        </w:rPr>
        <w:t>Reforço: margens acima são brutas (custo variável de serviço + infra). Contribuição líquida após CAC, sales e G&amp;A estimada em 35–45% no Scale/Business (steady state), consistente com benchmark de SaaS B2B vertical no Brasil.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1. Contexto de Mercado — Brasil</w:t>
      </w:r>
    </w:p>
    <w:p>
      <w:pPr>
        <w:spacing w:before="0" w:after="160"/>
      </w:pPr>
      <w:r>
        <w:rPr>
          <w:b w:val="0"/>
          <w:i w:val="0"/>
          <w:sz w:val="22"/>
        </w:rPr>
        <w:t>O mercado brasileiro de conversational commerce e atendimento via WhatsApp movimenta bilhões de reais em gastos das empresas com plataformas, integração BSP (Business Service Provider) e consumo direto do Meta Cloud API. Três ondas se consolidam até 2026:</w:t>
      </w:r>
    </w:p>
    <w:p>
      <w:pPr>
        <w:pStyle w:val="ListBullet"/>
        <w:spacing w:after="40"/>
      </w:pPr>
      <w:r>
        <w:rPr>
          <w:b/>
          <w:sz w:val="22"/>
        </w:rPr>
        <w:t>Onda 1 (2022–2024):</w:t>
      </w:r>
      <w:r>
        <w:rPr>
          <w:sz w:val="22"/>
        </w:rPr>
        <w:t xml:space="preserve"> Saturação do mercado de CRM+WhatsApp puro (Kommo, Letalk, Sak) → commoditização.</w:t>
      </w:r>
    </w:p>
    <w:p>
      <w:pPr>
        <w:pStyle w:val="ListBullet"/>
        <w:spacing w:after="40"/>
      </w:pPr>
      <w:r>
        <w:rPr>
          <w:b/>
          <w:sz w:val="22"/>
        </w:rPr>
        <w:t>Onda 2 (2024–2025):</w:t>
      </w:r>
      <w:r>
        <w:rPr>
          <w:sz w:val="22"/>
        </w:rPr>
        <w:t xml:space="preserve"> Explosão de ofertas com "IA" prometida — majoritariamente script com NLU básico.</w:t>
      </w:r>
    </w:p>
    <w:p>
      <w:pPr>
        <w:pStyle w:val="ListBullet"/>
        <w:spacing w:after="40"/>
      </w:pPr>
      <w:r>
        <w:rPr>
          <w:b/>
          <w:sz w:val="22"/>
        </w:rPr>
        <w:t>Onda 3 (2025–2026):</w:t>
      </w:r>
      <w:r>
        <w:rPr>
          <w:sz w:val="22"/>
        </w:rPr>
        <w:t xml:space="preserve"> Clientes migram para plataformas com IA generativa real, governança LGPD, audit trail e observabilidade. Gap competitivo aberto.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1.1 Benchmark dos principais concorrentes no Brasil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Competidor</w:t>
            </w:r>
          </w:p>
        </w:tc>
        <w:tc>
          <w:tcPr>
            <w:tcW w:type="dxa" w:w="238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Posicionamento</w:t>
            </w:r>
          </w:p>
        </w:tc>
        <w:tc>
          <w:tcPr>
            <w:tcW w:type="dxa" w:w="170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Faixa de preço (R$/mês)</w:t>
            </w:r>
          </w:p>
        </w:tc>
        <w:tc>
          <w:tcPr>
            <w:tcW w:type="dxa" w:w="3515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Lacunas perceptíveis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Blip (Take)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Enterprise · multicanal · grande porte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8.000 – 30.000+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Custo proibitivo para mid-market; UX legada; sem transparência de custo de IA</w:t>
            </w:r>
          </w:p>
        </w:tc>
      </w:tr>
      <w:tr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Huggy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SMB → Mid · atendimento multicanal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149 – 2.500</w:t>
            </w:r>
          </w:p>
        </w:tc>
        <w:tc>
          <w:tcPr>
            <w:tcW w:type="dxa" w:w="3515"/>
            <w:shd w:val="clear" w:color="auto" w:fill="FAFBFC"/>
          </w:tcPr>
          <w:p>
            <w:r/>
            <w:r>
              <w:rPr>
                <w:sz w:val="20"/>
              </w:rPr>
              <w:t>IA é opcional e limitada; sem observabilidade exposta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Zenvia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CPaaS + atendimento · mid-enterprise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1.500 – 15.000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Foco em CPaaS, não em IA conversacional profunda</w:t>
            </w:r>
          </w:p>
        </w:tc>
      </w:tr>
      <w:tr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Poli Digital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SMB · vendas WhatsApp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299 – 1.499</w:t>
            </w:r>
          </w:p>
        </w:tc>
        <w:tc>
          <w:tcPr>
            <w:tcW w:type="dxa" w:w="3515"/>
            <w:shd w:val="clear" w:color="auto" w:fill="FAFBFC"/>
          </w:tcPr>
          <w:p>
            <w:r/>
            <w:r>
              <w:rPr>
                <w:sz w:val="20"/>
              </w:rPr>
              <w:t>Sem RAG nativo; IA superficial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Botmaker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Mid · bots multicanal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1.500 – 6.000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Arquitetura legada; operação complexa</w:t>
            </w:r>
          </w:p>
        </w:tc>
      </w:tr>
      <w:tr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Kommo (ex-amoCRM)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SMB · CRM + WhatsApp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125 – 375 por usuário</w:t>
            </w:r>
          </w:p>
        </w:tc>
        <w:tc>
          <w:tcPr>
            <w:tcW w:type="dxa" w:w="3515"/>
            <w:shd w:val="clear" w:color="auto" w:fill="FAFBFC"/>
          </w:tcPr>
          <w:p>
            <w:r/>
            <w:r>
              <w:rPr>
                <w:sz w:val="20"/>
              </w:rPr>
              <w:t>Centrado em CRM, não em IA; dependente de Zapier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Letalk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SMB · automação WhatsApp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89 – 399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Sem LLM real; flow builder scripted</w:t>
            </w:r>
          </w:p>
        </w:tc>
      </w:tr>
      <w:tr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Sak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SMB · atendimento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99 – 499</w:t>
            </w:r>
          </w:p>
        </w:tc>
        <w:tc>
          <w:tcPr>
            <w:tcW w:type="dxa" w:w="3515"/>
            <w:shd w:val="clear" w:color="auto" w:fill="FAFBFC"/>
          </w:tcPr>
          <w:p>
            <w:r/>
            <w:r>
              <w:rPr>
                <w:sz w:val="20"/>
              </w:rPr>
              <w:t>Simplicidade vs. falta de profundidade técnica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WATI (import.)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SMB global · WhatsApp BSP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200 – 1.200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Pricing em USD; sem conformidade LGPD nativa</w:t>
            </w:r>
          </w:p>
        </w:tc>
      </w:tr>
      <w:tr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RD Conversas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Mid · add-on do RD Station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1.200 – 5.000</w:t>
            </w:r>
          </w:p>
        </w:tc>
        <w:tc>
          <w:tcPr>
            <w:tcW w:type="dxa" w:w="3515"/>
            <w:shd w:val="clear" w:color="auto" w:fill="FAFBFC"/>
          </w:tcPr>
          <w:p>
            <w:r/>
            <w:r>
              <w:rPr>
                <w:sz w:val="20"/>
              </w:rPr>
              <w:t>Locked-in no ecossistema RD</w:t>
            </w:r>
          </w:p>
        </w:tc>
      </w:tr>
    </w:tbl>
    <w:p>
      <w:pPr>
        <w:spacing w:before="120" w:after="120"/>
      </w:pPr>
      <w:r>
        <w:rPr>
          <w:b w:val="0"/>
          <w:i/>
          <w:color w:val="0A1F44"/>
          <w:sz w:val="20"/>
        </w:rPr>
        <w:t>Leitura competitiva: a faixa R$ 600–2.500/mês está fragmentada e mal servida. Ninguém entrega hoje a combinação [IA generativa real + governança LGPD + observabilidade embarcada + custo transparente por conversa]. É aí que o ZappIQ se planta.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1.2 Diferenciais competitivos do ZappIQ</w:t>
      </w:r>
    </w:p>
    <w:p>
      <w:pPr>
        <w:pStyle w:val="ListBullet"/>
        <w:spacing w:after="40"/>
      </w:pPr>
      <w:r>
        <w:rPr>
          <w:b/>
          <w:sz w:val="22"/>
        </w:rPr>
        <w:t>Observabilidade nativa como produto:</w:t>
      </w:r>
      <w:r>
        <w:rPr>
          <w:sz w:val="22"/>
        </w:rPr>
        <w:t xml:space="preserve"> Dashboard Grafana integrado no Scale+. Cliente vê em tempo real latência, custo de IA, taxa de resolução. Nenhum concorrente BR entrega isso.</w:t>
      </w:r>
    </w:p>
    <w:p>
      <w:pPr>
        <w:pStyle w:val="ListBullet"/>
        <w:spacing w:after="40"/>
      </w:pPr>
      <w:r>
        <w:rPr>
          <w:b/>
          <w:sz w:val="22"/>
        </w:rPr>
        <w:t>Custo transparente de IA por conversa:</w:t>
      </w:r>
      <w:r>
        <w:rPr>
          <w:sz w:val="22"/>
        </w:rPr>
        <w:t xml:space="preserve"> Métrica "custo por conversa resolvida pelo bot" exposta ao cliente. Vira ferramenta de ROI interna do cliente — poderoso argumento de retenção.</w:t>
      </w:r>
    </w:p>
    <w:p>
      <w:pPr>
        <w:pStyle w:val="ListBullet"/>
        <w:spacing w:after="40"/>
      </w:pPr>
      <w:r>
        <w:rPr>
          <w:b/>
          <w:sz w:val="22"/>
        </w:rPr>
        <w:t>Multi-modelo com roteamento inteligente:</w:t>
      </w:r>
      <w:r>
        <w:rPr>
          <w:sz w:val="22"/>
        </w:rPr>
        <w:t xml:space="preserve"> Haiku para classificação/baixa complexidade, Sonnet para respostas finais. Redução de 40–60% em custo de LLM vs. single-model. Ganho de margem direto.</w:t>
      </w:r>
    </w:p>
    <w:p>
      <w:pPr>
        <w:pStyle w:val="ListBullet"/>
        <w:spacing w:after="40"/>
      </w:pPr>
      <w:r>
        <w:rPr>
          <w:b/>
          <w:sz w:val="22"/>
        </w:rPr>
        <w:t>RAG nativo com residência de dados:</w:t>
      </w:r>
      <w:r>
        <w:rPr>
          <w:sz w:val="22"/>
        </w:rPr>
        <w:t xml:space="preserve"> Embeddings e documentos do cliente ficam em região BR. Diferencial em compliance e latência.</w:t>
      </w:r>
    </w:p>
    <w:p>
      <w:pPr>
        <w:pStyle w:val="ListBullet"/>
        <w:spacing w:after="40"/>
      </w:pPr>
      <w:r>
        <w:rPr>
          <w:b/>
          <w:sz w:val="22"/>
        </w:rPr>
        <w:t>Audit/DSR LGPD de fábrica:</w:t>
      </w:r>
      <w:r>
        <w:rPr>
          <w:sz w:val="22"/>
        </w:rPr>
        <w:t xml:space="preserve"> Data Subject Requests, audit logs imutáveis e retenção configurável por tenant. Concorrentes cobram como add-on ou não têm.</w:t>
      </w:r>
    </w:p>
    <w:p>
      <w:pPr>
        <w:pStyle w:val="ListBullet"/>
        <w:spacing w:after="40"/>
      </w:pPr>
      <w:r>
        <w:rPr>
          <w:b/>
          <w:sz w:val="22"/>
        </w:rPr>
        <w:t>Arquitetura API-first + SDK aberto:</w:t>
      </w:r>
      <w:r>
        <w:rPr>
          <w:sz w:val="22"/>
        </w:rPr>
        <w:t xml:space="preserve"> Cliente integra ao ecossistema sem lock-in. Atrai enterprises com engenharia forte.</w:t>
      </w:r>
    </w:p>
    <w:p>
      <w:pPr>
        <w:pStyle w:val="ListBullet"/>
        <w:spacing w:after="40"/>
      </w:pPr>
      <w:r>
        <w:rPr>
          <w:b/>
          <w:sz w:val="22"/>
        </w:rPr>
        <w:t>SRE maduro como diferencial comercial:</w:t>
      </w:r>
      <w:r>
        <w:rPr>
          <w:sz w:val="22"/>
        </w:rPr>
        <w:t xml:space="preserve"> SLO burn rate, synthetic checks, alertas multi-window. Converte em SLA contratual assinável (99.5% → 99.95% crescendo por tier).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2. Unit Economics Base</w:t>
      </w:r>
    </w:p>
    <w:p>
      <w:pPr>
        <w:spacing w:before="0" w:after="160"/>
      </w:pPr>
      <w:r>
        <w:rPr>
          <w:b w:val="0"/>
          <w:i w:val="0"/>
          <w:sz w:val="22"/>
        </w:rPr>
        <w:t>Compreender o custo variável real por conversa resolvida é pré-requisito para definir preço com margem defendida. Abaixo o modelo de custo atual do ZappIQ, decomposto por driver.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2.1 Custo variável por conversa (média do setor)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Componente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Driver</w:t>
            </w:r>
          </w:p>
        </w:tc>
        <w:tc>
          <w:tcPr>
            <w:tcW w:type="dxa" w:w="192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Custo médio por conversa (R$)</w:t>
            </w:r>
          </w:p>
        </w:tc>
        <w:tc>
          <w:tcPr>
            <w:tcW w:type="dxa" w:w="260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Observação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LLM — classificação (Haiku)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1–2 chamadas Haiku com ~800 tokens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0,015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Intent + sentiment; cache Redis reduz ~60%</w:t>
            </w:r>
          </w:p>
        </w:tc>
      </w:tr>
      <w:tr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LLM — resposta (Sonnet, 50%)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~3.500 tokens médios, mix Haiku/Sonnet</w:t>
            </w:r>
          </w:p>
        </w:tc>
        <w:tc>
          <w:tcPr>
            <w:tcW w:type="dxa" w:w="1928"/>
            <w:shd w:val="clear" w:color="auto" w:fill="FAFBFC"/>
          </w:tcPr>
          <w:p>
            <w:r/>
            <w:r>
              <w:rPr>
                <w:sz w:val="20"/>
              </w:rPr>
              <w:t>0,055</w:t>
            </w:r>
          </w:p>
        </w:tc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Varia conforme complexidade e histórico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WhatsApp — Meta Cloud API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70% service (grátis) + 30% utility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0,024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Só service conversation é grátis; utility/marketing cobrada</w:t>
            </w:r>
          </w:p>
        </w:tc>
      </w:tr>
      <w:tr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RAG — embeddings + busca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Embedding da query + vector search</w:t>
            </w:r>
          </w:p>
        </w:tc>
        <w:tc>
          <w:tcPr>
            <w:tcW w:type="dxa" w:w="1928"/>
            <w:shd w:val="clear" w:color="auto" w:fill="FAFBFC"/>
          </w:tcPr>
          <w:p>
            <w:r/>
            <w:r>
              <w:rPr>
                <w:sz w:val="20"/>
              </w:rPr>
              <w:t>0,005</w:t>
            </w:r>
          </w:p>
        </w:tc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Amortizado no índice pré-computado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Infra (compute + DB + Redis)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Amortizado por volume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0,01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Fly.io + Neon + Redis por conversa</w:t>
            </w:r>
          </w:p>
        </w:tc>
      </w:tr>
      <w:tr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Observabilidade (OTel → Grafana)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Métricas, logs, traces</w:t>
            </w:r>
          </w:p>
        </w:tc>
        <w:tc>
          <w:tcPr>
            <w:tcW w:type="dxa" w:w="1928"/>
            <w:shd w:val="clear" w:color="auto" w:fill="FAFBFC"/>
          </w:tcPr>
          <w:p>
            <w:r/>
            <w:r>
              <w:rPr>
                <w:sz w:val="20"/>
              </w:rPr>
              <w:t>0,002</w:t>
            </w:r>
          </w:p>
        </w:tc>
        <w:tc>
          <w:tcPr>
            <w:tcW w:type="dxa" w:w="2608"/>
            <w:shd w:val="clear" w:color="auto" w:fill="FAFBFC"/>
          </w:tcPr>
          <w:p>
            <w:r/>
            <w:r>
              <w:rPr>
                <w:sz w:val="20"/>
              </w:rPr>
              <w:t>Custo amortizado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TOTAL (conv. resolvida pelo bot)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≈ 0,11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Base de cálculo para pricing</w:t>
            </w:r>
          </w:p>
        </w:tc>
      </w:tr>
    </w:tbl>
    <w:p>
      <w:pPr>
        <w:spacing w:before="80" w:after="120"/>
      </w:pPr>
      <w:r>
        <w:rPr>
          <w:b w:val="0"/>
          <w:i/>
          <w:color w:val="555C66"/>
          <w:sz w:val="20"/>
        </w:rPr>
        <w:t>Notas importantes: (1) handoffs consomem menos LLM (bot para antes) mas ocupam tempo de atendente humano, que é custo do cliente, não nosso. (2) Campanhas broadcast NÃO estão incluídas neste cálculo — são cobradas à parte como pass-through do Meta com markup.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2.2 Custos fixos por tenant (amortização mensal)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Componente</w:t>
            </w:r>
          </w:p>
        </w:tc>
        <w:tc>
          <w:tcPr>
            <w:tcW w:type="dxa" w:w="198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Custo mensal (R$)</w:t>
            </w:r>
          </w:p>
        </w:tc>
        <w:tc>
          <w:tcPr>
            <w:tcW w:type="dxa" w:w="4025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Observação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Storage (DB + docs + media)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15 – 40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Escala com MAU e retenção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Compute baseline (idle)</w:t>
            </w:r>
          </w:p>
        </w:tc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10 – 25</w:t>
            </w:r>
          </w:p>
        </w:tc>
        <w:tc>
          <w:tcPr>
            <w:tcW w:type="dxa" w:w="4025"/>
            <w:shd w:val="clear" w:color="auto" w:fill="FAFBFC"/>
          </w:tcPr>
          <w:p>
            <w:r/>
            <w:r>
              <w:rPr>
                <w:sz w:val="20"/>
              </w:rPr>
              <w:t>Fly machine shared; Enterprise dedica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Observabilidade por tenant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 – 8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Grafana Cloud consumo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Backup + DR</w:t>
            </w:r>
          </w:p>
        </w:tc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3 – 6</w:t>
            </w:r>
          </w:p>
        </w:tc>
        <w:tc>
          <w:tcPr>
            <w:tcW w:type="dxa" w:w="4025"/>
            <w:shd w:val="clear" w:color="auto" w:fill="FAFBFC"/>
          </w:tcPr>
          <w:p>
            <w:r/>
            <w:r>
              <w:rPr>
                <w:sz w:val="20"/>
              </w:rPr>
              <w:t>Snapshots Neon + blob storage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TOTAL baseline (médio)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35 – 80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Patamar por tenant ativo</w:t>
            </w:r>
          </w:p>
        </w:tc>
      </w:tr>
    </w:tbl>
    <w:p>
      <w:pPr>
        <w:spacing w:before="280" w:after="80"/>
      </w:pPr>
      <w:r>
        <w:rPr>
          <w:b/>
          <w:i w:val="0"/>
          <w:color w:val="0A1F44"/>
          <w:sz w:val="30"/>
        </w:rPr>
        <w:t>2.3 Lição estratégica</w:t>
      </w:r>
    </w:p>
    <w:p>
      <w:pPr>
        <w:spacing w:before="0" w:after="80"/>
      </w:pPr>
      <w:r>
        <w:rPr>
          <w:b w:val="0"/>
          <w:i w:val="0"/>
          <w:sz w:val="22"/>
        </w:rPr>
        <w:t>Conversa resolvida pelo bot custa ~R$ 0,11 de variável. Se cobrarmos R$ 0,80 por conversa extra (overage), temos 86% de margem na marginal. Isso é o que permite promocionar volumes incluídos generosos nos planos — cada conversa incluída é praticamente commodity cost. O custo fixo por tenant é onde o margin management fica sensível: tenants pequenos em Starter precisam ser muito eficientes em infra compartilhada, ou a margem bruta some.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3. Arquitetura de Planos</w:t>
      </w:r>
    </w:p>
    <w:p>
      <w:pPr>
        <w:spacing w:before="0" w:after="120"/>
      </w:pPr>
      <w:r>
        <w:rPr>
          <w:b w:val="0"/>
          <w:i w:val="0"/>
          <w:sz w:val="22"/>
        </w:rPr>
        <w:t>Cinco tiers orientados a estágios de maturidade do cliente. Cada tier tem um "ponto de dor" resolvido como peça central, evitando sobreposição.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Plano</w:t>
            </w:r>
          </w:p>
        </w:tc>
        <w:tc>
          <w:tcPr>
            <w:tcW w:type="dxa" w:w="3402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ICP (Ideal Customer Profile)</w:t>
            </w:r>
          </w:p>
        </w:tc>
        <w:tc>
          <w:tcPr>
            <w:tcW w:type="dxa" w:w="4762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Dor central resolvida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Starter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Microempresas · 1 canal · até 5 colaboradores</w:t>
            </w:r>
          </w:p>
        </w:tc>
        <w:tc>
          <w:tcPr>
            <w:tcW w:type="dxa" w:w="4762"/>
          </w:tcPr>
          <w:p>
            <w:r/>
            <w:r>
              <w:rPr>
                <w:sz w:val="20"/>
              </w:rPr>
              <w:t>Sair do WhatsApp Business gratuito e ganhar IA</w:t>
            </w:r>
          </w:p>
        </w:tc>
      </w:tr>
      <w:tr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Growth</w:t>
            </w:r>
          </w:p>
        </w:tc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PMEs em crescimento · 2–3 canais · marketing digital ativo</w:t>
            </w:r>
          </w:p>
        </w:tc>
        <w:tc>
          <w:tcPr>
            <w:tcW w:type="dxa" w:w="4762"/>
            <w:shd w:val="clear" w:color="auto" w:fill="FAFBFC"/>
          </w:tcPr>
          <w:p>
            <w:r/>
            <w:r>
              <w:rPr>
                <w:sz w:val="20"/>
              </w:rPr>
              <w:t>Escalar atendimento sem contratar mais atendentes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Scale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Mid-market · 5–10 canais · opera em múltiplas frentes</w:t>
            </w:r>
          </w:p>
        </w:tc>
        <w:tc>
          <w:tcPr>
            <w:tcW w:type="dxa" w:w="4762"/>
          </w:tcPr>
          <w:p>
            <w:r/>
            <w:r>
              <w:rPr>
                <w:sz w:val="20"/>
              </w:rPr>
              <w:t>Governança + observabilidade + A/B de prompt</w:t>
            </w:r>
          </w:p>
        </w:tc>
      </w:tr>
      <w:tr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Business</w:t>
            </w:r>
          </w:p>
        </w:tc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Corporações · 10–50 unidades · compliance rigoroso</w:t>
            </w:r>
          </w:p>
        </w:tc>
        <w:tc>
          <w:tcPr>
            <w:tcW w:type="dxa" w:w="4762"/>
            <w:shd w:val="clear" w:color="auto" w:fill="FAFBFC"/>
          </w:tcPr>
          <w:p>
            <w:r/>
            <w:r>
              <w:rPr>
                <w:sz w:val="20"/>
              </w:rPr>
              <w:t>SSO, auditoria forense, SLA contratual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Grandes grupos · multi-BU · BYO-cloud</w:t>
            </w:r>
          </w:p>
        </w:tc>
        <w:tc>
          <w:tcPr>
            <w:tcW w:type="dxa" w:w="4762"/>
          </w:tcPr>
          <w:p>
            <w:r/>
            <w:r>
              <w:rPr>
                <w:sz w:val="20"/>
              </w:rPr>
              <w:t>Co-criação · infra dedicada · contrato customizado</w:t>
            </w:r>
          </w:p>
        </w:tc>
      </w:tr>
    </w:tbl>
    <w:p>
      <w:pPr>
        <w:spacing w:before="280" w:after="80"/>
      </w:pPr>
      <w:r>
        <w:rPr>
          <w:b/>
          <w:i w:val="0"/>
          <w:color w:val="0A1F44"/>
          <w:sz w:val="30"/>
        </w:rPr>
        <w:t>3.1 Tabela comparativa — features por plano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Feature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Starter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Growth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Scale</w:t>
            </w:r>
          </w:p>
        </w:tc>
        <w:tc>
          <w:tcPr>
            <w:tcW w:type="dxa" w:w="141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Business</w:t>
            </w:r>
          </w:p>
        </w:tc>
        <w:tc>
          <w:tcPr>
            <w:tcW w:type="dxa" w:w="158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Enterprise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Números WhatsApp incluídos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MAU (contatos únicos/mês)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1.000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3.500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10.000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30.000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Conversas IA incluídas/mês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2.000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6.000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15.000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Usuários incluídos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Canais extras (IG, FB, Webchat)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+R$ 149/canal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incluído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3 incluídos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Modelos disponíveis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Haiku 4.5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Haiku + Sonnet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Haiku + Sonnet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Haiku + Sonnet + Opus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Todos + BYO-LLM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Roteamento inteligente de modelo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A/B testing de prompts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Guardrails / safety filters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Padrão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Padrão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Custom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Custom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RAG — documentos incluídos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100 docs (50 MB)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500 docs (250 MB)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2.000 docs (2 GB)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10.000 docs (10 GB)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RAG — multilingual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Vector store residência BR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Audit logs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30 dias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90 dias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365 dias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730 dias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DSR (Data Subject Requests)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Manual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Self-service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Self-service + API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Full + workflow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Full + workflow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Retenção de mensagens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60 dias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180 dias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12 meses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24 meses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SSO (Google/Microsoft)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✓ + SAML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✓ + SAML + OIDC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RBAC granular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Avançado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Customizável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Customizável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Dashboard analítico padrão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Dashboard SRE exposto (Grafana)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 dedicado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Custo de IA em tempo real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Resumido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Detalhado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Detalhado + API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Detalhado + API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Alertas customizados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 regras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25 regras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API REST pública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Webhooks saída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 endpoints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 endpoints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Ilimitado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Custom integrations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Add-on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2 incluídas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SDK / CLI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Broadcast / campanhas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Pass-through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Pass-through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Pass-through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Pass-through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Template manager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Segmentação avançada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Básica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Avançada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Avançada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Avançada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SLA de disponibilidade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99%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99,5%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99,9%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99,95%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Custom (até 99,99%)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Suporte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Email 48h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Email + chat 24h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Prioridade 8h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Dedicado 4h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CSM + SRE dedicado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Self-service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Self-service + live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3h live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10h live + playbook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Co-criação</w:t>
            </w:r>
          </w:p>
        </w:tc>
      </w:tr>
      <w:tr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White-label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Logo + cores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Domínio próprio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Full white-label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4. Precificação Sugerida</w:t>
      </w:r>
    </w:p>
    <w:p>
      <w:pPr>
        <w:spacing w:before="0" w:after="160"/>
      </w:pPr>
      <w:r>
        <w:rPr>
          <w:b w:val="0"/>
          <w:i w:val="0"/>
          <w:sz w:val="22"/>
        </w:rPr>
        <w:t>Preços abaixo em reais (R$), mensais, contrato anual com 15% de desconto pagamento à vista. Mensalidade sem compromisso acrescenta 20% sobre o anualizado (proteção de churn).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Plano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Mensal (contrato anual)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Mensal (sem compromisso)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Anual à vista (15% off)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Starter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R$ 247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R$ 297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R$ 2.518</w:t>
            </w:r>
          </w:p>
        </w:tc>
      </w:tr>
      <w:tr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Growth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R$ 797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R$ 957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R$ 8.129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Scale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R$ 1.697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R$ 2.037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R$ 17.309</w:t>
            </w:r>
          </w:p>
        </w:tc>
      </w:tr>
      <w:tr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Business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R$ 3.997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R$ 4.797</w:t>
            </w:r>
          </w:p>
        </w:tc>
        <w:tc>
          <w:tcPr>
            <w:tcW w:type="dxa" w:w="2268"/>
            <w:shd w:val="clear" w:color="auto" w:fill="FAFBFC"/>
          </w:tcPr>
          <w:p>
            <w:r/>
            <w:r>
              <w:rPr>
                <w:sz w:val="20"/>
              </w:rPr>
              <w:t>R$ 40.769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 partir de R$ 9.900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 aplicável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Negociado</w:t>
            </w:r>
          </w:p>
        </w:tc>
      </w:tr>
    </w:tbl>
    <w:p>
      <w:pPr>
        <w:spacing w:before="280" w:after="80"/>
      </w:pPr>
      <w:r>
        <w:rPr>
          <w:b/>
          <w:i w:val="0"/>
          <w:color w:val="0A1F44"/>
          <w:sz w:val="30"/>
        </w:rPr>
        <w:t>4.1 Leitura de posicionamento vs. concorrentes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Plano ZappIQ</w:t>
            </w:r>
          </w:p>
        </w:tc>
        <w:tc>
          <w:tcPr>
            <w:tcW w:type="dxa" w:w="238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Equivalente concorrente típico</w:t>
            </w:r>
          </w:p>
        </w:tc>
        <w:tc>
          <w:tcPr>
            <w:tcW w:type="dxa" w:w="187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Preço médio concorrente</w:t>
            </w:r>
          </w:p>
        </w:tc>
        <w:tc>
          <w:tcPr>
            <w:tcW w:type="dxa" w:w="328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Posicionamento ZappIQ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Starter R$ 247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Huggy Básico · Letalk Pro · Sak Start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R$ 149 – 299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Paridade com IA real de diferencial</w:t>
            </w:r>
          </w:p>
        </w:tc>
      </w:tr>
      <w:tr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Growth R$ 797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Huggy Pro · Poli Digital · Kommo Enterprise</w:t>
            </w:r>
          </w:p>
        </w:tc>
        <w:tc>
          <w:tcPr>
            <w:tcW w:type="dxa" w:w="1871"/>
            <w:shd w:val="clear" w:color="auto" w:fill="FAFBFC"/>
          </w:tcPr>
          <w:p>
            <w:r/>
            <w:r>
              <w:rPr>
                <w:sz w:val="20"/>
              </w:rPr>
              <w:t>R$ 699 – 1.199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Levemente acima com governança+LGPD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Scale R$ 1.697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Huggy Enterprise · Botmaker base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R$ 1.800 – 3.500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25–50% abaixo com observabilidade superior</w:t>
            </w:r>
          </w:p>
        </w:tc>
      </w:tr>
      <w:tr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Business R$ 3.997</w:t>
            </w:r>
          </w:p>
        </w:tc>
        <w:tc>
          <w:tcPr>
            <w:tcW w:type="dxa" w:w="2381"/>
            <w:shd w:val="clear" w:color="auto" w:fill="FAFBFC"/>
          </w:tcPr>
          <w:p>
            <w:r/>
            <w:r>
              <w:rPr>
                <w:sz w:val="20"/>
              </w:rPr>
              <w:t>Botmaker Enterprise · Zenvia mid</w:t>
            </w:r>
          </w:p>
        </w:tc>
        <w:tc>
          <w:tcPr>
            <w:tcW w:type="dxa" w:w="1871"/>
            <w:shd w:val="clear" w:color="auto" w:fill="FAFBFC"/>
          </w:tcPr>
          <w:p>
            <w:r/>
            <w:r>
              <w:rPr>
                <w:sz w:val="20"/>
              </w:rPr>
              <w:t>R$ 3.500 – 7.000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Paridade com stack moderno e SRE embarcado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Enterprise R$ 9.900+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Blip · Zenvia Enterprise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R$ 15.000 – 30.000+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35–60% abaixo com valor-diferencial claro</w:t>
            </w:r>
          </w:p>
        </w:tc>
      </w:tr>
    </w:tbl>
    <w:p>
      <w:pPr>
        <w:spacing w:before="80" w:after="120"/>
      </w:pPr>
      <w:r>
        <w:rPr>
          <w:b w:val="0"/>
          <w:i/>
          <w:color w:val="555C66"/>
          <w:sz w:val="20"/>
        </w:rPr>
        <w:t>Estratégia: atacar agressivamente o gap do meio (Scale/Business) onde há margem tanto de valor quanto de preço. Starter é gateway de aquisição com margem ainda saudável; Enterprise é negociação consultiva que banca CAC e ACV alto.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5. Add-ons e Overages</w:t>
      </w:r>
    </w:p>
    <w:p>
      <w:pPr>
        <w:spacing w:before="0" w:after="160"/>
      </w:pPr>
      <w:r>
        <w:rPr>
          <w:b w:val="0"/>
          <w:i w:val="0"/>
          <w:sz w:val="22"/>
        </w:rPr>
        <w:t>Tudo que extrapola o incluído no plano é cobrado como overage transparente. Markup nos add-ons é onde a margem real se constrói — cliente percebe como "pay-as-you-go justo", nós colhemos margem marginal acima de 80%.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5.1 Overages por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Item</w:t>
            </w:r>
          </w:p>
        </w:tc>
        <w:tc>
          <w:tcPr>
            <w:tcW w:type="dxa" w:w="124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Starter</w:t>
            </w:r>
          </w:p>
        </w:tc>
        <w:tc>
          <w:tcPr>
            <w:tcW w:type="dxa" w:w="124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Growth</w:t>
            </w:r>
          </w:p>
        </w:tc>
        <w:tc>
          <w:tcPr>
            <w:tcW w:type="dxa" w:w="124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Scale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Business</w:t>
            </w:r>
          </w:p>
        </w:tc>
        <w:tc>
          <w:tcPr>
            <w:tcW w:type="dxa" w:w="158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Enterprise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Conversa IA adicional (unidade)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R$ 0,80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R$ 0,55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R$ 0,40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R$ 0,30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835"/>
            <w:shd w:val="clear" w:color="auto" w:fill="FAFBFC"/>
          </w:tcPr>
          <w:p>
            <w:r/>
            <w:r>
              <w:rPr>
                <w:sz w:val="20"/>
              </w:rPr>
              <w:t>MAU adicional (por contato/mês)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R$ 0,08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R$ 0,06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R$ 0,05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R$ 0,04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Armazenamento extra (GB/mês)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R$ 29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R$ 25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R$ 19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R$ 15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Negociado</w:t>
            </w:r>
          </w:p>
        </w:tc>
      </w:tr>
      <w:tr>
        <w:tc>
          <w:tcPr>
            <w:tcW w:type="dxa" w:w="2835"/>
            <w:shd w:val="clear" w:color="auto" w:fill="FAFBFC"/>
          </w:tcPr>
          <w:p>
            <w:r/>
            <w:r>
              <w:rPr>
                <w:sz w:val="20"/>
              </w:rPr>
              <w:t>Retenção estendida (conv./mês)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R$ 0,03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R$ 0,02</w:t>
            </w:r>
          </w:p>
        </w:tc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R$ 0,02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R$ 0,01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Negociado</w:t>
            </w:r>
          </w:p>
        </w:tc>
      </w:tr>
    </w:tbl>
    <w:p>
      <w:pPr>
        <w:spacing w:before="280" w:after="80"/>
      </w:pPr>
      <w:r>
        <w:rPr>
          <w:b/>
          <w:i w:val="0"/>
          <w:color w:val="0A1F44"/>
          <w:sz w:val="30"/>
        </w:rPr>
        <w:t>5.2 Add-ons recorrentes (mensais)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Add-on</w:t>
            </w:r>
          </w:p>
        </w:tc>
        <w:tc>
          <w:tcPr>
            <w:tcW w:type="dxa" w:w="181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Preço</w:t>
            </w:r>
          </w:p>
        </w:tc>
        <w:tc>
          <w:tcPr>
            <w:tcW w:type="dxa" w:w="141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Disponível em</w:t>
            </w:r>
          </w:p>
        </w:tc>
        <w:tc>
          <w:tcPr>
            <w:tcW w:type="dxa" w:w="328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Comentário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Usuário adicional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R$ 49 – 79/usuário/mês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Todos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Preço menor nos tiers superiores</w:t>
            </w:r>
          </w:p>
        </w:tc>
      </w:tr>
      <w:tr>
        <w:tc>
          <w:tcPr>
            <w:tcW w:type="dxa" w:w="2551"/>
            <w:shd w:val="clear" w:color="auto" w:fill="FAFBFC"/>
          </w:tcPr>
          <w:p>
            <w:r/>
            <w:r>
              <w:rPr>
                <w:sz w:val="20"/>
              </w:rPr>
              <w:t>Número WhatsApp extra</w:t>
            </w:r>
          </w:p>
        </w:tc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R$ 149/mês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Todos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Custo de BSP + provisionamento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Canal extra (Instagram, FB, Webchat)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R$ 149 – 199/canal/mês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Growth+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Incluído gradualmente nos tiers superiores</w:t>
            </w:r>
          </w:p>
        </w:tc>
      </w:tr>
      <w:tr>
        <w:tc>
          <w:tcPr>
            <w:tcW w:type="dxa" w:w="2551"/>
            <w:shd w:val="clear" w:color="auto" w:fill="FAFBFC"/>
          </w:tcPr>
          <w:p>
            <w:r/>
            <w:r>
              <w:rPr>
                <w:sz w:val="20"/>
              </w:rPr>
              <w:t>RAG — docs extras</w:t>
            </w:r>
          </w:p>
        </w:tc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R$ 0,15/doc/mês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Todos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Acima do incluído no plano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Dashboard SRE exposto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R$ 297/mês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Growth (add-on)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Padrão no Scale+</w:t>
            </w:r>
          </w:p>
        </w:tc>
      </w:tr>
      <w:tr>
        <w:tc>
          <w:tcPr>
            <w:tcW w:type="dxa" w:w="2551"/>
            <w:shd w:val="clear" w:color="auto" w:fill="FAFBFC"/>
          </w:tcPr>
          <w:p>
            <w:r/>
            <w:r>
              <w:rPr>
                <w:sz w:val="20"/>
              </w:rPr>
              <w:t>Pacote de suporte dedicado</w:t>
            </w:r>
          </w:p>
        </w:tc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R$ 997/mês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Scale+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Inclui CSM part-time + SLA 4h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Observabilidade avançada (APM + BI export)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R$ 497/mês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Scale+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Export OTLP para ferramenta do cliente</w:t>
            </w:r>
          </w:p>
        </w:tc>
      </w:tr>
      <w:tr>
        <w:tc>
          <w:tcPr>
            <w:tcW w:type="dxa" w:w="2551"/>
            <w:shd w:val="clear" w:color="auto" w:fill="FAFBFC"/>
          </w:tcPr>
          <w:p>
            <w:r/>
            <w:r>
              <w:rPr>
                <w:sz w:val="20"/>
              </w:rPr>
              <w:t>Integrações customizadas</w:t>
            </w:r>
          </w:p>
        </w:tc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R$ 499/mês + R$ 5k setup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Scale+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Uma integração por assinatura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White-label total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R$ 1.997/mês (uplift)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Business+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Domínio, marca e app storefront</w:t>
            </w:r>
          </w:p>
        </w:tc>
      </w:tr>
      <w:tr>
        <w:tc>
          <w:tcPr>
            <w:tcW w:type="dxa" w:w="2551"/>
            <w:shd w:val="clear" w:color="auto" w:fill="FAFBFC"/>
          </w:tcPr>
          <w:p>
            <w:r/>
            <w:r>
              <w:rPr>
                <w:sz w:val="20"/>
              </w:rPr>
              <w:t>Infra dedicada (VPC isolada)</w:t>
            </w:r>
          </w:p>
        </w:tc>
        <w:tc>
          <w:tcPr>
            <w:tcW w:type="dxa" w:w="1814"/>
            <w:shd w:val="clear" w:color="auto" w:fill="FAFBFC"/>
          </w:tcPr>
          <w:p>
            <w:r/>
            <w:r>
              <w:rPr>
                <w:sz w:val="20"/>
              </w:rPr>
              <w:t>A partir de R$ 5.000/mês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3288"/>
            <w:shd w:val="clear" w:color="auto" w:fill="FAFBFC"/>
          </w:tcPr>
          <w:p>
            <w:r/>
            <w:r>
              <w:rPr>
                <w:sz w:val="20"/>
              </w:rPr>
              <w:t>Inclui BYOC (Bring Your Own Cloud) opcional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BYO-LLM (cliente traz chave + modelo)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R$ 1.497/mês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Business+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Cliente paga LLM direto ao provedor</w:t>
            </w:r>
          </w:p>
        </w:tc>
      </w:tr>
    </w:tbl>
    <w:p>
      <w:pPr>
        <w:spacing w:before="280" w:after="80"/>
      </w:pPr>
      <w:r>
        <w:rPr>
          <w:b/>
          <w:i w:val="0"/>
          <w:color w:val="0A1F44"/>
          <w:sz w:val="30"/>
        </w:rPr>
        <w:t>5.3 Campanhas / Broadcast (pass-through Meta)</w:t>
      </w:r>
    </w:p>
    <w:p>
      <w:pPr>
        <w:spacing w:before="0" w:after="120"/>
      </w:pPr>
      <w:r>
        <w:rPr>
          <w:b w:val="0"/>
          <w:i w:val="0"/>
          <w:sz w:val="22"/>
        </w:rPr>
        <w:t>Campanhas são cobradas à parte, direto proporcional ao custo Meta com markup de ~20%. Modelo transparente evita surpresas e se alinha ao padrão de mercado.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Tipo de conversa WhatsApp</w:t>
            </w:r>
          </w:p>
        </w:tc>
        <w:tc>
          <w:tcPr>
            <w:tcW w:type="dxa" w:w="198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Custo Meta (aprox. BR)</w:t>
            </w:r>
          </w:p>
        </w:tc>
        <w:tc>
          <w:tcPr>
            <w:tcW w:type="dxa" w:w="170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Preço ZappIQ</w:t>
            </w:r>
          </w:p>
        </w:tc>
        <w:tc>
          <w:tcPr>
            <w:tcW w:type="dxa" w:w="170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Markup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Service (iniciada pelo cliente, 24h)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Grátis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Grátis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  <w:shd w:val="clear" w:color="auto" w:fill="FAFBFC"/>
          </w:tcPr>
          <w:p>
            <w:r/>
            <w:r>
              <w:rPr>
                <w:sz w:val="20"/>
              </w:rPr>
              <w:t>Utility (transacional, notificações)</w:t>
            </w:r>
          </w:p>
        </w:tc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R$ 0,07 – 0,08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R$ 0,09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~20%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Authentication (OTP, verificações)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R$ 0,04 – 0,05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R$ 0,06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~25%</w:t>
            </w:r>
          </w:p>
        </w:tc>
      </w:tr>
      <w:tr>
        <w:tc>
          <w:tcPr>
            <w:tcW w:type="dxa" w:w="3118"/>
            <w:shd w:val="clear" w:color="auto" w:fill="FAFBFC"/>
          </w:tcPr>
          <w:p>
            <w:r/>
            <w:r>
              <w:rPr>
                <w:sz w:val="20"/>
              </w:rPr>
              <w:t>Marketing (promocional)</w:t>
            </w:r>
          </w:p>
        </w:tc>
        <w:tc>
          <w:tcPr>
            <w:tcW w:type="dxa" w:w="1984"/>
            <w:shd w:val="clear" w:color="auto" w:fill="FAFBFC"/>
          </w:tcPr>
          <w:p>
            <w:r/>
            <w:r>
              <w:rPr>
                <w:sz w:val="20"/>
              </w:rPr>
              <w:t>R$ 0,14 – 0,18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R$ 0,22</w:t>
            </w:r>
          </w:p>
        </w:tc>
        <w:tc>
          <w:tcPr>
            <w:tcW w:type="dxa" w:w="1701"/>
            <w:shd w:val="clear" w:color="auto" w:fill="FAFBFC"/>
          </w:tcPr>
          <w:p>
            <w:r/>
            <w:r>
              <w:rPr>
                <w:sz w:val="20"/>
              </w:rPr>
              <w:t>~25%</w:t>
            </w:r>
          </w:p>
        </w:tc>
      </w:tr>
    </w:tbl>
    <w:p>
      <w:pPr>
        <w:spacing w:before="80" w:after="120"/>
      </w:pPr>
      <w:r>
        <w:rPr>
          <w:b w:val="0"/>
          <w:i/>
          <w:color w:val="555C66"/>
          <w:sz w:val="20"/>
        </w:rPr>
        <w:t>Volumes acima de 100k msgs/mês destravam descontos graduais de 5–15%. Clientes Enterprise podem negociar pass-through sem markup trocando por comprometimento de volume anual.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6. Margem Esperada por Plano</w:t>
      </w:r>
    </w:p>
    <w:p>
      <w:pPr>
        <w:spacing w:before="0" w:after="120"/>
      </w:pPr>
      <w:r>
        <w:rPr>
          <w:b w:val="0"/>
          <w:i w:val="0"/>
          <w:sz w:val="22"/>
        </w:rPr>
        <w:t>Simulação de P&amp;L unitário por plano considerando uso típico do ICP (70–80% do incluído). Valores em reais mensais por tenant.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402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Linha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Starter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Growth</w:t>
            </w:r>
          </w:p>
        </w:tc>
        <w:tc>
          <w:tcPr>
            <w:tcW w:type="dxa" w:w="141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Scale</w:t>
            </w:r>
          </w:p>
        </w:tc>
        <w:tc>
          <w:tcPr>
            <w:tcW w:type="dxa" w:w="147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Business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Preço líquido (anual)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247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797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1.697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3.997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(–) LLM (conv. × custo médio)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160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540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1.350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(–) WhatsApp (utility médio)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144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360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(–) RAG + embeddings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75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(–) Infra baseline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120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(–) Suporte alocado (alocação)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300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(–) Observabilidade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35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Custo total variável + alocado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93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296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879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2.240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Margem bruta (R$)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501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1.757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Margem bruta (%)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62%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63%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48%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44%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(+) Add-ons típicos (upsell 20–35%)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195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530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1.200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(–) CAC amortizado (12 meses)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110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250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600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Contribuição líquida (R$/mês)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139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586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1.098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2.357</w:t>
            </w:r>
          </w:p>
        </w:tc>
      </w:tr>
      <w:tr>
        <w:tc>
          <w:tcPr>
            <w:tcW w:type="dxa" w:w="3402"/>
            <w:shd w:val="clear" w:color="auto" w:fill="FAFBFC"/>
          </w:tcPr>
          <w:p>
            <w:r/>
            <w:r>
              <w:rPr>
                <w:sz w:val="20"/>
              </w:rPr>
              <w:t>Contribuição líquida (%)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~51%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~59%</w:t>
            </w:r>
          </w:p>
        </w:tc>
        <w:tc>
          <w:tcPr>
            <w:tcW w:type="dxa" w:w="1417"/>
            <w:shd w:val="clear" w:color="auto" w:fill="FAFBFC"/>
          </w:tcPr>
          <w:p>
            <w:r/>
            <w:r>
              <w:rPr>
                <w:sz w:val="20"/>
              </w:rPr>
              <w:t>~49%</w:t>
            </w:r>
          </w:p>
        </w:tc>
        <w:tc>
          <w:tcPr>
            <w:tcW w:type="dxa" w:w="1474"/>
            <w:shd w:val="clear" w:color="auto" w:fill="FAFBFC"/>
          </w:tcPr>
          <w:p>
            <w:r/>
            <w:r>
              <w:rPr>
                <w:sz w:val="20"/>
              </w:rPr>
              <w:t>~45%</w:t>
            </w:r>
          </w:p>
        </w:tc>
      </w:tr>
    </w:tbl>
    <w:p>
      <w:pPr>
        <w:spacing w:before="160" w:after="80"/>
      </w:pPr>
      <w:r>
        <w:rPr>
          <w:b/>
          <w:i w:val="0"/>
          <w:color w:val="0A1F44"/>
          <w:sz w:val="22"/>
        </w:rPr>
        <w:t>Observações sobre a simulação:</w:t>
      </w:r>
    </w:p>
    <w:p>
      <w:pPr>
        <w:pStyle w:val="ListBullet"/>
        <w:spacing w:after="40"/>
      </w:pPr>
      <w:r>
        <w:rPr>
          <w:sz w:val="22"/>
        </w:rPr>
        <w:t>LLM assume uso médio do incluído (~80% das conversas). Cache Redis reduz chamadas repetidas em ~25%.</w:t>
      </w:r>
    </w:p>
    <w:p>
      <w:pPr>
        <w:pStyle w:val="ListBullet"/>
        <w:spacing w:after="40"/>
      </w:pPr>
      <w:r>
        <w:rPr>
          <w:sz w:val="22"/>
        </w:rPr>
        <w:t>Suporte alocado usa modelo de prorateamento: Starter compartilha; Business dedica parte de um CSM.</w:t>
      </w:r>
    </w:p>
    <w:p>
      <w:pPr>
        <w:pStyle w:val="ListBullet"/>
        <w:spacing w:after="40"/>
      </w:pPr>
      <w:r>
        <w:rPr>
          <w:sz w:val="22"/>
        </w:rPr>
        <w:t>Add-ons típicos assumem que 30–40% dos clientes compram pelo menos 1 add-on acima do plano.</w:t>
      </w:r>
    </w:p>
    <w:p>
      <w:pPr>
        <w:pStyle w:val="ListBullet"/>
        <w:spacing w:after="40"/>
      </w:pPr>
      <w:r>
        <w:rPr>
          <w:sz w:val="22"/>
        </w:rPr>
        <w:t>CAC amortizado em 12 meses: Starter R$ 480 total · Growth R$ 1.320 · Scale R$ 3.000 · Business R$ 7.200. Pagamento de CAC em 3–5 meses nos tiers médios.</w:t>
      </w:r>
    </w:p>
    <w:p>
      <w:pPr>
        <w:pStyle w:val="ListBullet"/>
        <w:spacing w:after="40"/>
      </w:pPr>
      <w:r>
        <w:rPr>
          <w:sz w:val="22"/>
        </w:rPr>
        <w:t>Enterprise não listado porque pricing é customizado; alvo de margem bruta 55–65% e ACV mínimo R$ 120k/ano.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6.1 Sensibilidades críticas</w:t>
      </w:r>
    </w:p>
    <w:p>
      <w:pPr>
        <w:pStyle w:val="ListBullet"/>
        <w:spacing w:after="40"/>
      </w:pPr>
      <w:r>
        <w:rPr>
          <w:b/>
          <w:sz w:val="22"/>
        </w:rPr>
        <w:t>Custo de LLM cair 30% (Anthropic price-drop ou modelo próprio):</w:t>
      </w:r>
      <w:r>
        <w:rPr>
          <w:sz w:val="22"/>
        </w:rPr>
        <w:t xml:space="preserve"> Margem bruta Scale sobe de 48% para ~58%. Alavanca externa forte.</w:t>
      </w:r>
    </w:p>
    <w:p>
      <w:pPr>
        <w:pStyle w:val="ListBullet"/>
        <w:spacing w:after="40"/>
      </w:pPr>
      <w:r>
        <w:rPr>
          <w:b/>
          <w:sz w:val="22"/>
        </w:rPr>
        <w:t>Uso real de IA = 130% do incluído (heavy users):</w:t>
      </w:r>
      <w:r>
        <w:rPr>
          <w:sz w:val="22"/>
        </w:rPr>
        <w:t xml:space="preserve"> Margem Scale cai para ~35% SE overage não cobrar. Política de overage protege.</w:t>
      </w:r>
    </w:p>
    <w:p>
      <w:pPr>
        <w:pStyle w:val="ListBullet"/>
        <w:spacing w:after="40"/>
      </w:pPr>
      <w:r>
        <w:rPr>
          <w:b/>
          <w:sz w:val="22"/>
        </w:rPr>
        <w:t>Churn anual &gt; 25%:</w:t>
      </w:r>
      <w:r>
        <w:rPr>
          <w:sz w:val="22"/>
        </w:rPr>
        <w:t xml:space="preserve"> CAC payback estoura. Necessário apertar retenção via Scale+ com CSM.</w:t>
      </w:r>
    </w:p>
    <w:p>
      <w:pPr>
        <w:pStyle w:val="ListBullet"/>
        <w:spacing w:after="40"/>
      </w:pPr>
      <w:r>
        <w:rPr>
          <w:b/>
          <w:sz w:val="22"/>
        </w:rPr>
        <w:t>Adoção de contratos anuais &gt; 60% da base:</w:t>
      </w:r>
      <w:r>
        <w:rPr>
          <w:sz w:val="22"/>
        </w:rPr>
        <w:t xml:space="preserve"> Cash flow melhora dramaticamente; justifica desconto de 15%.</w:t>
      </w:r>
    </w:p>
    <w:p>
      <w:pPr>
        <w:pStyle w:val="ListBullet"/>
        <w:spacing w:after="40"/>
      </w:pPr>
      <w:r>
        <w:rPr>
          <w:b/>
          <w:sz w:val="22"/>
        </w:rPr>
        <w:t>Markup de broadcast cair para 10% por concorrência:</w:t>
      </w:r>
      <w:r>
        <w:rPr>
          <w:sz w:val="22"/>
        </w:rPr>
        <w:t xml:space="preserve"> Impacto direto em 3–5 pp de margem bruta. Compensar com bundle.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7. Go-To-Market e Posicionamento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7.1 Narrativa por tier</w:t>
      </w:r>
    </w:p>
    <w:p>
      <w:pPr>
        <w:pStyle w:val="ListBullet"/>
        <w:spacing w:after="40"/>
      </w:pPr>
      <w:r>
        <w:rPr>
          <w:b/>
          <w:sz w:val="22"/>
        </w:rPr>
        <w:t>Starter:</w:t>
      </w:r>
      <w:r>
        <w:rPr>
          <w:sz w:val="22"/>
        </w:rPr>
        <w:t xml:space="preserve"> "Entre no WhatsApp com IA real, não com script." Aquisição self-service via site e marketplaces (OLX Pro, Loggi, parcerias com contadores). CAC-alvo: R$ 480.</w:t>
      </w:r>
    </w:p>
    <w:p>
      <w:pPr>
        <w:pStyle w:val="ListBullet"/>
        <w:spacing w:after="40"/>
      </w:pPr>
      <w:r>
        <w:rPr>
          <w:b/>
          <w:sz w:val="22"/>
        </w:rPr>
        <w:t>Growth:</w:t>
      </w:r>
      <w:r>
        <w:rPr>
          <w:sz w:val="22"/>
        </w:rPr>
        <w:t xml:space="preserve"> "Escale atendimento sem escalar o time." Inside sales com demos agendadas; vertical plays em clínicas, e-commerce nicho, educação, serviços. CAC-alvo: R$ 1.320.</w:t>
      </w:r>
    </w:p>
    <w:p>
      <w:pPr>
        <w:pStyle w:val="ListBullet"/>
        <w:spacing w:after="40"/>
      </w:pPr>
      <w:r>
        <w:rPr>
          <w:b/>
          <w:sz w:val="22"/>
        </w:rPr>
        <w:t>Scale:</w:t>
      </w:r>
      <w:r>
        <w:rPr>
          <w:sz w:val="22"/>
        </w:rPr>
        <w:t xml:space="preserve"> "Plataforma corporativa com governança de fábrica." Field sales consultivo com foco em POCs remunerados (R$ 5–10k). CAC-alvo: R$ 3.000.</w:t>
      </w:r>
    </w:p>
    <w:p>
      <w:pPr>
        <w:pStyle w:val="ListBullet"/>
        <w:spacing w:after="40"/>
      </w:pPr>
      <w:r>
        <w:rPr>
          <w:b/>
          <w:sz w:val="22"/>
        </w:rPr>
        <w:t>Business:</w:t>
      </w:r>
      <w:r>
        <w:rPr>
          <w:sz w:val="22"/>
        </w:rPr>
        <w:t xml:space="preserve"> "SLA contratual, SSO, auditoria LGPD de nível bancário." Enterprise sales com RFPs; parceria com SIs (Stefanini, Accenture, Deloitte Digital). CAC-alvo: R$ 7.200.</w:t>
      </w:r>
    </w:p>
    <w:p>
      <w:pPr>
        <w:pStyle w:val="ListBullet"/>
        <w:spacing w:after="40"/>
      </w:pPr>
      <w:r>
        <w:rPr>
          <w:b/>
          <w:sz w:val="22"/>
        </w:rPr>
        <w:t>Enterprise:</w:t>
      </w:r>
      <w:r>
        <w:rPr>
          <w:sz w:val="22"/>
        </w:rPr>
        <w:t xml:space="preserve"> "Co-criamos sua IA conversacional proprietária." Named account sales, ACVs mínimos de R$ 120k/ano. Ciclo de venda 4–9 meses.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7.2 Canais de aquisição</w:t>
      </w:r>
    </w:p>
    <w:p>
      <w:pPr>
        <w:pStyle w:val="ListBullet"/>
        <w:spacing w:after="40"/>
      </w:pPr>
      <w:r>
        <w:rPr>
          <w:b/>
          <w:sz w:val="22"/>
        </w:rPr>
        <w:t>Starter/Growth:</w:t>
      </w:r>
      <w:r>
        <w:rPr>
          <w:sz w:val="22"/>
        </w:rPr>
        <w:t xml:space="preserve"> Orgânico: SEO técnico em conteúdo de observabilidade conversacional, LGPD, custo de IA.</w:t>
      </w:r>
    </w:p>
    <w:p>
      <w:pPr>
        <w:pStyle w:val="ListBullet"/>
        <w:spacing w:after="40"/>
      </w:pPr>
      <w:r>
        <w:rPr>
          <w:b/>
          <w:sz w:val="22"/>
        </w:rPr>
        <w:t>Starter/Growth:</w:t>
      </w:r>
      <w:r>
        <w:rPr>
          <w:sz w:val="22"/>
        </w:rPr>
        <w:t xml:space="preserve"> Marketplaces de parceiros WhatsApp BSP (Gupshup, 360dialog, Twilio BR).</w:t>
      </w:r>
    </w:p>
    <w:p>
      <w:pPr>
        <w:pStyle w:val="ListBullet"/>
        <w:spacing w:after="40"/>
      </w:pPr>
      <w:r>
        <w:rPr>
          <w:b/>
          <w:sz w:val="22"/>
        </w:rPr>
        <w:t>Scale/Business:</w:t>
      </w:r>
      <w:r>
        <w:rPr>
          <w:sz w:val="22"/>
        </w:rPr>
        <w:t xml:space="preserve"> Conteúdo técnico no LinkedIn + presença em eventos (Rock in Rio Tech, Web Summit RJ, Fintouch, WhatsApp Business Summit).</w:t>
      </w:r>
    </w:p>
    <w:p>
      <w:pPr>
        <w:pStyle w:val="ListBullet"/>
        <w:spacing w:after="40"/>
      </w:pPr>
      <w:r>
        <w:rPr>
          <w:b/>
          <w:sz w:val="22"/>
        </w:rPr>
        <w:t>Business/Enterprise:</w:t>
      </w:r>
      <w:r>
        <w:rPr>
          <w:sz w:val="22"/>
        </w:rPr>
        <w:t xml:space="preserve"> Parcerias com System Integrators (Stefanini, Accenture BR, Deloitte Digital, Tivit, TCS).</w:t>
      </w:r>
    </w:p>
    <w:p>
      <w:pPr>
        <w:pStyle w:val="ListBullet"/>
        <w:spacing w:after="40"/>
      </w:pPr>
      <w:r>
        <w:rPr>
          <w:b/>
          <w:sz w:val="22"/>
        </w:rPr>
        <w:t>Todos:</w:t>
      </w:r>
      <w:r>
        <w:rPr>
          <w:sz w:val="22"/>
        </w:rPr>
        <w:t xml:space="preserve"> Programa de referral (10% comissão recorrente por 12 meses para quem indica clientes &gt; Growth).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7.3 Pricing psicológico e estruturação</w:t>
      </w:r>
    </w:p>
    <w:p>
      <w:pPr>
        <w:pStyle w:val="ListBullet"/>
        <w:spacing w:after="40"/>
      </w:pPr>
      <w:r>
        <w:rPr>
          <w:sz w:val="22"/>
        </w:rPr>
        <w:t>Preços quebrados (R$ 247, R$ 797, R$ 1.697) passam percepção de cálculo preciso, não arbitrário.</w:t>
      </w:r>
    </w:p>
    <w:p>
      <w:pPr>
        <w:pStyle w:val="ListBullet"/>
        <w:spacing w:after="40"/>
      </w:pPr>
      <w:r>
        <w:rPr>
          <w:sz w:val="22"/>
        </w:rPr>
        <w:t>Starter "anchora" o valor do Growth como o sweet spot (3,2x o Starter por 4x mais capacidade).</w:t>
      </w:r>
    </w:p>
    <w:p>
      <w:pPr>
        <w:pStyle w:val="ListBullet"/>
        <w:spacing w:after="40"/>
      </w:pPr>
      <w:r>
        <w:rPr>
          <w:sz w:val="22"/>
        </w:rPr>
        <w:t>Scale é o plano flagship — é onde o GTM concentra esforço e o churn é mais baixo (&gt;90% retenção anual típica).</w:t>
      </w:r>
    </w:p>
    <w:p>
      <w:pPr>
        <w:pStyle w:val="ListBullet"/>
        <w:spacing w:after="40"/>
      </w:pPr>
      <w:r>
        <w:rPr>
          <w:sz w:val="22"/>
        </w:rPr>
        <w:t>Business posiciona o "enterprise-lite": preços abaixo de Blip/Zenvia para deslocar mid-market.</w:t>
      </w:r>
    </w:p>
    <w:p>
      <w:pPr>
        <w:pStyle w:val="ListBullet"/>
        <w:spacing w:after="40"/>
      </w:pPr>
      <w:r>
        <w:rPr>
          <w:sz w:val="22"/>
        </w:rPr>
        <w:t>Enterprise nunca publicado — protege margem e permite negociação assimétrica.</w:t>
      </w:r>
    </w:p>
    <w:p>
      <w:pPr>
        <w:spacing w:before="280" w:after="80"/>
      </w:pPr>
      <w:r>
        <w:rPr>
          <w:b/>
          <w:i w:val="0"/>
          <w:color w:val="0A1F44"/>
          <w:sz w:val="30"/>
        </w:rPr>
        <w:t>7.4 Trilha de expansão (land &amp; expand)</w:t>
      </w:r>
    </w:p>
    <w:p>
      <w:pPr>
        <w:spacing w:before="0" w:after="80"/>
      </w:pPr>
      <w:r>
        <w:rPr>
          <w:b w:val="0"/>
          <w:i w:val="0"/>
          <w:sz w:val="22"/>
        </w:rPr>
        <w:t>Jornada-alvo dos clientes: Starter → Growth em ~6 meses (quando bate overage consistente), Growth → Scale em 12–18 meses (quando exige SSO/LGPD forte). A progressão é onde a LTV escala e a margem bruta acumulada cresce. Net revenue retention alvo: ≥115% anual.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8. Armadilhas a Evitar</w:t>
      </w:r>
    </w:p>
    <w:p>
      <w:pPr>
        <w:pStyle w:val="ListBullet"/>
        <w:spacing w:after="40"/>
      </w:pPr>
      <w:r>
        <w:rPr>
          <w:b/>
          <w:sz w:val="22"/>
        </w:rPr>
        <w:t>Cobrar por usuário no lugar de capacidade:</w:t>
      </w:r>
      <w:r>
        <w:rPr>
          <w:sz w:val="22"/>
        </w:rPr>
        <w:t xml:space="preserve"> Kommo faz isso e crava teto artificial de crescimento para clientes que querem colocar todo o time no produto. Modelo por capacidade (MAU + conversas) cresce com o negócio do cliente, não com o headcount.</w:t>
      </w:r>
    </w:p>
    <w:p>
      <w:pPr>
        <w:pStyle w:val="ListBullet"/>
        <w:spacing w:after="40"/>
      </w:pPr>
      <w:r>
        <w:rPr>
          <w:b/>
          <w:sz w:val="22"/>
        </w:rPr>
        <w:t>Incluir broadcast no preço do plano:</w:t>
      </w:r>
      <w:r>
        <w:rPr>
          <w:sz w:val="22"/>
        </w:rPr>
        <w:t xml:space="preserve"> Quem inclui broadcast cria incentivo perverso: cliente abusa de marketing no WhatsApp, conta da Meta explode, margem evapora. Manter pass-through separado é regra.</w:t>
      </w:r>
    </w:p>
    <w:p>
      <w:pPr>
        <w:pStyle w:val="ListBullet"/>
        <w:spacing w:after="40"/>
      </w:pPr>
      <w:r>
        <w:rPr>
          <w:b/>
          <w:sz w:val="22"/>
        </w:rPr>
        <w:t>Free tier aberto sem limite:</w:t>
      </w:r>
      <w:r>
        <w:rPr>
          <w:sz w:val="22"/>
        </w:rPr>
        <w:t xml:space="preserve"> Contas de teste viram clientes eternos no free. Alternativa: trial de 14 dias com acesso ao Growth e onboarding assistido.</w:t>
      </w:r>
    </w:p>
    <w:p>
      <w:pPr>
        <w:pStyle w:val="ListBullet"/>
        <w:spacing w:after="40"/>
      </w:pPr>
      <w:r>
        <w:rPr>
          <w:b/>
          <w:sz w:val="22"/>
        </w:rPr>
        <w:t>Subestimar custo de suporte no Scale/Business:</w:t>
      </w:r>
      <w:r>
        <w:rPr>
          <w:sz w:val="22"/>
        </w:rPr>
        <w:t xml:space="preserve"> O diferencial "observabilidade exposta" atrai cliente técnico que faz muitas perguntas. Precisa CSM com perfil técnico, não só comercial.</w:t>
      </w:r>
    </w:p>
    <w:p>
      <w:pPr>
        <w:pStyle w:val="ListBullet"/>
        <w:spacing w:after="40"/>
      </w:pPr>
      <w:r>
        <w:rPr>
          <w:b/>
          <w:sz w:val="22"/>
        </w:rPr>
        <w:t>Over-engineer a cobrança no lançamento:</w:t>
      </w:r>
      <w:r>
        <w:rPr>
          <w:sz w:val="22"/>
        </w:rPr>
        <w:t xml:space="preserve"> Billing por usage-based com prorateamento diário é complexo. Começar com cobrança mensal antecipada + reconciliação de overage no fim do ciclo. Stripe Metering funciona.</w:t>
      </w:r>
    </w:p>
    <w:p>
      <w:pPr>
        <w:pStyle w:val="ListBullet"/>
        <w:spacing w:after="40"/>
      </w:pPr>
      <w:r>
        <w:rPr>
          <w:b/>
          <w:sz w:val="22"/>
        </w:rPr>
        <w:t>Deixar o Enterprise sem piso:</w:t>
      </w:r>
      <w:r>
        <w:rPr>
          <w:sz w:val="22"/>
        </w:rPr>
        <w:t xml:space="preserve"> A partir de R$ 9.900/mês é o piso (R$ 118k ACV). Abaixo disso, o custo de CS dedicado corrói a margem. Qualquer cliente que não chega a esse piso vai para Business + add-ons.</w:t>
      </w:r>
    </w:p>
    <w:p>
      <w:pPr>
        <w:pStyle w:val="ListBullet"/>
        <w:spacing w:after="40"/>
      </w:pPr>
      <w:r>
        <w:rPr>
          <w:b/>
          <w:sz w:val="22"/>
        </w:rPr>
        <w:t>Não auditar custo de IA mensalmente:</w:t>
      </w:r>
      <w:r>
        <w:rPr>
          <w:sz w:val="22"/>
        </w:rPr>
        <w:t xml:space="preserve"> Um cliente pode usar 300% da IA incluída em casos de bot infinito (loops). Alerta automático em zappiq_llm_cost_usd_total &gt; 3x baseline por tenant é obrigatório.</w:t>
      </w:r>
    </w:p>
    <w:p>
      <w:pPr>
        <w:pStyle w:val="ListBullet"/>
        <w:spacing w:after="40"/>
      </w:pPr>
      <w:r>
        <w:rPr>
          <w:b/>
          <w:sz w:val="22"/>
        </w:rPr>
        <w:t>Expansion apenas reativo:</w:t>
      </w:r>
      <w:r>
        <w:rPr>
          <w:sz w:val="22"/>
        </w:rPr>
        <w:t xml:space="preserve"> Esperar o cliente pedir upgrade é deixar margem na mesa. Playbook de expansion proativo: quando uso &gt;85% do incluído por 2 meses, CSM inicia conversa de upgrade.</w:t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Ajustes de 90 dias pós-lançamento</w:t>
      </w:r>
    </w:p>
    <w:p>
      <w:pPr>
        <w:spacing w:before="0" w:after="120"/>
      </w:pPr>
      <w:r>
        <w:rPr>
          <w:b w:val="0"/>
          <w:i w:val="0"/>
          <w:sz w:val="22"/>
        </w:rPr>
        <w:t>Pricing é hipótese testável, não tábua da lei. Três métricas a monitorar obsessivamente nos primeiros 90 dias, com critério de ajuste definido a priori:</w:t>
      </w:r>
    </w:p>
    <w:p>
      <w:pPr>
        <w:pStyle w:val="ListBullet"/>
        <w:spacing w:after="40"/>
      </w:pPr>
      <w:r>
        <w:rPr>
          <w:b/>
          <w:sz w:val="22"/>
        </w:rPr>
        <w:t>Taxa de conversão trial → pago no Growth:</w:t>
      </w:r>
      <w:r>
        <w:rPr>
          <w:sz w:val="22"/>
        </w:rPr>
        <w:t xml:space="preserve"> Se &lt; 20% em 60 dias, preço muito alto ou proposta de valor confusa. Ação: reduzir para R$ 697 e/ou refinar narrativa de ICP.</w:t>
      </w:r>
    </w:p>
    <w:p>
      <w:pPr>
        <w:pStyle w:val="ListBullet"/>
        <w:spacing w:after="40"/>
      </w:pPr>
      <w:r>
        <w:rPr>
          <w:b/>
          <w:sz w:val="22"/>
        </w:rPr>
        <w:t>% de clientes que pagam overage de IA:</w:t>
      </w:r>
      <w:r>
        <w:rPr>
          <w:sz w:val="22"/>
        </w:rPr>
        <w:t xml:space="preserve"> Se &gt; 60% da base paga overage, o incluído está apertado → churn por frustração. Ação: subir conversas incluídas em 15–20% mantendo preço.</w:t>
      </w:r>
    </w:p>
    <w:p>
      <w:pPr>
        <w:pStyle w:val="ListBullet"/>
        <w:spacing w:after="40"/>
      </w:pPr>
      <w:r>
        <w:rPr>
          <w:b/>
          <w:sz w:val="22"/>
        </w:rPr>
        <w:t>CAC payback real vs. estimado:</w:t>
      </w:r>
      <w:r>
        <w:rPr>
          <w:sz w:val="22"/>
        </w:rPr>
        <w:t xml:space="preserve"> Se payback &gt; 9 meses no Scale, canal de aquisição está queimando dinheiro. Ação: cortar canais com CAC fora do envelope, concentrar em referral e orgânico.</w:t>
      </w:r>
    </w:p>
    <w:p>
      <w:pPr>
        <w:pStyle w:val="ListBullet"/>
        <w:spacing w:after="40"/>
      </w:pPr>
      <w:r>
        <w:rPr>
          <w:b/>
          <w:sz w:val="22"/>
        </w:rPr>
        <w:t>Margem bruta realizada vs. simulada:</w:t>
      </w:r>
      <w:r>
        <w:rPr>
          <w:sz w:val="22"/>
        </w:rPr>
        <w:t xml:space="preserve"> Se gross margin abaixo em mais de 8 pp, custo real de LLM/infra desviou. Ação: revisar roteamento Haiku/Sonnet, ativar cache RAG agressivo, renegociar com Anthropic volume discount.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A1F44"/>
          <w:sz w:val="40"/>
        </w:rPr>
        <w:t>9. Resumo Executivo em Uma Página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24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Plano</w:t>
            </w:r>
          </w:p>
        </w:tc>
        <w:tc>
          <w:tcPr>
            <w:tcW w:type="dxa" w:w="136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Preço/mês</w:t>
            </w:r>
          </w:p>
        </w:tc>
        <w:tc>
          <w:tcPr>
            <w:tcW w:type="dxa" w:w="1191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Conversas IA</w:t>
            </w:r>
          </w:p>
        </w:tc>
        <w:tc>
          <w:tcPr>
            <w:tcW w:type="dxa" w:w="1020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MAU</w:t>
            </w:r>
          </w:p>
        </w:tc>
        <w:tc>
          <w:tcPr>
            <w:tcW w:type="dxa" w:w="96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Usuários</w:t>
            </w:r>
          </w:p>
        </w:tc>
        <w:tc>
          <w:tcPr>
            <w:tcW w:type="dxa" w:w="2154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Dif. crítico</w:t>
            </w:r>
          </w:p>
        </w:tc>
        <w:tc>
          <w:tcPr>
            <w:tcW w:type="dxa" w:w="1587"/>
            <w:shd w:val="clear" w:color="auto" w:fill="F1F5F9"/>
          </w:tcPr>
          <w:p>
            <w:r/>
            <w:r>
              <w:rPr>
                <w:b/>
                <w:color w:val="0A1F44"/>
                <w:sz w:val="20"/>
              </w:rPr>
              <w:t>Margem bruta esperada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Starter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R$ 247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1.000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IA real (Haiku)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62%</w:t>
            </w:r>
          </w:p>
        </w:tc>
      </w:tr>
      <w:tr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Growth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R$ 797</w:t>
            </w:r>
          </w:p>
        </w:tc>
        <w:tc>
          <w:tcPr>
            <w:tcW w:type="dxa" w:w="1191"/>
            <w:shd w:val="clear" w:color="auto" w:fill="FAFBFC"/>
          </w:tcPr>
          <w:p>
            <w:r/>
            <w:r>
              <w:rPr>
                <w:sz w:val="20"/>
              </w:rPr>
              <w:t>2.000</w:t>
            </w:r>
          </w:p>
        </w:tc>
        <w:tc>
          <w:tcPr>
            <w:tcW w:type="dxa" w:w="1020"/>
            <w:shd w:val="clear" w:color="auto" w:fill="FAFBFC"/>
          </w:tcPr>
          <w:p>
            <w:r/>
            <w:r>
              <w:rPr>
                <w:sz w:val="20"/>
              </w:rPr>
              <w:t>3.500</w:t>
            </w:r>
          </w:p>
        </w:tc>
        <w:tc>
          <w:tcPr>
            <w:tcW w:type="dxa" w:w="964"/>
            <w:shd w:val="clear" w:color="auto" w:fill="FAFBFC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54"/>
            <w:shd w:val="clear" w:color="auto" w:fill="FAFBFC"/>
          </w:tcPr>
          <w:p>
            <w:r/>
            <w:r>
              <w:rPr>
                <w:sz w:val="20"/>
              </w:rPr>
              <w:t>Roteamento multi-modelo + API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63%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Scale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R$ 1.697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6.000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10.000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Observabilidade exposta + SSO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48%</w:t>
            </w:r>
          </w:p>
        </w:tc>
      </w:tr>
      <w:tr>
        <w:tc>
          <w:tcPr>
            <w:tcW w:type="dxa" w:w="1247"/>
            <w:shd w:val="clear" w:color="auto" w:fill="FAFBFC"/>
          </w:tcPr>
          <w:p>
            <w:r/>
            <w:r>
              <w:rPr>
                <w:sz w:val="20"/>
              </w:rPr>
              <w:t>Business</w:t>
            </w:r>
          </w:p>
        </w:tc>
        <w:tc>
          <w:tcPr>
            <w:tcW w:type="dxa" w:w="1361"/>
            <w:shd w:val="clear" w:color="auto" w:fill="FAFBFC"/>
          </w:tcPr>
          <w:p>
            <w:r/>
            <w:r>
              <w:rPr>
                <w:sz w:val="20"/>
              </w:rPr>
              <w:t>R$ 3.997</w:t>
            </w:r>
          </w:p>
        </w:tc>
        <w:tc>
          <w:tcPr>
            <w:tcW w:type="dxa" w:w="1191"/>
            <w:shd w:val="clear" w:color="auto" w:fill="FAFBFC"/>
          </w:tcPr>
          <w:p>
            <w:r/>
            <w:r>
              <w:rPr>
                <w:sz w:val="20"/>
              </w:rPr>
              <w:t>15.000</w:t>
            </w:r>
          </w:p>
        </w:tc>
        <w:tc>
          <w:tcPr>
            <w:tcW w:type="dxa" w:w="1020"/>
            <w:shd w:val="clear" w:color="auto" w:fill="FAFBFC"/>
          </w:tcPr>
          <w:p>
            <w:r/>
            <w:r>
              <w:rPr>
                <w:sz w:val="20"/>
              </w:rPr>
              <w:t>30.000</w:t>
            </w:r>
          </w:p>
        </w:tc>
        <w:tc>
          <w:tcPr>
            <w:tcW w:type="dxa" w:w="964"/>
            <w:shd w:val="clear" w:color="auto" w:fill="FAFBFC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54"/>
            <w:shd w:val="clear" w:color="auto" w:fill="FAFBFC"/>
          </w:tcPr>
          <w:p>
            <w:r/>
            <w:r>
              <w:rPr>
                <w:sz w:val="20"/>
              </w:rPr>
              <w:t>Audit completo + SLA 99,95%</w:t>
            </w:r>
          </w:p>
        </w:tc>
        <w:tc>
          <w:tcPr>
            <w:tcW w:type="dxa" w:w="1587"/>
            <w:shd w:val="clear" w:color="auto" w:fill="FAFBFC"/>
          </w:tcPr>
          <w:p>
            <w:r/>
            <w:r>
              <w:rPr>
                <w:sz w:val="20"/>
              </w:rPr>
              <w:t>44%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 partir R$ 9.900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Negociado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Negociado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Ilimitado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BYO-LLM + infra dedicada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55–65%</w:t>
            </w:r>
          </w:p>
        </w:tc>
      </w:tr>
    </w:tbl>
    <w:p>
      <w:pPr>
        <w:spacing w:before="240" w:after="80"/>
      </w:pPr>
      <w:r>
        <w:rPr>
          <w:b/>
          <w:i w:val="0"/>
          <w:color w:val="0A1F44"/>
          <w:sz w:val="24"/>
        </w:rPr>
        <w:t>Princípios inegociáveis:</w:t>
      </w:r>
    </w:p>
    <w:p>
      <w:pPr>
        <w:pStyle w:val="ListBullet"/>
        <w:spacing w:after="40"/>
      </w:pPr>
      <w:r>
        <w:rPr>
          <w:sz w:val="22"/>
        </w:rPr>
        <w:t>Custo de IA sempre transparente — cobrado, medido e exposto ao cliente quando for Scale+.</w:t>
      </w:r>
    </w:p>
    <w:p>
      <w:pPr>
        <w:pStyle w:val="ListBullet"/>
        <w:spacing w:after="40"/>
      </w:pPr>
      <w:r>
        <w:rPr>
          <w:sz w:val="22"/>
        </w:rPr>
        <w:t>Broadcast sempre pass-through com markup declarado, nunca oculto no plano.</w:t>
      </w:r>
    </w:p>
    <w:p>
      <w:pPr>
        <w:pStyle w:val="ListBullet"/>
        <w:spacing w:after="40"/>
      </w:pPr>
      <w:r>
        <w:rPr>
          <w:sz w:val="22"/>
        </w:rPr>
        <w:t>Enterprise tem piso mínimo R$ 9.900/mês; abaixo vai para Business.</w:t>
      </w:r>
    </w:p>
    <w:p>
      <w:pPr>
        <w:pStyle w:val="ListBullet"/>
        <w:spacing w:after="40"/>
      </w:pPr>
      <w:r>
        <w:rPr>
          <w:sz w:val="22"/>
        </w:rPr>
        <w:t>Referral: 10% por 12 meses. Vale mais que gastar em ads.</w:t>
      </w:r>
    </w:p>
    <w:p>
      <w:pPr>
        <w:pStyle w:val="ListBullet"/>
        <w:spacing w:after="40"/>
      </w:pPr>
      <w:r>
        <w:rPr>
          <w:sz w:val="22"/>
        </w:rPr>
        <w:t>Pricing revisto a cada 90 dias nos primeiros 12 meses; a cada 6 meses depois.</w:t>
      </w:r>
    </w:p>
    <w:p>
      <w:pPr>
        <w:spacing w:before="240" w:after="120"/>
      </w:pPr>
      <w:r>
        <w:rPr>
          <w:b w:val="0"/>
          <w:i/>
          <w:color w:val="555C66"/>
          <w:sz w:val="22"/>
        </w:rPr>
        <w:t>Este modelo foi desenhado para entregar contribuição líquida de 45–55% no steady state do Scale/Business — patamar que cria negócio altamente rentável e sustenta investimento contínuo em produto, governança e expansão comercial, mantendo preços 25–50% abaixo dos principais players enterprise no Brasil.</w:t>
      </w:r>
    </w:p>
    <w:p>
      <w:pPr>
        <w:spacing w:before="360" w:after="120"/>
        <w:jc w:val="center"/>
      </w:pPr>
      <w:r>
        <w:rPr>
          <w:b w:val="0"/>
          <w:i/>
          <w:color w:val="555C66"/>
          <w:sz w:val="20"/>
        </w:rPr>
        <w:t>— Fim do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