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75957" w14:textId="2DD03554" w:rsidR="00EB3AD8" w:rsidRDefault="00EB3AD8" w:rsidP="00A911CB">
      <w:pPr>
        <w:pStyle w:val="Header"/>
        <w:tabs>
          <w:tab w:val="clear" w:pos="4320"/>
          <w:tab w:val="clear" w:pos="8640"/>
        </w:tabs>
        <w:spacing w:after="0"/>
        <w:ind w:firstLine="0"/>
        <w:rPr>
          <w:bCs/>
        </w:rPr>
      </w:pPr>
      <w:r>
        <w:rPr>
          <w:bCs/>
        </w:rPr>
        <w:t>Ryan Harty</w:t>
      </w:r>
    </w:p>
    <w:p w14:paraId="279AA8D1" w14:textId="7CD17A11" w:rsidR="00EB3AD8" w:rsidRDefault="00EB3AD8" w:rsidP="00A911CB">
      <w:pPr>
        <w:pStyle w:val="Header"/>
        <w:tabs>
          <w:tab w:val="clear" w:pos="4320"/>
          <w:tab w:val="clear" w:pos="8640"/>
        </w:tabs>
        <w:spacing w:after="0"/>
        <w:ind w:firstLine="0"/>
        <w:rPr>
          <w:bCs/>
        </w:rPr>
      </w:pPr>
      <w:r>
        <w:rPr>
          <w:bCs/>
        </w:rPr>
        <w:t>Decision Analysis</w:t>
      </w:r>
    </w:p>
    <w:p w14:paraId="0B44C6A1" w14:textId="1C1C9904" w:rsidR="00EB3AD8" w:rsidRDefault="00EB3AD8" w:rsidP="00A911CB">
      <w:pPr>
        <w:pStyle w:val="Header"/>
        <w:tabs>
          <w:tab w:val="clear" w:pos="4320"/>
          <w:tab w:val="clear" w:pos="8640"/>
        </w:tabs>
        <w:spacing w:after="0"/>
        <w:ind w:firstLine="0"/>
        <w:rPr>
          <w:bCs/>
        </w:rPr>
      </w:pPr>
      <w:r>
        <w:rPr>
          <w:bCs/>
        </w:rPr>
        <w:t>Professor Dyer</w:t>
      </w:r>
    </w:p>
    <w:p w14:paraId="1026EC1F" w14:textId="10C49365" w:rsidR="00EB3AD8" w:rsidRPr="00EB3AD8" w:rsidRDefault="00EB3AD8" w:rsidP="00A911CB">
      <w:pPr>
        <w:pStyle w:val="Header"/>
        <w:tabs>
          <w:tab w:val="clear" w:pos="4320"/>
          <w:tab w:val="clear" w:pos="8640"/>
        </w:tabs>
        <w:spacing w:after="0"/>
        <w:ind w:firstLine="0"/>
        <w:rPr>
          <w:bCs/>
        </w:rPr>
      </w:pPr>
      <w:r>
        <w:rPr>
          <w:bCs/>
        </w:rPr>
        <w:t>10/28/19</w:t>
      </w:r>
    </w:p>
    <w:p w14:paraId="756E7C64" w14:textId="2AA70995" w:rsidR="00EB3AD8" w:rsidRPr="0048753D" w:rsidRDefault="00EB3AD8" w:rsidP="00AC6E48">
      <w:pPr>
        <w:pStyle w:val="Header"/>
        <w:tabs>
          <w:tab w:val="clear" w:pos="4320"/>
          <w:tab w:val="clear" w:pos="8640"/>
        </w:tabs>
        <w:spacing w:after="0" w:line="360" w:lineRule="auto"/>
        <w:jc w:val="center"/>
        <w:rPr>
          <w:b/>
        </w:rPr>
      </w:pPr>
      <w:r>
        <w:rPr>
          <w:b/>
        </w:rPr>
        <w:t>WELLS FARGO (A) ASSIGNMENT</w:t>
      </w:r>
    </w:p>
    <w:p w14:paraId="3168FC24" w14:textId="1B4CEE89" w:rsidR="00EB3AD8" w:rsidRDefault="00EB3AD8" w:rsidP="00AC6E48">
      <w:pPr>
        <w:spacing w:line="360" w:lineRule="auto"/>
        <w:ind w:firstLine="720"/>
        <w:rPr>
          <w:b/>
          <w:bCs/>
          <w:u w:val="single"/>
        </w:rPr>
      </w:pPr>
      <w:r>
        <w:rPr>
          <w:b/>
          <w:bCs/>
          <w:u w:val="single"/>
        </w:rPr>
        <w:t>Introduction</w:t>
      </w:r>
    </w:p>
    <w:p w14:paraId="2B95700F" w14:textId="1623E781" w:rsidR="00EB3AD8" w:rsidRDefault="00EB3AD8" w:rsidP="00AC6E48">
      <w:pPr>
        <w:spacing w:line="360" w:lineRule="auto"/>
      </w:pPr>
      <w:r>
        <w:tab/>
        <w:t>Solar is leading the way in</w:t>
      </w:r>
      <w:r w:rsidR="00A911CB">
        <w:t xml:space="preserve"> the pursuit of renewable</w:t>
      </w:r>
      <w:r>
        <w:t xml:space="preserve"> energy. </w:t>
      </w:r>
      <w:r w:rsidR="00F1521C">
        <w:t>A</w:t>
      </w:r>
      <w:r>
        <w:t xml:space="preserve">t Wells Fargo </w:t>
      </w:r>
      <w:r w:rsidR="00F1521C">
        <w:t>they</w:t>
      </w:r>
      <w:r>
        <w:t xml:space="preserve"> pride </w:t>
      </w:r>
      <w:r w:rsidR="00F1521C">
        <w:t>themselves</w:t>
      </w:r>
      <w:r>
        <w:t xml:space="preserve"> in fighting the battle against environmental issues. </w:t>
      </w:r>
      <w:r w:rsidR="00A911CB">
        <w:t>One way this is evident is that since</w:t>
      </w:r>
      <w:r>
        <w:t xml:space="preserve"> 2006 the company has invested a whopping $2.7 billion across 27 states to help aid in over 300 renewable energy projects. Not only has Wells Fargo provid</w:t>
      </w:r>
      <w:r w:rsidR="00A911CB">
        <w:t>ed</w:t>
      </w:r>
      <w:r>
        <w:t xml:space="preserve"> funding to </w:t>
      </w:r>
      <w:r w:rsidR="00A911CB">
        <w:t>companies</w:t>
      </w:r>
      <w:r>
        <w:t xml:space="preserve"> pursuing renewable energy, Wells Fargo has also done their part in exploring </w:t>
      </w:r>
      <w:r w:rsidR="00A911CB">
        <w:t>climate friendly</w:t>
      </w:r>
      <w:r>
        <w:t xml:space="preserve"> options. One such instance of th</w:t>
      </w:r>
      <w:r w:rsidR="00A911CB">
        <w:t>eir eco-friendly mindset</w:t>
      </w:r>
      <w:r>
        <w:t xml:space="preserve"> was the successful implementation of 10 solar panel systems in </w:t>
      </w:r>
      <w:r w:rsidR="00A911CB">
        <w:t xml:space="preserve">Wells Fargo </w:t>
      </w:r>
      <w:r>
        <w:t>Denver branches. The solar panels at those branches have suppl</w:t>
      </w:r>
      <w:r w:rsidR="00A911CB">
        <w:t>ied</w:t>
      </w:r>
      <w:r>
        <w:t xml:space="preserve"> roughly 20% of energy needs</w:t>
      </w:r>
      <w:r w:rsidR="00F1521C">
        <w:t>, which has significantly driven down costs</w:t>
      </w:r>
      <w:r>
        <w:t xml:space="preserve">. The success of Denver has inspired other branches </w:t>
      </w:r>
      <w:r w:rsidR="00F1521C">
        <w:t>at</w:t>
      </w:r>
      <w:r>
        <w:t xml:space="preserve"> Wells Fargo to pursue the completion of their own solar panels.</w:t>
      </w:r>
      <w:r w:rsidR="00803099">
        <w:t xml:space="preserve"> The further success of these projects is determined by several key aspects. </w:t>
      </w:r>
      <w:r w:rsidR="00F1521C">
        <w:t>One of these features include</w:t>
      </w:r>
      <w:r w:rsidR="00A911CB">
        <w:t>s</w:t>
      </w:r>
      <w:r w:rsidR="00F1521C">
        <w:t xml:space="preserve"> t</w:t>
      </w:r>
      <w:r w:rsidR="00803099">
        <w:t>he rebate rate of the project and what</w:t>
      </w:r>
      <w:r w:rsidR="00F1521C">
        <w:t xml:space="preserve"> future</w:t>
      </w:r>
      <w:r w:rsidR="00803099">
        <w:t xml:space="preserve"> changes in the rate will</w:t>
      </w:r>
      <w:r w:rsidR="00F1521C">
        <w:t xml:space="preserve"> be</w:t>
      </w:r>
      <w:r w:rsidR="00803099">
        <w:t xml:space="preserve">. Another </w:t>
      </w:r>
      <w:r w:rsidR="00F1521C">
        <w:t>element</w:t>
      </w:r>
      <w:r w:rsidR="00803099">
        <w:t xml:space="preserve"> is the price of electricity purchased from the grid. </w:t>
      </w:r>
      <w:r w:rsidR="00F1521C">
        <w:t>Yet a</w:t>
      </w:r>
      <w:r w:rsidR="00803099">
        <w:t xml:space="preserve">nother important aspect of the project is the annual degradation of the systems. How the system performs, based on kilowatts, is also important to explore. Finally, tax credit and how a reduction in that credit would affect the operation will be important to delve into. </w:t>
      </w:r>
      <w:r w:rsidR="00A911CB">
        <w:t>The</w:t>
      </w:r>
      <w:r w:rsidR="00803099">
        <w:t xml:space="preserve"> analysis will be looking at how these key features affect the 30-year NPV of the project.</w:t>
      </w:r>
    </w:p>
    <w:p w14:paraId="24E5BECA" w14:textId="372A9F32" w:rsidR="00803099" w:rsidRDefault="00803099" w:rsidP="00AC6E48">
      <w:pPr>
        <w:spacing w:line="360" w:lineRule="auto"/>
        <w:ind w:firstLine="720"/>
        <w:rPr>
          <w:b/>
          <w:bCs/>
        </w:rPr>
      </w:pPr>
      <w:r>
        <w:rPr>
          <w:b/>
          <w:bCs/>
        </w:rPr>
        <w:t>SIP Rebate</w:t>
      </w:r>
    </w:p>
    <w:p w14:paraId="792A1ED2" w14:textId="66E0067E" w:rsidR="00803099" w:rsidRDefault="00803099" w:rsidP="00AC6E48">
      <w:pPr>
        <w:spacing w:line="360" w:lineRule="auto"/>
        <w:ind w:firstLine="720"/>
      </w:pPr>
      <w:r>
        <w:t>The L</w:t>
      </w:r>
      <w:r w:rsidR="00A71A08">
        <w:t>os Angeles Department of Water and Power (LADWP) currently provides a rebate rate of 1.95% for the investment in solar energy. This initiative is known as the Solar Incentive Program</w:t>
      </w:r>
      <w:r w:rsidR="00A911CB">
        <w:t xml:space="preserve"> (SIP)</w:t>
      </w:r>
      <w:r w:rsidR="00A71A08">
        <w:t xml:space="preserve"> and its goal is to support the instillation of 280 megawatts of solar panels in the Los Angeles area. While the program is currently providing a rebate, they have only committed to distributing $313 million in rebates. </w:t>
      </w:r>
      <w:r w:rsidR="00E9042E">
        <w:t>So,</w:t>
      </w:r>
      <w:r w:rsidR="00A71A08">
        <w:t xml:space="preserve"> it is reasonably to see how a decrease in rebates will affect </w:t>
      </w:r>
      <w:r w:rsidR="00A911CB">
        <w:t>the</w:t>
      </w:r>
      <w:r w:rsidR="00A71A08">
        <w:t xml:space="preserve"> NPV of the project. By looking at changes in SIP rebate in increments of .2</w:t>
      </w:r>
      <w:r w:rsidR="00A911CB">
        <w:t xml:space="preserve"> starting at 1.95 and going</w:t>
      </w:r>
      <w:r w:rsidR="00A71A08">
        <w:t xml:space="preserve"> down to 0, it was determined that the project will still have a positive NPV without any rebates. </w:t>
      </w:r>
      <w:r w:rsidR="00A71A08">
        <w:t>Each .2 decrease in SIP reduce</w:t>
      </w:r>
      <w:r w:rsidR="00A911CB">
        <w:t>d</w:t>
      </w:r>
      <w:r w:rsidR="00A71A08">
        <w:t xml:space="preserve"> the NPV by about $1,400, which would not be enough to turn </w:t>
      </w:r>
      <w:r w:rsidR="00A911CB">
        <w:t>the</w:t>
      </w:r>
      <w:r w:rsidR="00A71A08">
        <w:t xml:space="preserve"> project into a losing </w:t>
      </w:r>
      <w:r w:rsidR="00E9042E">
        <w:t>investment</w:t>
      </w:r>
      <w:r w:rsidR="00F1521C">
        <w:t xml:space="preserve"> (Table A).</w:t>
      </w:r>
    </w:p>
    <w:p w14:paraId="2CA51B88" w14:textId="60196B2F" w:rsidR="00803099" w:rsidRPr="00803099" w:rsidRDefault="00803099" w:rsidP="00AC6E48">
      <w:pPr>
        <w:spacing w:line="360" w:lineRule="auto"/>
        <w:ind w:firstLine="720"/>
        <w:rPr>
          <w:b/>
          <w:bCs/>
        </w:rPr>
      </w:pPr>
      <w:r>
        <w:rPr>
          <w:b/>
          <w:bCs/>
        </w:rPr>
        <w:t xml:space="preserve">Annual Degradation </w:t>
      </w:r>
    </w:p>
    <w:p w14:paraId="5AED7604" w14:textId="04C2B309" w:rsidR="00803099" w:rsidRDefault="00A71A08" w:rsidP="00AC6E48">
      <w:pPr>
        <w:spacing w:line="360" w:lineRule="auto"/>
        <w:ind w:firstLine="720"/>
      </w:pPr>
      <w:r>
        <w:lastRenderedPageBreak/>
        <w:t>Photovoltaic solar panels have a 20-year warranty claiming that they will produce 80% of the rated power after that stretch of time. Even though 80% is still a relatively good percentage, especially after a 20-year period, it is important to look at how a change of annual degradation would affect the NPV of our project.</w:t>
      </w:r>
      <w:r w:rsidR="003643F3">
        <w:t xml:space="preserve"> It was found that by increasing annual degradation in .05% increments</w:t>
      </w:r>
      <w:r w:rsidR="00A911CB">
        <w:t xml:space="preserve"> from .5% to 1%</w:t>
      </w:r>
      <w:r w:rsidR="003643F3">
        <w:t xml:space="preserve"> would result in the reduction of NPV by roughly $400</w:t>
      </w:r>
      <w:r w:rsidR="00A911CB">
        <w:t xml:space="preserve"> per .05% increment</w:t>
      </w:r>
      <w:r w:rsidR="00F1521C">
        <w:t xml:space="preserve"> (Table B).</w:t>
      </w:r>
    </w:p>
    <w:p w14:paraId="30999629" w14:textId="4A31E136" w:rsidR="00803099" w:rsidRDefault="00803099" w:rsidP="00AC6E48">
      <w:pPr>
        <w:spacing w:line="360" w:lineRule="auto"/>
        <w:ind w:firstLine="720"/>
        <w:rPr>
          <w:b/>
          <w:bCs/>
        </w:rPr>
      </w:pPr>
      <w:r>
        <w:rPr>
          <w:b/>
          <w:bCs/>
        </w:rPr>
        <w:t>System Rating</w:t>
      </w:r>
    </w:p>
    <w:p w14:paraId="7699A71C" w14:textId="5F080F98" w:rsidR="00803099" w:rsidRPr="003643F3" w:rsidRDefault="003643F3" w:rsidP="00AC6E48">
      <w:pPr>
        <w:spacing w:line="360" w:lineRule="auto"/>
        <w:ind w:firstLine="720"/>
      </w:pPr>
      <w:r>
        <w:t xml:space="preserve">The system rating of a solar panel unit is how many watts of energy it produces. This </w:t>
      </w:r>
      <w:r w:rsidR="00E9042E">
        <w:t>change in production is like the rate of</w:t>
      </w:r>
      <w:r>
        <w:t xml:space="preserve"> degradation </w:t>
      </w:r>
      <w:r w:rsidR="00E9042E">
        <w:t xml:space="preserve">that </w:t>
      </w:r>
      <w:r>
        <w:t xml:space="preserve">solar panels </w:t>
      </w:r>
      <w:r w:rsidR="00E9042E">
        <w:t>incur</w:t>
      </w:r>
      <w:r w:rsidR="00A911CB">
        <w:t xml:space="preserve"> in the sense that it could vary depending on the quality of the unit and its age</w:t>
      </w:r>
      <w:r>
        <w:t xml:space="preserve">. A </w:t>
      </w:r>
      <w:r w:rsidR="00A911CB">
        <w:t xml:space="preserve">starting </w:t>
      </w:r>
      <w:r>
        <w:t>rating</w:t>
      </w:r>
      <w:r w:rsidR="00A911CB">
        <w:t xml:space="preserve"> of</w:t>
      </w:r>
      <w:r>
        <w:t xml:space="preserve"> between 12000 and 13000 watts was explored to see how that would affect the NPV. There was a total variation of the NPV by about $1,100</w:t>
      </w:r>
      <w:r w:rsidR="00F1521C">
        <w:t xml:space="preserve"> </w:t>
      </w:r>
      <w:r w:rsidR="00F1521C">
        <w:t xml:space="preserve">(Table </w:t>
      </w:r>
      <w:r w:rsidR="00F1521C">
        <w:t>C).</w:t>
      </w:r>
    </w:p>
    <w:p w14:paraId="25A15E74" w14:textId="16E37278" w:rsidR="00803099" w:rsidRDefault="00803099" w:rsidP="00AC6E48">
      <w:pPr>
        <w:spacing w:line="360" w:lineRule="auto"/>
        <w:ind w:firstLine="720"/>
        <w:rPr>
          <w:b/>
          <w:bCs/>
        </w:rPr>
      </w:pPr>
      <w:r>
        <w:rPr>
          <w:b/>
          <w:bCs/>
        </w:rPr>
        <w:t>Federal Tax Credit</w:t>
      </w:r>
    </w:p>
    <w:p w14:paraId="2EAB1C25" w14:textId="534B1555" w:rsidR="00803099" w:rsidRPr="003643F3" w:rsidRDefault="003643F3" w:rsidP="00AC6E48">
      <w:pPr>
        <w:spacing w:line="360" w:lineRule="auto"/>
        <w:ind w:firstLine="720"/>
      </w:pPr>
      <w:r>
        <w:t xml:space="preserve">Currently, the federal tax credit for the installation of </w:t>
      </w:r>
      <w:r w:rsidR="00AC6E48">
        <w:t xml:space="preserve">a solar system is 30%. If Wells Fargo were to wait until 2020, they would see a reduction in the credit to 26%. By 2021 the credit will be 22% and by 2022 and onwards the credit will be 10%. By examining these </w:t>
      </w:r>
      <w:r w:rsidR="00E9042E">
        <w:t>numbers,</w:t>
      </w:r>
      <w:r w:rsidR="00AC6E48">
        <w:t xml:space="preserve"> we can see how investing in the project now versus later will affect the NPV. If Wells Fargo waits until 2022 to implement the </w:t>
      </w:r>
      <w:r w:rsidR="00E9042E">
        <w:t>project,</w:t>
      </w:r>
      <w:r w:rsidR="00AC6E48">
        <w:t xml:space="preserve"> they will see a reduction in NPV of $12,000 due to the reduction in the tax credit</w:t>
      </w:r>
      <w:r w:rsidR="00F1521C">
        <w:t xml:space="preserve"> </w:t>
      </w:r>
      <w:r w:rsidR="00F1521C">
        <w:t xml:space="preserve">(Table </w:t>
      </w:r>
      <w:r w:rsidR="00F1521C">
        <w:t>D</w:t>
      </w:r>
      <w:r w:rsidR="00F1521C">
        <w:t>).</w:t>
      </w:r>
    </w:p>
    <w:p w14:paraId="03627B87" w14:textId="3D827590" w:rsidR="00803099" w:rsidRDefault="00803099" w:rsidP="00AC6E48">
      <w:pPr>
        <w:spacing w:line="360" w:lineRule="auto"/>
        <w:ind w:firstLine="720"/>
        <w:rPr>
          <w:b/>
          <w:bCs/>
        </w:rPr>
      </w:pPr>
      <w:r>
        <w:rPr>
          <w:b/>
          <w:bCs/>
        </w:rPr>
        <w:t>Electricity Costs</w:t>
      </w:r>
    </w:p>
    <w:p w14:paraId="22135F51" w14:textId="74E82F60" w:rsidR="00803099" w:rsidRDefault="00AC6E48" w:rsidP="00AC6E48">
      <w:pPr>
        <w:spacing w:line="360" w:lineRule="auto"/>
        <w:ind w:firstLine="720"/>
      </w:pPr>
      <w:r>
        <w:t>Electricity costs grow at about 3% annual</w:t>
      </w:r>
      <w:r w:rsidR="00A911CB">
        <w:t>ly</w:t>
      </w:r>
      <w:r>
        <w:t xml:space="preserve">. But if costs were to suddenly increase for unforeseen circumstances, this would change the NPV </w:t>
      </w:r>
      <w:r w:rsidR="00A911CB">
        <w:t>positively</w:t>
      </w:r>
      <w:bookmarkStart w:id="0" w:name="_GoBack"/>
      <w:bookmarkEnd w:id="0"/>
      <w:r>
        <w:t xml:space="preserve">. An increase </w:t>
      </w:r>
      <w:r w:rsidR="001617F5">
        <w:t>from $.17 per kWh to $.18</w:t>
      </w:r>
      <w:r>
        <w:t xml:space="preserve"> </w:t>
      </w:r>
      <w:r w:rsidR="001617F5">
        <w:t>per kWh would increase the NPV by roughly $3,500</w:t>
      </w:r>
      <w:r w:rsidR="00F1521C">
        <w:t xml:space="preserve"> </w:t>
      </w:r>
      <w:r w:rsidR="00F1521C">
        <w:t xml:space="preserve">(Table </w:t>
      </w:r>
      <w:r w:rsidR="00F1521C">
        <w:t>E</w:t>
      </w:r>
      <w:r w:rsidR="00F1521C">
        <w:t>).</w:t>
      </w:r>
      <w:r w:rsidR="001617F5">
        <w:t xml:space="preserve"> This increase in the price would have such significant gains that even if SIP rebate were to fall drastically, or we saw a decrease in our systems rating, the NPV would still </w:t>
      </w:r>
      <w:r w:rsidR="00E9042E">
        <w:t xml:space="preserve">be </w:t>
      </w:r>
      <w:r w:rsidR="001617F5">
        <w:t>higher than the NPV starting at $.17</w:t>
      </w:r>
      <w:r w:rsidR="00F1521C">
        <w:t xml:space="preserve"> </w:t>
      </w:r>
      <w:r w:rsidR="00F1521C">
        <w:t xml:space="preserve">(Table </w:t>
      </w:r>
      <w:r w:rsidR="00F1521C">
        <w:t>F and G</w:t>
      </w:r>
      <w:r w:rsidR="00F1521C">
        <w:t>).</w:t>
      </w:r>
    </w:p>
    <w:p w14:paraId="2C782944" w14:textId="4DF2F455" w:rsidR="001617F5" w:rsidRDefault="00F1521C" w:rsidP="00AC6E48">
      <w:pPr>
        <w:spacing w:line="360" w:lineRule="auto"/>
        <w:ind w:firstLine="720"/>
        <w:rPr>
          <w:b/>
          <w:bCs/>
        </w:rPr>
      </w:pPr>
      <w:r>
        <w:rPr>
          <w:b/>
          <w:bCs/>
        </w:rPr>
        <w:t xml:space="preserve">Conclusion </w:t>
      </w:r>
    </w:p>
    <w:p w14:paraId="7C9430F9" w14:textId="2066C8A0" w:rsidR="00F1521C" w:rsidRPr="00F1521C" w:rsidRDefault="00F1521C" w:rsidP="00AC6E48">
      <w:pPr>
        <w:spacing w:line="360" w:lineRule="auto"/>
        <w:ind w:firstLine="720"/>
      </w:pPr>
      <w:r>
        <w:t xml:space="preserve">Based </w:t>
      </w:r>
      <w:r w:rsidR="00E9042E">
        <w:t>off</w:t>
      </w:r>
      <w:r>
        <w:t xml:space="preserve"> the analysis, the project will incur a positive NPV. </w:t>
      </w:r>
      <w:r w:rsidR="00E9042E">
        <w:t xml:space="preserve">Based off this assessment alone it would seem that the project is worth investing in. It would show that Wells Fargo is truly invested in fighting climate change and it would generate profit for the company, both positive attributes that point towards implementing the project. </w:t>
      </w:r>
    </w:p>
    <w:p w14:paraId="1C0CA021" w14:textId="3D4830E7" w:rsidR="00F1521C" w:rsidRPr="00E9042E" w:rsidRDefault="00E9042E" w:rsidP="00E9042E">
      <w:pPr>
        <w:spacing w:line="360" w:lineRule="auto"/>
        <w:jc w:val="center"/>
        <w:rPr>
          <w:b/>
          <w:bCs/>
          <w:u w:val="single"/>
        </w:rPr>
      </w:pPr>
      <w:r w:rsidRPr="00E9042E">
        <w:rPr>
          <w:b/>
          <w:bCs/>
          <w:u w:val="single"/>
        </w:rPr>
        <w:lastRenderedPageBreak/>
        <w:t>Appendix</w:t>
      </w:r>
    </w:p>
    <w:p w14:paraId="7ECA5888" w14:textId="085E1307" w:rsidR="001617F5" w:rsidRDefault="001617F5" w:rsidP="00AC6E48">
      <w:pPr>
        <w:spacing w:line="360" w:lineRule="auto"/>
        <w:ind w:firstLine="720"/>
      </w:pPr>
      <w:r>
        <w:t>Table A. NPV and SIP</w:t>
      </w:r>
    </w:p>
    <w:p w14:paraId="4E2BC2A5" w14:textId="7F372D9F" w:rsidR="001617F5" w:rsidRDefault="001617F5" w:rsidP="00AC6E48">
      <w:pPr>
        <w:spacing w:line="360" w:lineRule="auto"/>
        <w:ind w:firstLine="720"/>
      </w:pPr>
      <w:r>
        <w:rPr>
          <w:noProof/>
        </w:rPr>
        <w:drawing>
          <wp:inline distT="0" distB="0" distL="0" distR="0" wp14:anchorId="748EAA28" wp14:editId="07C6C78E">
            <wp:extent cx="4521200" cy="2743200"/>
            <wp:effectExtent l="0" t="0" r="12700" b="0"/>
            <wp:docPr id="1" name="Chart 1">
              <a:extLst xmlns:a="http://schemas.openxmlformats.org/drawingml/2006/main">
                <a:ext uri="{FF2B5EF4-FFF2-40B4-BE49-F238E27FC236}">
                  <a16:creationId xmlns:a16="http://schemas.microsoft.com/office/drawing/2014/main" id="{D49E9BAA-0950-4377-A3B7-433B9A01AC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2DE1E82" w14:textId="28F71FD7" w:rsidR="001617F5" w:rsidRDefault="001617F5" w:rsidP="00AC6E48">
      <w:pPr>
        <w:spacing w:line="360" w:lineRule="auto"/>
        <w:ind w:firstLine="720"/>
      </w:pPr>
    </w:p>
    <w:p w14:paraId="2B8D33FA" w14:textId="30288167" w:rsidR="001617F5" w:rsidRDefault="001617F5" w:rsidP="001617F5">
      <w:pPr>
        <w:spacing w:line="360" w:lineRule="auto"/>
        <w:ind w:firstLine="720"/>
      </w:pPr>
      <w:r>
        <w:t xml:space="preserve">Table </w:t>
      </w:r>
      <w:r>
        <w:t>B</w:t>
      </w:r>
      <w:r>
        <w:t xml:space="preserve">. NPV and </w:t>
      </w:r>
      <w:r>
        <w:t xml:space="preserve">Annual Degradation </w:t>
      </w:r>
    </w:p>
    <w:p w14:paraId="710AE8FD" w14:textId="2E99DA8E" w:rsidR="001617F5" w:rsidRPr="00AC6E48" w:rsidRDefault="001617F5" w:rsidP="00AC6E48">
      <w:pPr>
        <w:spacing w:line="360" w:lineRule="auto"/>
        <w:ind w:firstLine="720"/>
      </w:pPr>
      <w:r>
        <w:rPr>
          <w:noProof/>
        </w:rPr>
        <w:drawing>
          <wp:inline distT="0" distB="0" distL="0" distR="0" wp14:anchorId="5F62566C" wp14:editId="4C415775">
            <wp:extent cx="4552950" cy="3016250"/>
            <wp:effectExtent l="0" t="0" r="0" b="12700"/>
            <wp:docPr id="2" name="Chart 2">
              <a:extLst xmlns:a="http://schemas.openxmlformats.org/drawingml/2006/main">
                <a:ext uri="{FF2B5EF4-FFF2-40B4-BE49-F238E27FC236}">
                  <a16:creationId xmlns:a16="http://schemas.microsoft.com/office/drawing/2014/main" id="{7DC065D2-03C3-451B-A216-F59179B89C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6CCB0FE" w14:textId="1CF92117" w:rsidR="00803099" w:rsidRDefault="00803099" w:rsidP="00AC6E48">
      <w:pPr>
        <w:spacing w:line="360" w:lineRule="auto"/>
        <w:ind w:firstLine="720"/>
        <w:rPr>
          <w:b/>
          <w:bCs/>
        </w:rPr>
      </w:pPr>
    </w:p>
    <w:p w14:paraId="1C772C93" w14:textId="22F5C63E" w:rsidR="001617F5" w:rsidRDefault="001617F5" w:rsidP="00AC6E48">
      <w:pPr>
        <w:spacing w:line="360" w:lineRule="auto"/>
        <w:ind w:firstLine="720"/>
        <w:rPr>
          <w:b/>
          <w:bCs/>
        </w:rPr>
      </w:pPr>
    </w:p>
    <w:p w14:paraId="49C2ECE6" w14:textId="56070C1E" w:rsidR="001617F5" w:rsidRDefault="001617F5" w:rsidP="00AC6E48">
      <w:pPr>
        <w:spacing w:line="360" w:lineRule="auto"/>
        <w:ind w:firstLine="720"/>
        <w:rPr>
          <w:b/>
          <w:bCs/>
        </w:rPr>
      </w:pPr>
    </w:p>
    <w:p w14:paraId="6768CF8F" w14:textId="2BEE13B6" w:rsidR="001617F5" w:rsidRPr="001617F5" w:rsidRDefault="001617F5" w:rsidP="001617F5">
      <w:pPr>
        <w:spacing w:line="360" w:lineRule="auto"/>
      </w:pPr>
      <w:r>
        <w:t>Table C. NPV and System Rating</w:t>
      </w:r>
    </w:p>
    <w:p w14:paraId="7167C386" w14:textId="222B1CE0" w:rsidR="00EB3AD8" w:rsidRDefault="001617F5" w:rsidP="00AC6E48">
      <w:pPr>
        <w:spacing w:line="360" w:lineRule="auto"/>
      </w:pPr>
      <w:r>
        <w:rPr>
          <w:noProof/>
        </w:rPr>
        <w:drawing>
          <wp:inline distT="0" distB="0" distL="0" distR="0" wp14:anchorId="0E7553FF" wp14:editId="46242438">
            <wp:extent cx="4575175" cy="2740025"/>
            <wp:effectExtent l="0" t="0" r="15875" b="3175"/>
            <wp:docPr id="3" name="Chart 3">
              <a:extLst xmlns:a="http://schemas.openxmlformats.org/drawingml/2006/main">
                <a:ext uri="{FF2B5EF4-FFF2-40B4-BE49-F238E27FC236}">
                  <a16:creationId xmlns:a16="http://schemas.microsoft.com/office/drawing/2014/main" id="{F9B43ABE-C98D-49FA-843B-1091C4B4E3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AFF7977" w14:textId="6776E8D6" w:rsidR="001617F5" w:rsidRDefault="001617F5" w:rsidP="00AC6E48">
      <w:pPr>
        <w:spacing w:line="360" w:lineRule="auto"/>
      </w:pPr>
    </w:p>
    <w:p w14:paraId="57CF362A" w14:textId="5E9E604A" w:rsidR="001617F5" w:rsidRDefault="001617F5" w:rsidP="00AC6E48">
      <w:pPr>
        <w:spacing w:line="360" w:lineRule="auto"/>
      </w:pPr>
      <w:r>
        <w:t>Table D. NPV and Tax Credit</w:t>
      </w:r>
    </w:p>
    <w:p w14:paraId="6CFCAB89" w14:textId="30F255B9" w:rsidR="001617F5" w:rsidRDefault="001617F5" w:rsidP="00AC6E48">
      <w:pPr>
        <w:spacing w:line="360" w:lineRule="auto"/>
      </w:pPr>
      <w:r>
        <w:rPr>
          <w:noProof/>
        </w:rPr>
        <w:drawing>
          <wp:inline distT="0" distB="0" distL="0" distR="0" wp14:anchorId="6AC598ED" wp14:editId="3988BA5A">
            <wp:extent cx="4575175" cy="2740025"/>
            <wp:effectExtent l="0" t="0" r="15875" b="3175"/>
            <wp:docPr id="4" name="Chart 4">
              <a:extLst xmlns:a="http://schemas.openxmlformats.org/drawingml/2006/main">
                <a:ext uri="{FF2B5EF4-FFF2-40B4-BE49-F238E27FC236}">
                  <a16:creationId xmlns:a16="http://schemas.microsoft.com/office/drawing/2014/main" id="{A22A2EAE-9DEC-4426-9390-0E1878A06E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BCF752B" w14:textId="174F7F08" w:rsidR="001617F5" w:rsidRDefault="001617F5" w:rsidP="00AC6E48">
      <w:pPr>
        <w:spacing w:line="360" w:lineRule="auto"/>
      </w:pPr>
    </w:p>
    <w:p w14:paraId="5FC91FB6" w14:textId="7CE0E1A7" w:rsidR="001617F5" w:rsidRDefault="001617F5" w:rsidP="00AC6E48">
      <w:pPr>
        <w:spacing w:line="360" w:lineRule="auto"/>
      </w:pPr>
    </w:p>
    <w:p w14:paraId="5A3DBDA6" w14:textId="0DA17E6C" w:rsidR="001617F5" w:rsidRDefault="001617F5" w:rsidP="00AC6E48">
      <w:pPr>
        <w:spacing w:line="360" w:lineRule="auto"/>
      </w:pPr>
    </w:p>
    <w:p w14:paraId="077BA50B" w14:textId="580C6F4C" w:rsidR="001617F5" w:rsidRDefault="001617F5" w:rsidP="00AC6E48">
      <w:pPr>
        <w:spacing w:line="360" w:lineRule="auto"/>
      </w:pPr>
    </w:p>
    <w:p w14:paraId="70169FBB" w14:textId="0C0BAD94" w:rsidR="00F1521C" w:rsidRDefault="00F1521C" w:rsidP="00AC6E48">
      <w:pPr>
        <w:spacing w:line="360" w:lineRule="auto"/>
      </w:pPr>
      <w:r>
        <w:t>Table E. NPV and Electricity Price</w:t>
      </w:r>
    </w:p>
    <w:p w14:paraId="3EAF883D" w14:textId="39C8AAAE" w:rsidR="001617F5" w:rsidRDefault="001617F5" w:rsidP="00AC6E48">
      <w:pPr>
        <w:spacing w:line="360" w:lineRule="auto"/>
      </w:pPr>
      <w:r>
        <w:rPr>
          <w:noProof/>
        </w:rPr>
        <w:drawing>
          <wp:inline distT="0" distB="0" distL="0" distR="0" wp14:anchorId="169F5467" wp14:editId="4DBC9E29">
            <wp:extent cx="4575175" cy="2740025"/>
            <wp:effectExtent l="0" t="0" r="15875" b="3175"/>
            <wp:docPr id="5" name="Chart 5">
              <a:extLst xmlns:a="http://schemas.openxmlformats.org/drawingml/2006/main">
                <a:ext uri="{FF2B5EF4-FFF2-40B4-BE49-F238E27FC236}">
                  <a16:creationId xmlns:a16="http://schemas.microsoft.com/office/drawing/2014/main" id="{28646759-FBD5-45E3-B199-C1017045AA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48B74A" w14:textId="1555FDE7" w:rsidR="001617F5" w:rsidRDefault="001617F5" w:rsidP="00AC6E48">
      <w:pPr>
        <w:spacing w:line="360" w:lineRule="auto"/>
      </w:pPr>
    </w:p>
    <w:p w14:paraId="1EFA4FC0" w14:textId="43F4E339" w:rsidR="001617F5" w:rsidRDefault="00F1521C" w:rsidP="00AC6E48">
      <w:pPr>
        <w:spacing w:line="360" w:lineRule="auto"/>
      </w:pPr>
      <w:r>
        <w:t>Table F. Rebate and Price</w:t>
      </w:r>
    </w:p>
    <w:p w14:paraId="3427DA04" w14:textId="671EB75A" w:rsidR="001617F5" w:rsidRDefault="001617F5" w:rsidP="00AC6E48">
      <w:pPr>
        <w:spacing w:line="360" w:lineRule="auto"/>
      </w:pPr>
      <w:r w:rsidRPr="001617F5">
        <w:drawing>
          <wp:inline distT="0" distB="0" distL="0" distR="0" wp14:anchorId="1B7B7D78" wp14:editId="10494D14">
            <wp:extent cx="5943600" cy="1276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76985"/>
                    </a:xfrm>
                    <a:prstGeom prst="rect">
                      <a:avLst/>
                    </a:prstGeom>
                    <a:noFill/>
                    <a:ln>
                      <a:noFill/>
                    </a:ln>
                  </pic:spPr>
                </pic:pic>
              </a:graphicData>
            </a:graphic>
          </wp:inline>
        </w:drawing>
      </w:r>
    </w:p>
    <w:p w14:paraId="206CF5A7" w14:textId="24BDD9F9" w:rsidR="001617F5" w:rsidRDefault="001617F5" w:rsidP="00AC6E48">
      <w:pPr>
        <w:spacing w:line="360" w:lineRule="auto"/>
      </w:pPr>
    </w:p>
    <w:p w14:paraId="225FFE40" w14:textId="654F987E" w:rsidR="00F1521C" w:rsidRDefault="00F1521C" w:rsidP="00AC6E48">
      <w:pPr>
        <w:spacing w:line="360" w:lineRule="auto"/>
      </w:pPr>
      <w:r>
        <w:t>Table G. System Rating and Price</w:t>
      </w:r>
    </w:p>
    <w:p w14:paraId="50A285BE" w14:textId="053AD2E4" w:rsidR="001617F5" w:rsidRPr="00EB3AD8" w:rsidRDefault="001617F5" w:rsidP="00AC6E48">
      <w:pPr>
        <w:spacing w:line="360" w:lineRule="auto"/>
      </w:pPr>
      <w:r w:rsidRPr="001617F5">
        <w:drawing>
          <wp:inline distT="0" distB="0" distL="0" distR="0" wp14:anchorId="2F55C0AA" wp14:editId="616BEAF8">
            <wp:extent cx="5943600" cy="16332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33220"/>
                    </a:xfrm>
                    <a:prstGeom prst="rect">
                      <a:avLst/>
                    </a:prstGeom>
                    <a:noFill/>
                    <a:ln>
                      <a:noFill/>
                    </a:ln>
                  </pic:spPr>
                </pic:pic>
              </a:graphicData>
            </a:graphic>
          </wp:inline>
        </w:drawing>
      </w:r>
    </w:p>
    <w:sectPr w:rsidR="001617F5" w:rsidRPr="00EB3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AD8"/>
    <w:rsid w:val="001617F5"/>
    <w:rsid w:val="003643F3"/>
    <w:rsid w:val="007A3A4F"/>
    <w:rsid w:val="00803099"/>
    <w:rsid w:val="00A71A08"/>
    <w:rsid w:val="00A911CB"/>
    <w:rsid w:val="00AC6E48"/>
    <w:rsid w:val="00CE4D64"/>
    <w:rsid w:val="00E169F4"/>
    <w:rsid w:val="00E9042E"/>
    <w:rsid w:val="00EB3AD8"/>
    <w:rsid w:val="00F1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134"/>
  <w15:chartTrackingRefBased/>
  <w15:docId w15:val="{5AC28B17-08A6-41CA-B593-3C4E3193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B3AD8"/>
    <w:pPr>
      <w:tabs>
        <w:tab w:val="center" w:pos="4320"/>
        <w:tab w:val="right" w:pos="8640"/>
      </w:tabs>
      <w:spacing w:after="240" w:line="240" w:lineRule="auto"/>
      <w:ind w:firstLine="720"/>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B3AD8"/>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765672">
      <w:bodyDiv w:val="1"/>
      <w:marLeft w:val="0"/>
      <w:marRight w:val="0"/>
      <w:marTop w:val="0"/>
      <w:marBottom w:val="0"/>
      <w:divBdr>
        <w:top w:val="none" w:sz="0" w:space="0" w:color="auto"/>
        <w:left w:val="none" w:sz="0" w:space="0" w:color="auto"/>
        <w:bottom w:val="none" w:sz="0" w:space="0" w:color="auto"/>
        <w:right w:val="none" w:sz="0" w:space="0" w:color="auto"/>
      </w:divBdr>
    </w:div>
    <w:div w:id="159490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image" Target="media/image2.emf"/><Relationship Id="rId4" Type="http://schemas.openxmlformats.org/officeDocument/2006/relationships/chart" Target="charts/chart1.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19785\Downloads\WF%20for%20Case%20A%20corre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9785\Downloads\WF%20for%20Case%20A%20correc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19785\Downloads\WF%20for%20Case%20A%20corrected.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Sheet1!$I$2</c:f>
              <c:strCache>
                <c:ptCount val="1"/>
                <c:pt idx="0">
                  <c:v> $22,007.17 </c:v>
                </c:pt>
              </c:strCache>
            </c:strRef>
          </c:tx>
          <c:spPr>
            <a:solidFill>
              <a:schemeClr val="accent1"/>
            </a:solidFill>
            <a:ln>
              <a:noFill/>
            </a:ln>
            <a:effectLst/>
          </c:spPr>
          <c:invertIfNegative val="0"/>
          <c:cat>
            <c:numRef>
              <c:f>Sheet1!$H$3:$H$13</c:f>
              <c:numCache>
                <c:formatCode>General</c:formatCode>
                <c:ptCount val="11"/>
                <c:pt idx="0">
                  <c:v>1.95</c:v>
                </c:pt>
                <c:pt idx="1">
                  <c:v>1.75</c:v>
                </c:pt>
                <c:pt idx="2">
                  <c:v>1.55</c:v>
                </c:pt>
                <c:pt idx="3">
                  <c:v>1.35</c:v>
                </c:pt>
                <c:pt idx="4">
                  <c:v>1.1499999999999999</c:v>
                </c:pt>
                <c:pt idx="5">
                  <c:v>0.95</c:v>
                </c:pt>
                <c:pt idx="6">
                  <c:v>0.75</c:v>
                </c:pt>
                <c:pt idx="7">
                  <c:v>0.55000000000000004</c:v>
                </c:pt>
                <c:pt idx="8">
                  <c:v>0.35</c:v>
                </c:pt>
                <c:pt idx="9">
                  <c:v>0.15</c:v>
                </c:pt>
                <c:pt idx="10">
                  <c:v>0</c:v>
                </c:pt>
              </c:numCache>
            </c:numRef>
          </c:cat>
          <c:val>
            <c:numRef>
              <c:f>Sheet1!$I$3:$I$13</c:f>
              <c:numCache>
                <c:formatCode>0.00</c:formatCode>
                <c:ptCount val="11"/>
                <c:pt idx="0">
                  <c:v>22007.173834488676</c:v>
                </c:pt>
                <c:pt idx="1">
                  <c:v>20602.687834488675</c:v>
                </c:pt>
                <c:pt idx="2">
                  <c:v>19198.201834488678</c:v>
                </c:pt>
                <c:pt idx="3">
                  <c:v>17793.715834488678</c:v>
                </c:pt>
                <c:pt idx="4">
                  <c:v>16389.229834488677</c:v>
                </c:pt>
                <c:pt idx="5">
                  <c:v>14984.743834488678</c:v>
                </c:pt>
                <c:pt idx="6">
                  <c:v>13580.257834488677</c:v>
                </c:pt>
                <c:pt idx="7">
                  <c:v>12175.771834488678</c:v>
                </c:pt>
                <c:pt idx="8">
                  <c:v>10771.285834488677</c:v>
                </c:pt>
                <c:pt idx="9">
                  <c:v>9366.7998344886764</c:v>
                </c:pt>
                <c:pt idx="10">
                  <c:v>8313.4353344886767</c:v>
                </c:pt>
              </c:numCache>
            </c:numRef>
          </c:val>
          <c:extLst>
            <c:ext xmlns:c16="http://schemas.microsoft.com/office/drawing/2014/chart" uri="{C3380CC4-5D6E-409C-BE32-E72D297353CC}">
              <c16:uniqueId val="{00000000-58D3-4A7E-B79B-00DBF808CFA1}"/>
            </c:ext>
          </c:extLst>
        </c:ser>
        <c:dLbls>
          <c:showLegendKey val="0"/>
          <c:showVal val="0"/>
          <c:showCatName val="0"/>
          <c:showSerName val="0"/>
          <c:showPercent val="0"/>
          <c:showBubbleSize val="0"/>
        </c:dLbls>
        <c:gapWidth val="219"/>
        <c:overlap val="-27"/>
        <c:axId val="534734776"/>
        <c:axId val="534736696"/>
      </c:barChart>
      <c:catAx>
        <c:axId val="534734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736696"/>
        <c:crosses val="autoZero"/>
        <c:auto val="1"/>
        <c:lblAlgn val="ctr"/>
        <c:lblOffset val="100"/>
        <c:noMultiLvlLbl val="0"/>
      </c:catAx>
      <c:valAx>
        <c:axId val="534736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734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Sheet1!$L$2</c:f>
              <c:strCache>
                <c:ptCount val="1"/>
                <c:pt idx="0">
                  <c:v> $22,007.17 </c:v>
                </c:pt>
              </c:strCache>
            </c:strRef>
          </c:tx>
          <c:spPr>
            <a:solidFill>
              <a:schemeClr val="accent1"/>
            </a:solidFill>
            <a:ln>
              <a:noFill/>
            </a:ln>
            <a:effectLst/>
          </c:spPr>
          <c:invertIfNegative val="0"/>
          <c:cat>
            <c:numRef>
              <c:f>Sheet1!$K$3:$K$13</c:f>
              <c:numCache>
                <c:formatCode>0.00%</c:formatCode>
                <c:ptCount val="11"/>
                <c:pt idx="0" formatCode="0.0%">
                  <c:v>5.0000000000000001E-3</c:v>
                </c:pt>
                <c:pt idx="1">
                  <c:v>5.4999999999999997E-3</c:v>
                </c:pt>
                <c:pt idx="2">
                  <c:v>6.0000000000000001E-3</c:v>
                </c:pt>
                <c:pt idx="3">
                  <c:v>6.4999999999999997E-3</c:v>
                </c:pt>
                <c:pt idx="4">
                  <c:v>7.0000000000000001E-3</c:v>
                </c:pt>
                <c:pt idx="5">
                  <c:v>7.4999999999999997E-3</c:v>
                </c:pt>
                <c:pt idx="6">
                  <c:v>8.0000000000000002E-3</c:v>
                </c:pt>
                <c:pt idx="7">
                  <c:v>8.5000000000000006E-3</c:v>
                </c:pt>
                <c:pt idx="8">
                  <c:v>8.9999999999999993E-3</c:v>
                </c:pt>
                <c:pt idx="9">
                  <c:v>9.4999999999999998E-3</c:v>
                </c:pt>
                <c:pt idx="10">
                  <c:v>0.01</c:v>
                </c:pt>
              </c:numCache>
            </c:numRef>
          </c:cat>
          <c:val>
            <c:numRef>
              <c:f>Sheet1!$L$3:$L$13</c:f>
              <c:numCache>
                <c:formatCode>General</c:formatCode>
                <c:ptCount val="11"/>
                <c:pt idx="0">
                  <c:v>22007.173834488676</c:v>
                </c:pt>
                <c:pt idx="1">
                  <c:v>21576.904598294153</c:v>
                </c:pt>
                <c:pt idx="2">
                  <c:v>21150.542241114796</c:v>
                </c:pt>
                <c:pt idx="3">
                  <c:v>20728.047861837455</c:v>
                </c:pt>
                <c:pt idx="4">
                  <c:v>20309.382959471499</c:v>
                </c:pt>
                <c:pt idx="5">
                  <c:v>19894.509429012971</c:v>
                </c:pt>
                <c:pt idx="6">
                  <c:v>19483.389557349954</c:v>
                </c:pt>
                <c:pt idx="7">
                  <c:v>19075.98601921113</c:v>
                </c:pt>
                <c:pt idx="8">
                  <c:v>18672.261873154268</c:v>
                </c:pt>
                <c:pt idx="9">
                  <c:v>18272.180557597436</c:v>
                </c:pt>
                <c:pt idx="10">
                  <c:v>17875.705886889256</c:v>
                </c:pt>
              </c:numCache>
            </c:numRef>
          </c:val>
          <c:extLst>
            <c:ext xmlns:c16="http://schemas.microsoft.com/office/drawing/2014/chart" uri="{C3380CC4-5D6E-409C-BE32-E72D297353CC}">
              <c16:uniqueId val="{00000000-F59D-4F4C-BFC2-8906722F115E}"/>
            </c:ext>
          </c:extLst>
        </c:ser>
        <c:dLbls>
          <c:showLegendKey val="0"/>
          <c:showVal val="0"/>
          <c:showCatName val="0"/>
          <c:showSerName val="0"/>
          <c:showPercent val="0"/>
          <c:showBubbleSize val="0"/>
        </c:dLbls>
        <c:gapWidth val="219"/>
        <c:overlap val="-27"/>
        <c:axId val="427956208"/>
        <c:axId val="427957168"/>
      </c:barChart>
      <c:catAx>
        <c:axId val="427956208"/>
        <c:scaling>
          <c:orientation val="minMax"/>
        </c:scaling>
        <c:delete val="0"/>
        <c:axPos val="b"/>
        <c:numFmt formatCod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957168"/>
        <c:crosses val="autoZero"/>
        <c:auto val="1"/>
        <c:lblAlgn val="ctr"/>
        <c:lblOffset val="100"/>
        <c:noMultiLvlLbl val="0"/>
      </c:catAx>
      <c:valAx>
        <c:axId val="42795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956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Sheet1!$O$2</c:f>
              <c:strCache>
                <c:ptCount val="1"/>
                <c:pt idx="0">
                  <c:v> $22,007.17 </c:v>
                </c:pt>
              </c:strCache>
            </c:strRef>
          </c:tx>
          <c:spPr>
            <a:solidFill>
              <a:schemeClr val="accent1"/>
            </a:solidFill>
            <a:ln>
              <a:noFill/>
            </a:ln>
            <a:effectLst/>
          </c:spPr>
          <c:invertIfNegative val="0"/>
          <c:cat>
            <c:numRef>
              <c:f>Sheet1!$N$3:$N$13</c:f>
              <c:numCache>
                <c:formatCode>General</c:formatCode>
                <c:ptCount val="11"/>
                <c:pt idx="0">
                  <c:v>12000</c:v>
                </c:pt>
                <c:pt idx="1">
                  <c:v>12100</c:v>
                </c:pt>
                <c:pt idx="2">
                  <c:v>12200</c:v>
                </c:pt>
                <c:pt idx="3">
                  <c:v>12300</c:v>
                </c:pt>
                <c:pt idx="4">
                  <c:v>12400</c:v>
                </c:pt>
                <c:pt idx="5">
                  <c:v>12500</c:v>
                </c:pt>
                <c:pt idx="6">
                  <c:v>12600</c:v>
                </c:pt>
                <c:pt idx="7">
                  <c:v>12700</c:v>
                </c:pt>
                <c:pt idx="8">
                  <c:v>12800</c:v>
                </c:pt>
                <c:pt idx="9">
                  <c:v>12900</c:v>
                </c:pt>
                <c:pt idx="10">
                  <c:v>13000</c:v>
                </c:pt>
              </c:numCache>
            </c:numRef>
          </c:cat>
          <c:val>
            <c:numRef>
              <c:f>Sheet1!$O$3:$O$13</c:f>
              <c:numCache>
                <c:formatCode>General</c:formatCode>
                <c:ptCount val="11"/>
                <c:pt idx="0">
                  <c:v>21370.635334488677</c:v>
                </c:pt>
                <c:pt idx="1">
                  <c:v>21479.445334488679</c:v>
                </c:pt>
                <c:pt idx="2">
                  <c:v>21588.255334488676</c:v>
                </c:pt>
                <c:pt idx="3">
                  <c:v>21697.065334488674</c:v>
                </c:pt>
                <c:pt idx="4">
                  <c:v>21805.875334488679</c:v>
                </c:pt>
                <c:pt idx="5">
                  <c:v>21914.685334488677</c:v>
                </c:pt>
                <c:pt idx="6">
                  <c:v>22023.495334488674</c:v>
                </c:pt>
                <c:pt idx="7">
                  <c:v>22132.305334488679</c:v>
                </c:pt>
                <c:pt idx="8">
                  <c:v>22241.115334488677</c:v>
                </c:pt>
                <c:pt idx="9">
                  <c:v>22349.925334488675</c:v>
                </c:pt>
                <c:pt idx="10">
                  <c:v>22458.735334488676</c:v>
                </c:pt>
              </c:numCache>
            </c:numRef>
          </c:val>
          <c:extLst>
            <c:ext xmlns:c16="http://schemas.microsoft.com/office/drawing/2014/chart" uri="{C3380CC4-5D6E-409C-BE32-E72D297353CC}">
              <c16:uniqueId val="{00000000-F8F3-4AC2-B7CE-FD1AC2D7541A}"/>
            </c:ext>
          </c:extLst>
        </c:ser>
        <c:dLbls>
          <c:showLegendKey val="0"/>
          <c:showVal val="0"/>
          <c:showCatName val="0"/>
          <c:showSerName val="0"/>
          <c:showPercent val="0"/>
          <c:showBubbleSize val="0"/>
        </c:dLbls>
        <c:gapWidth val="219"/>
        <c:overlap val="-27"/>
        <c:axId val="534739896"/>
        <c:axId val="480695344"/>
      </c:barChart>
      <c:catAx>
        <c:axId val="534739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95344"/>
        <c:crosses val="autoZero"/>
        <c:auto val="1"/>
        <c:lblAlgn val="ctr"/>
        <c:lblOffset val="100"/>
        <c:noMultiLvlLbl val="0"/>
      </c:catAx>
      <c:valAx>
        <c:axId val="480695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739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Sheet1!$Q$3:$Q$6</c:f>
              <c:numCache>
                <c:formatCode>0%</c:formatCode>
                <c:ptCount val="4"/>
                <c:pt idx="0">
                  <c:v>0.3</c:v>
                </c:pt>
                <c:pt idx="1">
                  <c:v>0.26</c:v>
                </c:pt>
                <c:pt idx="2">
                  <c:v>0.22</c:v>
                </c:pt>
                <c:pt idx="3">
                  <c:v>0.1</c:v>
                </c:pt>
              </c:numCache>
            </c:numRef>
          </c:xVal>
          <c:yVal>
            <c:numRef>
              <c:f>Sheet1!$R$3:$R$6</c:f>
              <c:numCache>
                <c:formatCode>General</c:formatCode>
                <c:ptCount val="4"/>
                <c:pt idx="0">
                  <c:v>22007.173834488676</c:v>
                </c:pt>
                <c:pt idx="1">
                  <c:v>17807.173834488676</c:v>
                </c:pt>
                <c:pt idx="2">
                  <c:v>13607.173834488676</c:v>
                </c:pt>
                <c:pt idx="3">
                  <c:v>1007.1738344886762</c:v>
                </c:pt>
              </c:numCache>
            </c:numRef>
          </c:yVal>
          <c:smooth val="0"/>
          <c:extLst>
            <c:ext xmlns:c16="http://schemas.microsoft.com/office/drawing/2014/chart" uri="{C3380CC4-5D6E-409C-BE32-E72D297353CC}">
              <c16:uniqueId val="{00000000-6FDB-43E1-9D58-5D33D87BBBB9}"/>
            </c:ext>
          </c:extLst>
        </c:ser>
        <c:dLbls>
          <c:showLegendKey val="0"/>
          <c:showVal val="0"/>
          <c:showCatName val="0"/>
          <c:showSerName val="0"/>
          <c:showPercent val="0"/>
          <c:showBubbleSize val="0"/>
        </c:dLbls>
        <c:axId val="642270736"/>
        <c:axId val="642267536"/>
      </c:scatterChart>
      <c:valAx>
        <c:axId val="64227073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267536"/>
        <c:crosses val="autoZero"/>
        <c:crossBetween val="midCat"/>
      </c:valAx>
      <c:valAx>
        <c:axId val="642267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270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numRef>
              <c:f>Sheet1!$T$3:$T$16</c:f>
              <c:numCache>
                <c:formatCode>General</c:formatCode>
                <c:ptCount val="14"/>
                <c:pt idx="0">
                  <c:v>0.17</c:v>
                </c:pt>
                <c:pt idx="1">
                  <c:v>0.18</c:v>
                </c:pt>
                <c:pt idx="2">
                  <c:v>0.19</c:v>
                </c:pt>
                <c:pt idx="3">
                  <c:v>0.2</c:v>
                </c:pt>
                <c:pt idx="4">
                  <c:v>0.21</c:v>
                </c:pt>
                <c:pt idx="5">
                  <c:v>0.22</c:v>
                </c:pt>
                <c:pt idx="6">
                  <c:v>0.23</c:v>
                </c:pt>
                <c:pt idx="7">
                  <c:v>0.24</c:v>
                </c:pt>
                <c:pt idx="8">
                  <c:v>0.25</c:v>
                </c:pt>
                <c:pt idx="9">
                  <c:v>0.26</c:v>
                </c:pt>
                <c:pt idx="10">
                  <c:v>0.27</c:v>
                </c:pt>
                <c:pt idx="11">
                  <c:v>0.28000000000000003</c:v>
                </c:pt>
                <c:pt idx="12">
                  <c:v>0.28999999999999998</c:v>
                </c:pt>
                <c:pt idx="13">
                  <c:v>0.3</c:v>
                </c:pt>
              </c:numCache>
            </c:numRef>
          </c:cat>
          <c:val>
            <c:numRef>
              <c:f>Sheet1!$U$3:$U$16</c:f>
              <c:numCache>
                <c:formatCode>General</c:formatCode>
                <c:ptCount val="14"/>
                <c:pt idx="0">
                  <c:v>22007.173834488676</c:v>
                </c:pt>
                <c:pt idx="1">
                  <c:v>25689.327777607388</c:v>
                </c:pt>
                <c:pt idx="2">
                  <c:v>29371.4817207261</c:v>
                </c:pt>
                <c:pt idx="3">
                  <c:v>33053.635663844783</c:v>
                </c:pt>
                <c:pt idx="4">
                  <c:v>36735.789606963423</c:v>
                </c:pt>
                <c:pt idx="5">
                  <c:v>40417.943550082135</c:v>
                </c:pt>
                <c:pt idx="6">
                  <c:v>44100.097493200876</c:v>
                </c:pt>
                <c:pt idx="7">
                  <c:v>47782.251436319515</c:v>
                </c:pt>
                <c:pt idx="8">
                  <c:v>51464.405379438213</c:v>
                </c:pt>
                <c:pt idx="9">
                  <c:v>55146.559322556968</c:v>
                </c:pt>
                <c:pt idx="10">
                  <c:v>58828.713265675593</c:v>
                </c:pt>
                <c:pt idx="11">
                  <c:v>62510.86720879432</c:v>
                </c:pt>
                <c:pt idx="12">
                  <c:v>66193.021151912981</c:v>
                </c:pt>
                <c:pt idx="13">
                  <c:v>69875.175095031678</c:v>
                </c:pt>
              </c:numCache>
            </c:numRef>
          </c:val>
          <c:extLst>
            <c:ext xmlns:c16="http://schemas.microsoft.com/office/drawing/2014/chart" uri="{C3380CC4-5D6E-409C-BE32-E72D297353CC}">
              <c16:uniqueId val="{00000000-B32C-465C-8529-79DCF0C4B522}"/>
            </c:ext>
          </c:extLst>
        </c:ser>
        <c:dLbls>
          <c:showLegendKey val="0"/>
          <c:showVal val="0"/>
          <c:showCatName val="0"/>
          <c:showSerName val="0"/>
          <c:showPercent val="0"/>
          <c:showBubbleSize val="0"/>
        </c:dLbls>
        <c:gapWidth val="219"/>
        <c:overlap val="-27"/>
        <c:axId val="642266896"/>
        <c:axId val="642264336"/>
      </c:barChart>
      <c:catAx>
        <c:axId val="64226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264336"/>
        <c:crosses val="autoZero"/>
        <c:auto val="1"/>
        <c:lblAlgn val="ctr"/>
        <c:lblOffset val="100"/>
        <c:noMultiLvlLbl val="0"/>
      </c:catAx>
      <c:valAx>
        <c:axId val="642264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266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Harty, Ryan</dc:creator>
  <cp:keywords/>
  <dc:description/>
  <cp:lastModifiedBy>Harty, Ryan</cp:lastModifiedBy>
  <cp:revision>2</cp:revision>
  <dcterms:created xsi:type="dcterms:W3CDTF">2019-10-28T15:01:00Z</dcterms:created>
  <dcterms:modified xsi:type="dcterms:W3CDTF">2019-10-28T15:01:00Z</dcterms:modified>
</cp:coreProperties>
</file>