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pPr>
      <w:r>
        <w:t>DESIGN DECISIONS + IMPLEMENTATION HANDOFF  /  V2</w:t>
      </w:r>
    </w:p>
    <w:p>
      <w:pPr>
        <w:pStyle w:val="Title"/>
        <w:spacing w:after="40"/>
      </w:pPr>
      <w:r>
        <w:t>Futures Mixing Desk</w:t>
      </w:r>
    </w:p>
    <w:p>
      <w:r>
        <w:rPr>
          <w:color w:val="554596"/>
          <w:sz w:val="26"/>
        </w:rPr>
        <w:t>From scenario generator to participatory futures experiment</w:t>
      </w:r>
    </w:p>
    <w:p>
      <w:pPr>
        <w:pStyle w:val="SmallCopy"/>
      </w:pPr>
      <w:r>
        <w:t>Consolidated direction for Claude • 28 October 2026 • Based on the original nine-page design brief and subsequent design critique.</w:t>
      </w:r>
    </w:p>
    <w:tbl>
      <w:tblPr>
        <w:tblW w:type="auto" w:w="0"/>
        <w:tblLayout w:type="fixed"/>
        <w:tblLook w:firstColumn="1" w:firstRow="1" w:lastColumn="0" w:lastRow="0" w:noHBand="0" w:noVBand="1" w:val="04A0"/>
      </w:tblPr>
      <w:tblGrid>
        <w:gridCol w:w="9576"/>
      </w:tblGrid>
      <w:tr>
        <w:tc>
          <w:tcPr>
            <w:tcW w:type="dxa" w:w="9605"/>
            <w:shd w:fill="F1EFF9"/>
            <w:vAlign w:val="center"/>
          </w:tcPr>
          <w:p>
            <w:pPr>
              <w:pStyle w:val="Callout"/>
              <w:spacing w:before="80" w:after="100"/>
            </w:pPr>
            <w:r>
              <w:t>North star: help individuals explore how plausible changes in the wider world reshape enduring financial needs, challenge their assumptions, and capture strategic provocations that can influence future discovery and roadmaps.</w:t>
            </w:r>
          </w:p>
        </w:tc>
      </w:tr>
    </w:tbl>
    <w:p>
      <w:pPr>
        <w:spacing w:after="0"/>
      </w:pPr>
    </w:p>
    <w:p>
      <w:pPr>
        <w:pStyle w:val="Heading1"/>
        <w:keepNext/>
        <w:keepLines/>
      </w:pPr>
      <w:r>
        <w:t>0. Read this first — instructions for Claude</w:t>
      </w:r>
    </w:p>
    <w:p>
      <w:pPr/>
      <w:r>
        <w:rPr>
          <w:b/>
        </w:rPr>
        <w:t xml:space="preserve">This is a change brief, not a request to rebuild from scratch. </w:t>
      </w:r>
      <w:r>
        <w:rPr>
          <w:b w:val="0"/>
        </w:rPr>
        <w:t>Start by auditing the current prototype and preserving working elements that support the new direction. Identify what can be reused, what must change, and where the current content model limits the experience.</w:t>
      </w:r>
    </w:p>
    <w:p>
      <w:pPr>
        <w:pStyle w:val="BulletCustom"/>
        <w:keepLines/>
      </w:pPr>
      <w:r>
        <w:t xml:space="preserve">•  </w:t>
      </w:r>
      <w:r>
        <w:t>Prioritise strategic usefulness, meaningful interaction, evidence integrity and ease of use over additional spectacle or content volume.</w:t>
      </w:r>
    </w:p>
    <w:p>
      <w:pPr>
        <w:pStyle w:val="BulletCustom"/>
        <w:keepLines/>
      </w:pPr>
      <w:r>
        <w:t xml:space="preserve">•  </w:t>
      </w:r>
      <w:r>
        <w:t>Implement a small vertical slice first. Do not rewrite all eight archetypes, all 15 sub-futures or every combination of forces before demonstrating that the central experiment works.</w:t>
      </w:r>
    </w:p>
    <w:p>
      <w:pPr>
        <w:pStyle w:val="BulletCustom"/>
        <w:keepLines/>
      </w:pPr>
      <w:r>
        <w:t xml:space="preserve">•  </w:t>
      </w:r>
      <w:r>
        <w:t>Treat “Agreed”, “Proposed for testing” and “Deferred” differently. Do not present proposals as final decisions or invent missing content/evidence.</w:t>
      </w:r>
    </w:p>
    <w:p>
      <w:pPr>
        <w:pStyle w:val="BulletCustom"/>
        <w:keepLines/>
      </w:pPr>
      <w:r>
        <w:t xml:space="preserve">•  </w:t>
      </w:r>
      <w:r>
        <w:t>Keep the existing specimen-card visual identity, light/dark responsiveness and source discipline unless they obstruct the new experience.</w:t>
      </w:r>
    </w:p>
    <w:p>
      <w:pPr>
        <w:pStyle w:val="Heading1"/>
        <w:keepNext/>
        <w:keepLines/>
      </w:pPr>
      <w:r>
        <w:t>1. Decision record</w:t>
      </w:r>
    </w:p>
    <w:tbl>
      <w:tblPr>
        <w:tblStyle w:val="TableGrid"/>
        <w:tblW w:type="auto" w:w="0"/>
        <w:jc w:val="center"/>
        <w:tblLayout w:type="fixed"/>
        <w:tblLook w:firstColumn="1" w:firstRow="1" w:lastColumn="0" w:lastRow="0" w:noHBand="0" w:noVBand="1" w:val="04A0"/>
      </w:tblPr>
      <w:tblGrid>
        <w:gridCol w:w="1944"/>
        <w:gridCol w:w="6451"/>
        <w:gridCol w:w="1152"/>
      </w:tblGrid>
      <w:tr>
        <w:trPr>
          <w:tblHeader w:val="true"/>
        </w:trPr>
        <w:tc>
          <w:tcPr>
            <w:tcW w:type="dxa" w:w="3202"/>
            <w:shd w:fill="EDEBF5"/>
          </w:tcPr>
          <w:p>
            <w:pPr>
              <w:spacing w:after="60" w:before="40"/>
            </w:pPr>
            <w:r>
              <w:rPr>
                <w:b/>
                <w:color w:val="182333"/>
                <w:sz w:val="16"/>
              </w:rPr>
              <w:t>Area</w:t>
            </w:r>
          </w:p>
        </w:tc>
        <w:tc>
          <w:tcPr>
            <w:tcW w:type="dxa" w:w="3202"/>
            <w:shd w:fill="EDEBF5"/>
          </w:tcPr>
          <w:p>
            <w:pPr>
              <w:spacing w:after="60" w:before="40"/>
            </w:pPr>
            <w:r>
              <w:rPr>
                <w:b/>
                <w:color w:val="182333"/>
                <w:sz w:val="16"/>
              </w:rPr>
              <w:t>Direction</w:t>
            </w:r>
          </w:p>
        </w:tc>
        <w:tc>
          <w:tcPr>
            <w:tcW w:type="dxa" w:w="3202"/>
            <w:shd w:fill="EDEBF5"/>
          </w:tcPr>
          <w:p>
            <w:pPr>
              <w:spacing w:after="60" w:before="40"/>
            </w:pPr>
            <w:r>
              <w:rPr>
                <w:b/>
                <w:color w:val="182333"/>
                <w:sz w:val="16"/>
              </w:rPr>
              <w:t>Status</w:t>
            </w:r>
          </w:p>
        </w:tc>
      </w:tr>
      <w:tr>
        <w:trPr>
          <w:cantSplit/>
        </w:trPr>
        <w:tc>
          <w:tcPr>
            <w:tcW w:type="dxa" w:w="1944"/>
            <w:vAlign w:val="top"/>
          </w:tcPr>
          <w:p>
            <w:pPr>
              <w:spacing w:after="40" w:before="40" w:line="266" w:lineRule="auto"/>
            </w:pPr>
            <w:r>
              <w:rPr>
                <w:color w:val="182333"/>
                <w:sz w:val="16"/>
              </w:rPr>
              <w:t>Primary value</w:t>
            </w:r>
          </w:p>
        </w:tc>
        <w:tc>
          <w:tcPr>
            <w:tcW w:type="dxa" w:w="6451"/>
            <w:vAlign w:val="top"/>
          </w:tcPr>
          <w:p>
            <w:pPr>
              <w:spacing w:after="40" w:before="40" w:line="266" w:lineRule="auto"/>
            </w:pPr>
            <w:r>
              <w:rPr>
                <w:color w:val="182333"/>
                <w:sz w:val="16"/>
              </w:rPr>
              <w:t>Strategic inspiration and reframing; outcomes may influence discovery and roadmaps, not automatically change portfolio decisions.</w:t>
            </w:r>
          </w:p>
        </w:tc>
        <w:tc>
          <w:tcPr>
            <w:tcW w:type="dxa" w:w="1152"/>
            <w:vAlign w:val="top"/>
          </w:tcPr>
          <w:p>
            <w:pPr>
              <w:spacing w:after="40" w:before="40" w:line="266" w:lineRule="auto"/>
            </w:pPr>
            <w:r>
              <w:rPr>
                <w:color w:val="182333"/>
                <w:sz w:val="16"/>
              </w:rPr>
              <w:t>Agreed</w:t>
            </w:r>
          </w:p>
        </w:tc>
      </w:tr>
      <w:tr>
        <w:trPr>
          <w:cantSplit/>
        </w:trPr>
        <w:tc>
          <w:tcPr>
            <w:tcW w:type="dxa" w:w="1944"/>
            <w:vAlign w:val="top"/>
            <w:shd w:fill="F7F8FB"/>
          </w:tcPr>
          <w:p>
            <w:pPr>
              <w:spacing w:after="40" w:before="40" w:line="266" w:lineRule="auto"/>
            </w:pPr>
            <w:r>
              <w:rPr>
                <w:color w:val="182333"/>
                <w:sz w:val="16"/>
              </w:rPr>
              <w:t>Audience / use</w:t>
            </w:r>
          </w:p>
        </w:tc>
        <w:tc>
          <w:tcPr>
            <w:tcW w:type="dxa" w:w="6451"/>
            <w:vAlign w:val="top"/>
            <w:shd w:fill="F7F8FB"/>
          </w:tcPr>
          <w:p>
            <w:pPr>
              <w:spacing w:after="40" w:before="40" w:line="266" w:lineRule="auto"/>
            </w:pPr>
            <w:r>
              <w:rPr>
                <w:color w:val="182333"/>
                <w:sz w:val="16"/>
              </w:rPr>
              <w:t>People explore independently on their own devices, then bring provocations into a group workshop.</w:t>
            </w:r>
          </w:p>
        </w:tc>
        <w:tc>
          <w:tcPr>
            <w:tcW w:type="dxa" w:w="1152"/>
            <w:vAlign w:val="top"/>
            <w:shd w:fill="F7F8FB"/>
          </w:tcPr>
          <w:p>
            <w:pPr>
              <w:spacing w:after="40" w:before="40" w:line="266" w:lineRule="auto"/>
            </w:pPr>
            <w:r>
              <w:rPr>
                <w:color w:val="182333"/>
                <w:sz w:val="16"/>
              </w:rPr>
              <w:t>Agreed</w:t>
            </w:r>
          </w:p>
        </w:tc>
      </w:tr>
      <w:tr>
        <w:trPr>
          <w:cantSplit/>
        </w:trPr>
        <w:tc>
          <w:tcPr>
            <w:tcW w:type="dxa" w:w="1944"/>
            <w:vAlign w:val="top"/>
          </w:tcPr>
          <w:p>
            <w:pPr>
              <w:spacing w:after="40" w:before="40" w:line="266" w:lineRule="auto"/>
            </w:pPr>
            <w:r>
              <w:rPr>
                <w:color w:val="182333"/>
                <w:sz w:val="16"/>
              </w:rPr>
              <w:t>Interaction</w:t>
            </w:r>
          </w:p>
        </w:tc>
        <w:tc>
          <w:tcPr>
            <w:tcW w:type="dxa" w:w="6451"/>
            <w:vAlign w:val="top"/>
          </w:tcPr>
          <w:p>
            <w:pPr>
              <w:spacing w:after="40" w:before="40" w:line="266" w:lineRule="auto"/>
            </w:pPr>
            <w:r>
              <w:rPr>
                <w:color w:val="182333"/>
                <w:sz w:val="16"/>
              </w:rPr>
              <w:t>Participation and unfolding exploration, not a complete information dump or compulsory step-by-step wizard.</w:t>
            </w:r>
          </w:p>
        </w:tc>
        <w:tc>
          <w:tcPr>
            <w:tcW w:type="dxa" w:w="1152"/>
            <w:vAlign w:val="top"/>
          </w:tcPr>
          <w:p>
            <w:pPr>
              <w:spacing w:after="40" w:before="40" w:line="266" w:lineRule="auto"/>
            </w:pPr>
            <w:r>
              <w:rPr>
                <w:color w:val="182333"/>
                <w:sz w:val="16"/>
              </w:rPr>
              <w:t>Agreed</w:t>
            </w:r>
          </w:p>
        </w:tc>
      </w:tr>
      <w:tr>
        <w:trPr>
          <w:cantSplit/>
        </w:trPr>
        <w:tc>
          <w:tcPr>
            <w:tcW w:type="dxa" w:w="1944"/>
            <w:vAlign w:val="top"/>
            <w:shd w:fill="F7F8FB"/>
          </w:tcPr>
          <w:p>
            <w:pPr>
              <w:spacing w:after="40" w:before="40" w:line="266" w:lineRule="auto"/>
            </w:pPr>
            <w:r>
              <w:rPr>
                <w:color w:val="182333"/>
                <w:sz w:val="16"/>
              </w:rPr>
              <w:t>Core mechanism</w:t>
            </w:r>
          </w:p>
        </w:tc>
        <w:tc>
          <w:tcPr>
            <w:tcW w:type="dxa" w:w="6451"/>
            <w:vAlign w:val="top"/>
            <w:shd w:fill="F7F8FB"/>
          </w:tcPr>
          <w:p>
            <w:pPr>
              <w:spacing w:after="40" w:before="40" w:line="266" w:lineRule="auto"/>
            </w:pPr>
            <w:r>
              <w:rPr>
                <w:color w:val="182333"/>
                <w:sz w:val="16"/>
              </w:rPr>
              <w:t>Experiment with what changes when one future-shaping condition changes.</w:t>
            </w:r>
          </w:p>
        </w:tc>
        <w:tc>
          <w:tcPr>
            <w:tcW w:type="dxa" w:w="1152"/>
            <w:vAlign w:val="top"/>
            <w:shd w:fill="F7F8FB"/>
          </w:tcPr>
          <w:p>
            <w:pPr>
              <w:spacing w:after="40" w:before="40" w:line="266" w:lineRule="auto"/>
            </w:pPr>
            <w:r>
              <w:rPr>
                <w:color w:val="182333"/>
                <w:sz w:val="16"/>
              </w:rPr>
              <w:t>Agreed</w:t>
            </w:r>
          </w:p>
        </w:tc>
      </w:tr>
      <w:tr>
        <w:trPr>
          <w:cantSplit/>
        </w:trPr>
        <w:tc>
          <w:tcPr>
            <w:tcW w:type="dxa" w:w="1944"/>
            <w:vAlign w:val="top"/>
          </w:tcPr>
          <w:p>
            <w:pPr>
              <w:spacing w:after="40" w:before="40" w:line="266" w:lineRule="auto"/>
            </w:pPr>
            <w:r>
              <w:rPr>
                <w:color w:val="182333"/>
                <w:sz w:val="16"/>
              </w:rPr>
              <w:t>Comparison anchor</w:t>
            </w:r>
          </w:p>
        </w:tc>
        <w:tc>
          <w:tcPr>
            <w:tcW w:type="dxa" w:w="6451"/>
            <w:vAlign w:val="top"/>
          </w:tcPr>
          <w:p>
            <w:pPr>
              <w:spacing w:after="40" w:before="40" w:line="266" w:lineRule="auto"/>
            </w:pPr>
            <w:r>
              <w:rPr>
                <w:color w:val="182333"/>
                <w:sz w:val="16"/>
              </w:rPr>
              <w:t>Hold the same financial need in view across different future conditions.</w:t>
            </w:r>
          </w:p>
        </w:tc>
        <w:tc>
          <w:tcPr>
            <w:tcW w:type="dxa" w:w="1152"/>
            <w:vAlign w:val="top"/>
          </w:tcPr>
          <w:p>
            <w:pPr>
              <w:spacing w:after="40" w:before="40" w:line="266" w:lineRule="auto"/>
            </w:pPr>
            <w:r>
              <w:rPr>
                <w:color w:val="182333"/>
                <w:sz w:val="16"/>
              </w:rPr>
              <w:t>Agreed</w:t>
            </w:r>
          </w:p>
        </w:tc>
      </w:tr>
      <w:tr>
        <w:trPr>
          <w:cantSplit/>
        </w:trPr>
        <w:tc>
          <w:tcPr>
            <w:tcW w:type="dxa" w:w="1944"/>
            <w:vAlign w:val="top"/>
            <w:shd w:fill="F7F8FB"/>
          </w:tcPr>
          <w:p>
            <w:pPr>
              <w:spacing w:after="40" w:before="40" w:line="266" w:lineRule="auto"/>
            </w:pPr>
            <w:r>
              <w:rPr>
                <w:color w:val="182333"/>
                <w:sz w:val="16"/>
              </w:rPr>
              <w:t>Discovery</w:t>
            </w:r>
          </w:p>
        </w:tc>
        <w:tc>
          <w:tcPr>
            <w:tcW w:type="dxa" w:w="6451"/>
            <w:vAlign w:val="top"/>
            <w:shd w:fill="F7F8FB"/>
          </w:tcPr>
          <w:p>
            <w:pPr>
              <w:spacing w:after="40" w:before="40" w:line="266" w:lineRule="auto"/>
            </w:pPr>
            <w:r>
              <w:rPr>
                <w:color w:val="182333"/>
                <w:sz w:val="16"/>
              </w:rPr>
              <w:t>Lead with suggested tensions; allow a user to investigate a specific need without creating two entry routes.</w:t>
            </w:r>
          </w:p>
        </w:tc>
        <w:tc>
          <w:tcPr>
            <w:tcW w:type="dxa" w:w="1152"/>
            <w:vAlign w:val="top"/>
            <w:shd w:fill="F7F8FB"/>
          </w:tcPr>
          <w:p>
            <w:pPr>
              <w:spacing w:after="40" w:before="40" w:line="266" w:lineRule="auto"/>
            </w:pPr>
            <w:r>
              <w:rPr>
                <w:color w:val="182333"/>
                <w:sz w:val="16"/>
              </w:rPr>
              <w:t>Agreed</w:t>
            </w:r>
          </w:p>
        </w:tc>
      </w:tr>
      <w:tr>
        <w:trPr>
          <w:cantSplit/>
        </w:trPr>
        <w:tc>
          <w:tcPr>
            <w:tcW w:type="dxa" w:w="1944"/>
            <w:vAlign w:val="top"/>
          </w:tcPr>
          <w:p>
            <w:pPr>
              <w:spacing w:after="40" w:before="40" w:line="266" w:lineRule="auto"/>
            </w:pPr>
            <w:r>
              <w:rPr>
                <w:color w:val="182333"/>
                <w:sz w:val="16"/>
              </w:rPr>
              <w:t>Editorial stance</w:t>
            </w:r>
          </w:p>
        </w:tc>
        <w:tc>
          <w:tcPr>
            <w:tcW w:type="dxa" w:w="6451"/>
            <w:vAlign w:val="top"/>
          </w:tcPr>
          <w:p>
            <w:pPr>
              <w:spacing w:after="40" w:before="40" w:line="266" w:lineRule="auto"/>
            </w:pPr>
            <w:r>
              <w:rPr>
                <w:color w:val="182333"/>
                <w:sz w:val="16"/>
              </w:rPr>
              <w:t>Constructive provocateur: challenge assumptions, offer counterarguments, do not claim a correct answer.</w:t>
            </w:r>
          </w:p>
        </w:tc>
        <w:tc>
          <w:tcPr>
            <w:tcW w:type="dxa" w:w="1152"/>
            <w:vAlign w:val="top"/>
          </w:tcPr>
          <w:p>
            <w:pPr>
              <w:spacing w:after="40" w:before="40" w:line="266" w:lineRule="auto"/>
            </w:pPr>
            <w:r>
              <w:rPr>
                <w:color w:val="182333"/>
                <w:sz w:val="16"/>
              </w:rPr>
              <w:t>Agreed</w:t>
            </w:r>
          </w:p>
        </w:tc>
      </w:tr>
      <w:tr>
        <w:trPr>
          <w:cantSplit/>
        </w:trPr>
        <w:tc>
          <w:tcPr>
            <w:tcW w:type="dxa" w:w="1944"/>
            <w:vAlign w:val="top"/>
            <w:shd w:fill="F7F8FB"/>
          </w:tcPr>
          <w:p>
            <w:pPr>
              <w:spacing w:after="40" w:before="40" w:line="266" w:lineRule="auto"/>
            </w:pPr>
            <w:r>
              <w:rPr>
                <w:color w:val="182333"/>
                <w:sz w:val="16"/>
              </w:rPr>
              <w:t>Scope</w:t>
            </w:r>
          </w:p>
        </w:tc>
        <w:tc>
          <w:tcPr>
            <w:tcW w:type="dxa" w:w="6451"/>
            <w:vAlign w:val="top"/>
            <w:shd w:fill="F7F8FB"/>
          </w:tcPr>
          <w:p>
            <w:pPr>
              <w:spacing w:after="40" w:before="40" w:line="266" w:lineRule="auto"/>
            </w:pPr>
            <w:r>
              <w:rPr>
                <w:color w:val="182333"/>
                <w:sz w:val="16"/>
              </w:rPr>
              <w:t>Explore the wider world and what it means for financial lives; AI / future of work remain important, but not exclusive.</w:t>
            </w:r>
          </w:p>
        </w:tc>
        <w:tc>
          <w:tcPr>
            <w:tcW w:type="dxa" w:w="1152"/>
            <w:vAlign w:val="top"/>
            <w:shd w:fill="F7F8FB"/>
          </w:tcPr>
          <w:p>
            <w:pPr>
              <w:spacing w:after="40" w:before="40" w:line="266" w:lineRule="auto"/>
            </w:pPr>
            <w:r>
              <w:rPr>
                <w:color w:val="182333"/>
                <w:sz w:val="16"/>
              </w:rPr>
              <w:t>Agreed</w:t>
            </w:r>
          </w:p>
        </w:tc>
      </w:tr>
      <w:tr>
        <w:trPr>
          <w:cantSplit/>
        </w:trPr>
        <w:tc>
          <w:tcPr>
            <w:tcW w:type="dxa" w:w="1944"/>
            <w:vAlign w:val="top"/>
          </w:tcPr>
          <w:p>
            <w:pPr>
              <w:spacing w:after="40" w:before="40" w:line="266" w:lineRule="auto"/>
            </w:pPr>
            <w:r>
              <w:rPr>
                <w:color w:val="182333"/>
                <w:sz w:val="16"/>
              </w:rPr>
              <w:t>Forces</w:t>
            </w:r>
          </w:p>
        </w:tc>
        <w:tc>
          <w:tcPr>
            <w:tcW w:type="dxa" w:w="6451"/>
            <w:vAlign w:val="top"/>
          </w:tcPr>
          <w:p>
            <w:pPr>
              <w:spacing w:after="40" w:before="40" w:line="266" w:lineRule="auto"/>
            </w:pPr>
            <w:r>
              <w:rPr>
                <w:color w:val="182333"/>
                <w:sz w:val="16"/>
              </w:rPr>
              <w:t>Retain societal adaptation; reject “Who carries financial risk?” as a top-level control. Five-force replacement set is provisional.</w:t>
            </w:r>
          </w:p>
        </w:tc>
        <w:tc>
          <w:tcPr>
            <w:tcW w:type="dxa" w:w="1152"/>
            <w:vAlign w:val="top"/>
          </w:tcPr>
          <w:p>
            <w:pPr>
              <w:spacing w:after="40" w:before="40" w:line="266" w:lineRule="auto"/>
            </w:pPr>
            <w:r>
              <w:rPr>
                <w:color w:val="182333"/>
                <w:sz w:val="16"/>
              </w:rPr>
              <w:t>Mixed</w:t>
            </w:r>
          </w:p>
        </w:tc>
      </w:tr>
      <w:tr>
        <w:trPr>
          <w:cantSplit/>
        </w:trPr>
        <w:tc>
          <w:tcPr>
            <w:tcW w:type="dxa" w:w="1944"/>
            <w:vAlign w:val="top"/>
            <w:shd w:fill="F7F8FB"/>
          </w:tcPr>
          <w:p>
            <w:pPr>
              <w:spacing w:after="40" w:before="40" w:line="266" w:lineRule="auto"/>
            </w:pPr>
            <w:r>
              <w:rPr>
                <w:color w:val="182333"/>
                <w:sz w:val="16"/>
              </w:rPr>
              <w:t>AI in product</w:t>
            </w:r>
          </w:p>
        </w:tc>
        <w:tc>
          <w:tcPr>
            <w:tcW w:type="dxa" w:w="6451"/>
            <w:vAlign w:val="top"/>
            <w:shd w:fill="F7F8FB"/>
          </w:tcPr>
          <w:p>
            <w:pPr>
              <w:spacing w:after="40" w:before="40" w:line="266" w:lineRule="auto"/>
            </w:pPr>
            <w:r>
              <w:rPr>
                <w:color w:val="182333"/>
                <w:sz w:val="16"/>
              </w:rPr>
              <w:t>No final decision. Recommend curated deterministic MVP; consider optional AI critique only later.</w:t>
            </w:r>
          </w:p>
        </w:tc>
        <w:tc>
          <w:tcPr>
            <w:tcW w:type="dxa" w:w="1152"/>
            <w:vAlign w:val="top"/>
            <w:shd w:fill="F7F8FB"/>
          </w:tcPr>
          <w:p>
            <w:pPr>
              <w:spacing w:after="40" w:before="40" w:line="266" w:lineRule="auto"/>
            </w:pPr>
            <w:r>
              <w:rPr>
                <w:color w:val="182333"/>
                <w:sz w:val="16"/>
              </w:rPr>
              <w:t>Deferred</w:t>
            </w:r>
          </w:p>
        </w:tc>
      </w:tr>
    </w:tbl>
    <w:p>
      <w:pPr>
        <w:spacing w:after="0"/>
      </w:pPr>
    </w:p>
    <w:p>
      <w:pPr>
        <w:pStyle w:val="Heading1"/>
        <w:keepNext/>
        <w:keepLines/>
      </w:pPr>
      <w:r>
        <w:t>2. The product job and outcomes</w:t>
      </w:r>
    </w:p>
    <w:p>
      <w:pPr>
        <w:pStyle w:val="Heading2"/>
        <w:keepNext/>
        <w:keepLines/>
      </w:pPr>
      <w:r>
        <w:t>Purpose</w:t>
      </w:r>
    </w:p>
    <w:p>
      <w:pPr/>
      <w:r>
        <w:t>An interactive futures thought experiment that helps people construct plausible worlds, discover consequential and unexpected changes, investigate how financial needs evolve, and interrogate present-day strategic assumptions. The desk is a catalyst for thinking and conversation—not a forecast, decision engine or automated strategy consultant.</w:t>
      </w:r>
    </w:p>
    <w:p>
      <w:pPr>
        <w:pStyle w:val="Heading2"/>
        <w:keepNext/>
        <w:keepLines/>
      </w:pPr>
      <w:r>
        <w:t>Primary jobs to be done</w:t>
      </w:r>
    </w:p>
    <w:p>
      <w:pPr>
        <w:pStyle w:val="BulletCustom"/>
        <w:keepLines/>
      </w:pPr>
      <w:r>
        <w:t xml:space="preserve">•  </w:t>
      </w:r>
      <w:r>
        <w:t>For an individual explorer: “Help me discover a meaningful implication of a future I would not have seen in today’s product or organisational frame.”</w:t>
      </w:r>
    </w:p>
    <w:p>
      <w:pPr>
        <w:pStyle w:val="BulletCustom"/>
        <w:keepLines/>
      </w:pPr>
      <w:r>
        <w:t xml:space="preserve">•  </w:t>
      </w:r>
      <w:r>
        <w:t>For a product owner: “Help me examine the assumptions behind a roadmap initiative, and see how its relevance or design might shift across futures.”</w:t>
      </w:r>
    </w:p>
    <w:p>
      <w:pPr>
        <w:pStyle w:val="BulletCustom"/>
        <w:keepLines/>
      </w:pPr>
      <w:r>
        <w:t xml:space="preserve">•  </w:t>
      </w:r>
      <w:r>
        <w:t>For a facilitator: “Help people bring concise, comparable provocations to a shared discussion, not 20 pages of generated stimulus.”</w:t>
      </w:r>
    </w:p>
    <w:p>
      <w:pPr>
        <w:pStyle w:val="Heading2"/>
        <w:keepNext/>
        <w:keepLines/>
      </w:pPr>
      <w:r>
        <w:t>What good looks like</w:t>
      </w:r>
    </w:p>
    <w:p>
      <w:pPr/>
      <w:r>
        <w:t>An explorer can articulate: (1) a financial need they investigated; (2) what future assumption they changed; (3) why a plausible implication changes or stays stable; and (4) an assumption, opportunity or dilemma worth discussing. New customer needs and opportunities are welcome outcomes; the primary value is sharper strategic thinking.</w:t>
      </w:r>
    </w:p>
    <w:p>
      <w:pPr>
        <w:pStyle w:val="Heading1"/>
        <w:keepNext/>
        <w:keepLines/>
      </w:pPr>
      <w:r>
        <w:t>3. Recommended end-to-end experience</w:t>
      </w:r>
    </w:p>
    <w:p>
      <w:pPr/>
      <w:r>
        <w:t>Design for exploration and backtracking. These are conceptual moments, not locked screens or mandatory stages.</w:t>
      </w:r>
    </w:p>
    <w:tbl>
      <w:tblPr>
        <w:tblStyle w:val="TableGrid"/>
        <w:tblW w:type="auto" w:w="0"/>
        <w:jc w:val="center"/>
        <w:tblLayout w:type="fixed"/>
        <w:tblLook w:firstColumn="1" w:firstRow="1" w:lastColumn="0" w:lastRow="0" w:noHBand="0" w:noVBand="1" w:val="04A0"/>
      </w:tblPr>
      <w:tblGrid>
        <w:gridCol w:w="1512"/>
        <w:gridCol w:w="3427"/>
        <w:gridCol w:w="4608"/>
      </w:tblGrid>
      <w:tr>
        <w:trPr>
          <w:tblHeader w:val="true"/>
        </w:trPr>
        <w:tc>
          <w:tcPr>
            <w:tcW w:type="dxa" w:w="3202"/>
            <w:shd w:fill="EDEBF5"/>
          </w:tcPr>
          <w:p>
            <w:pPr>
              <w:spacing w:after="60" w:before="40"/>
            </w:pPr>
            <w:r>
              <w:rPr>
                <w:b/>
                <w:color w:val="182333"/>
                <w:sz w:val="16"/>
              </w:rPr>
              <w:t>Moment</w:t>
            </w:r>
          </w:p>
        </w:tc>
        <w:tc>
          <w:tcPr>
            <w:tcW w:type="dxa" w:w="3202"/>
            <w:shd w:fill="EDEBF5"/>
          </w:tcPr>
          <w:p>
            <w:pPr>
              <w:spacing w:after="60" w:before="40"/>
            </w:pPr>
            <w:r>
              <w:rPr>
                <w:b/>
                <w:color w:val="182333"/>
                <w:sz w:val="16"/>
              </w:rPr>
              <w:t>Participant action</w:t>
            </w:r>
          </w:p>
        </w:tc>
        <w:tc>
          <w:tcPr>
            <w:tcW w:type="dxa" w:w="3202"/>
            <w:shd w:fill="EDEBF5"/>
          </w:tcPr>
          <w:p>
            <w:pPr>
              <w:spacing w:after="60" w:before="40"/>
            </w:pPr>
            <w:r>
              <w:rPr>
                <w:b/>
                <w:color w:val="182333"/>
                <w:sz w:val="16"/>
              </w:rPr>
              <w:t>System response</w:t>
            </w:r>
          </w:p>
        </w:tc>
      </w:tr>
      <w:tr>
        <w:trPr>
          <w:cantSplit/>
        </w:trPr>
        <w:tc>
          <w:tcPr>
            <w:tcW w:type="dxa" w:w="1512"/>
            <w:vAlign w:val="top"/>
          </w:tcPr>
          <w:p>
            <w:pPr>
              <w:spacing w:after="40" w:before="40" w:line="266" w:lineRule="auto"/>
            </w:pPr>
            <w:r>
              <w:rPr>
                <w:color w:val="182333"/>
                <w:sz w:val="16"/>
              </w:rPr>
              <w:t>1. Mix a world</w:t>
            </w:r>
          </w:p>
        </w:tc>
        <w:tc>
          <w:tcPr>
            <w:tcW w:type="dxa" w:w="3427"/>
            <w:vAlign w:val="top"/>
          </w:tcPr>
          <w:p>
            <w:pPr>
              <w:spacing w:after="40" w:before="40" w:line="266" w:lineRule="auto"/>
            </w:pPr>
            <w:r>
              <w:rPr>
                <w:color w:val="182333"/>
                <w:sz w:val="16"/>
              </w:rPr>
              <w:t>Choose broad future-shaping conditions; arrive to a populated example.</w:t>
            </w:r>
          </w:p>
        </w:tc>
        <w:tc>
          <w:tcPr>
            <w:tcW w:type="dxa" w:w="4608"/>
            <w:vAlign w:val="top"/>
          </w:tcPr>
          <w:p>
            <w:pPr>
              <w:spacing w:after="40" w:before="40" w:line="266" w:lineRule="auto"/>
            </w:pPr>
            <w:r>
              <w:rPr>
                <w:color w:val="182333"/>
                <w:sz w:val="16"/>
              </w:rPr>
              <w:t>Show one evocative world, a concise description and defining assumptions. Do not dump all sub-futures, stories and HMWs.</w:t>
            </w:r>
          </w:p>
        </w:tc>
      </w:tr>
      <w:tr>
        <w:trPr>
          <w:cantSplit/>
        </w:trPr>
        <w:tc>
          <w:tcPr>
            <w:tcW w:type="dxa" w:w="1512"/>
            <w:vAlign w:val="top"/>
            <w:shd w:fill="F7F8FB"/>
          </w:tcPr>
          <w:p>
            <w:pPr>
              <w:spacing w:after="40" w:before="40" w:line="266" w:lineRule="auto"/>
            </w:pPr>
            <w:r>
              <w:rPr>
                <w:color w:val="182333"/>
                <w:sz w:val="16"/>
              </w:rPr>
              <w:t>2. Discover a tension</w:t>
            </w:r>
          </w:p>
        </w:tc>
        <w:tc>
          <w:tcPr>
            <w:tcW w:type="dxa" w:w="3427"/>
            <w:vAlign w:val="top"/>
            <w:shd w:fill="F7F8FB"/>
          </w:tcPr>
          <w:p>
            <w:pPr>
              <w:spacing w:after="40" w:before="40" w:line="266" w:lineRule="auto"/>
            </w:pPr>
            <w:r>
              <w:rPr>
                <w:color w:val="182333"/>
                <w:sz w:val="16"/>
              </w:rPr>
              <w:t>Choose from a few curated discoveries; optionally seek a specific financial need.</w:t>
            </w:r>
          </w:p>
        </w:tc>
        <w:tc>
          <w:tcPr>
            <w:tcW w:type="dxa" w:w="4608"/>
            <w:vAlign w:val="top"/>
            <w:shd w:fill="F7F8FB"/>
          </w:tcPr>
          <w:p>
            <w:pPr>
              <w:spacing w:after="40" w:before="40" w:line="266" w:lineRule="auto"/>
            </w:pPr>
            <w:r>
              <w:rPr>
                <w:color w:val="182333"/>
                <w:sz w:val="16"/>
              </w:rPr>
              <w:t>Offer different kinds of provocation: significant consequence, unexpected connection, strategic contradiction.</w:t>
            </w:r>
          </w:p>
        </w:tc>
      </w:tr>
      <w:tr>
        <w:trPr>
          <w:cantSplit/>
        </w:trPr>
        <w:tc>
          <w:tcPr>
            <w:tcW w:type="dxa" w:w="1512"/>
            <w:vAlign w:val="top"/>
          </w:tcPr>
          <w:p>
            <w:pPr>
              <w:spacing w:after="40" w:before="40" w:line="266" w:lineRule="auto"/>
            </w:pPr>
            <w:r>
              <w:rPr>
                <w:color w:val="182333"/>
                <w:sz w:val="16"/>
              </w:rPr>
              <w:t>3. Investigate a need</w:t>
            </w:r>
          </w:p>
        </w:tc>
        <w:tc>
          <w:tcPr>
            <w:tcW w:type="dxa" w:w="3427"/>
            <w:vAlign w:val="top"/>
          </w:tcPr>
          <w:p>
            <w:pPr>
              <w:spacing w:after="40" w:before="40" w:line="266" w:lineRule="auto"/>
            </w:pPr>
            <w:r>
              <w:rPr>
                <w:color w:val="182333"/>
                <w:sz w:val="16"/>
              </w:rPr>
              <w:t>Explore a tension anchored to a financial need and an illustrative person / household.</w:t>
            </w:r>
          </w:p>
        </w:tc>
        <w:tc>
          <w:tcPr>
            <w:tcW w:type="dxa" w:w="4608"/>
            <w:vAlign w:val="top"/>
          </w:tcPr>
          <w:p>
            <w:pPr>
              <w:spacing w:after="40" w:before="40" w:line="266" w:lineRule="auto"/>
            </w:pPr>
            <w:r>
              <w:rPr>
                <w:color w:val="182333"/>
                <w:sz w:val="16"/>
              </w:rPr>
              <w:t>Unfold the causal hypothesis, relevant evidence, an everyday financial moment and one meaningful challenge.</w:t>
            </w:r>
          </w:p>
        </w:tc>
      </w:tr>
      <w:tr>
        <w:trPr>
          <w:cantSplit/>
        </w:trPr>
        <w:tc>
          <w:tcPr>
            <w:tcW w:type="dxa" w:w="1512"/>
            <w:vAlign w:val="top"/>
            <w:shd w:fill="F7F8FB"/>
          </w:tcPr>
          <w:p>
            <w:pPr>
              <w:spacing w:after="40" w:before="40" w:line="266" w:lineRule="auto"/>
            </w:pPr>
            <w:r>
              <w:rPr>
                <w:color w:val="182333"/>
                <w:sz w:val="16"/>
              </w:rPr>
              <w:t>4. Change one thing</w:t>
            </w:r>
          </w:p>
        </w:tc>
        <w:tc>
          <w:tcPr>
            <w:tcW w:type="dxa" w:w="3427"/>
            <w:vAlign w:val="top"/>
            <w:shd w:fill="F7F8FB"/>
          </w:tcPr>
          <w:p>
            <w:pPr>
              <w:spacing w:after="40" w:before="40" w:line="266" w:lineRule="auto"/>
            </w:pPr>
            <w:r>
              <w:rPr>
                <w:color w:val="182333"/>
                <w:sz w:val="16"/>
              </w:rPr>
              <w:t>Change a single force while keeping the other conditions fixed.</w:t>
            </w:r>
          </w:p>
        </w:tc>
        <w:tc>
          <w:tcPr>
            <w:tcW w:type="dxa" w:w="4608"/>
            <w:vAlign w:val="top"/>
            <w:shd w:fill="F7F8FB"/>
          </w:tcPr>
          <w:p>
            <w:pPr>
              <w:spacing w:after="40" w:before="40" w:line="266" w:lineRule="auto"/>
            </w:pPr>
            <w:r>
              <w:rPr>
                <w:color w:val="182333"/>
                <w:sz w:val="16"/>
              </w:rPr>
              <w:t>Compare before / after: changed assumption, plausible mechanism, effect on the same need, what persists, and uncertainty.</w:t>
            </w:r>
          </w:p>
        </w:tc>
      </w:tr>
      <w:tr>
        <w:trPr>
          <w:cantSplit/>
        </w:trPr>
        <w:tc>
          <w:tcPr>
            <w:tcW w:type="dxa" w:w="1512"/>
            <w:vAlign w:val="top"/>
          </w:tcPr>
          <w:p>
            <w:pPr>
              <w:spacing w:after="40" w:before="40" w:line="266" w:lineRule="auto"/>
            </w:pPr>
            <w:r>
              <w:rPr>
                <w:color w:val="182333"/>
                <w:sz w:val="16"/>
              </w:rPr>
              <w:t>5. Challenge a view</w:t>
            </w:r>
          </w:p>
        </w:tc>
        <w:tc>
          <w:tcPr>
            <w:tcW w:type="dxa" w:w="3427"/>
            <w:vAlign w:val="top"/>
          </w:tcPr>
          <w:p>
            <w:pPr>
              <w:spacing w:after="40" w:before="40" w:line="266" w:lineRule="auto"/>
            </w:pPr>
            <w:r>
              <w:rPr>
                <w:color w:val="182333"/>
                <w:sz w:val="16"/>
              </w:rPr>
              <w:t>Form a view, confront a counterargument; optionally bring in a roadmap idea.</w:t>
            </w:r>
          </w:p>
        </w:tc>
        <w:tc>
          <w:tcPr>
            <w:tcW w:type="dxa" w:w="4608"/>
            <w:vAlign w:val="top"/>
          </w:tcPr>
          <w:p>
            <w:pPr>
              <w:spacing w:after="40" w:before="40" w:line="266" w:lineRule="auto"/>
            </w:pPr>
            <w:r>
              <w:rPr>
                <w:color w:val="182333"/>
                <w:sz w:val="16"/>
              </w:rPr>
              <w:t>Present competing interpretations and prompts, not a “right answer” or arbitrary scoring.</w:t>
            </w:r>
          </w:p>
        </w:tc>
      </w:tr>
      <w:tr>
        <w:trPr>
          <w:cantSplit/>
        </w:trPr>
        <w:tc>
          <w:tcPr>
            <w:tcW w:type="dxa" w:w="1512"/>
            <w:vAlign w:val="top"/>
            <w:shd w:fill="F7F8FB"/>
          </w:tcPr>
          <w:p>
            <w:pPr>
              <w:spacing w:after="40" w:before="40" w:line="266" w:lineRule="auto"/>
            </w:pPr>
            <w:r>
              <w:rPr>
                <w:color w:val="182333"/>
                <w:sz w:val="16"/>
              </w:rPr>
              <w:t>6. Take away</w:t>
            </w:r>
          </w:p>
        </w:tc>
        <w:tc>
          <w:tcPr>
            <w:tcW w:type="dxa" w:w="3427"/>
            <w:vAlign w:val="top"/>
            <w:shd w:fill="F7F8FB"/>
          </w:tcPr>
          <w:p>
            <w:pPr>
              <w:spacing w:after="40" w:before="40" w:line="266" w:lineRule="auto"/>
            </w:pPr>
            <w:r>
              <w:rPr>
                <w:color w:val="182333"/>
                <w:sz w:val="16"/>
              </w:rPr>
              <w:t>Capture a user-written or selected provocation; copy it for Mural.</w:t>
            </w:r>
          </w:p>
        </w:tc>
        <w:tc>
          <w:tcPr>
            <w:tcW w:type="dxa" w:w="4608"/>
            <w:vAlign w:val="top"/>
            <w:shd w:fill="F7F8FB"/>
          </w:tcPr>
          <w:p>
            <w:pPr>
              <w:spacing w:after="40" w:before="40" w:line="266" w:lineRule="auto"/>
            </w:pPr>
            <w:r>
              <w:rPr>
                <w:color w:val="182333"/>
                <w:sz w:val="16"/>
              </w:rPr>
              <w:t>Export a compact discovery card with scenario context and evidence references, not an undifferentiated full transcript.</w:t>
            </w:r>
          </w:p>
        </w:tc>
      </w:tr>
    </w:tbl>
    <w:p>
      <w:pPr>
        <w:spacing w:after="0"/>
      </w:pPr>
    </w:p>
    <w:p>
      <w:pPr>
        <w:pStyle w:val="Heading2"/>
        <w:keepNext/>
        <w:keepLines/>
      </w:pPr>
      <w:r>
        <w:t>Two interaction rules</w:t>
      </w:r>
    </w:p>
    <w:p>
      <w:pPr>
        <w:pStyle w:val="BulletCustom"/>
        <w:keepLines/>
      </w:pPr>
      <w:r>
        <w:t xml:space="preserve">•  </w:t>
      </w:r>
      <w:r>
        <w:t>A click to reveal another paragraph does not count as participation. People should choose, predict, compare, judge or capture at meaningful points.</w:t>
      </w:r>
    </w:p>
    <w:p>
      <w:pPr>
        <w:pStyle w:val="BulletCustom"/>
        <w:keepLines/>
      </w:pPr>
      <w:r>
        <w:t xml:space="preserve">•  </w:t>
      </w:r>
      <w:r>
        <w:t>Avoid over-questioning. Aim for two or three consequential interactive moments on a typical exploration path; reflection can be optional, never a wall of required fields.</w:t>
      </w:r>
    </w:p>
    <w:p>
      <w:pPr>
        <w:pStyle w:val="Heading1"/>
        <w:keepNext/>
        <w:keepLines/>
      </w:pPr>
      <w:r>
        <w:t>4. The essential experiment: “What if we changed one thing?”</w:t>
      </w:r>
    </w:p>
    <w:p>
      <w:pPr/>
      <w:r>
        <w:t>This is the main feature to prove. Starting from a fixed world and selected financial need, users alter one force, see a logically explained difference and inspect what does not change. The baseline must remain visible or recoverable; changing an input must not silently replace the entire narrative with an unrelated archetype.</w:t>
      </w:r>
    </w:p>
    <w:p>
      <w:pPr>
        <w:pStyle w:val="Heading2"/>
        <w:keepNext/>
        <w:keepLines/>
      </w:pPr>
      <w:r>
        <w:t>Comparison must explicitly show</w:t>
      </w:r>
    </w:p>
    <w:p>
      <w:pPr>
        <w:pStyle w:val="NumberCustom"/>
        <w:keepLines/>
      </w:pPr>
      <w:r>
        <w:rPr>
          <w:b/>
        </w:rPr>
        <w:t xml:space="preserve">1.  </w:t>
      </w:r>
      <w:r>
        <w:t>Before and after world conditions, with the one changed force clearly marked.</w:t>
      </w:r>
    </w:p>
    <w:p>
      <w:pPr>
        <w:pStyle w:val="NumberCustom"/>
        <w:keepLines/>
      </w:pPr>
      <w:r>
        <w:rPr>
          <w:b/>
        </w:rPr>
        <w:t xml:space="preserve">2.  </w:t>
      </w:r>
      <w:r>
        <w:t>A plain-language mechanism: why that change could matter, including interacting assumptions.</w:t>
      </w:r>
    </w:p>
    <w:p>
      <w:pPr>
        <w:pStyle w:val="NumberCustom"/>
        <w:keepLines/>
      </w:pPr>
      <w:r>
        <w:rPr>
          <w:b/>
        </w:rPr>
        <w:t xml:space="preserve">3.  </w:t>
      </w:r>
      <w:r>
        <w:t>A relatable implication for the SAME financial need (and ideally the same customer context).</w:t>
      </w:r>
    </w:p>
    <w:p>
      <w:pPr>
        <w:pStyle w:val="NumberCustom"/>
        <w:keepLines/>
      </w:pPr>
      <w:r>
        <w:rPr>
          <w:b/>
        </w:rPr>
        <w:t xml:space="preserve">4.  </w:t>
      </w:r>
      <w:r>
        <w:t>An invariant: what still matters despite the changed condition.</w:t>
      </w:r>
    </w:p>
    <w:p>
      <w:pPr>
        <w:pStyle w:val="NumberCustom"/>
        <w:keepLines/>
      </w:pPr>
      <w:r>
        <w:rPr>
          <w:b/>
        </w:rPr>
        <w:t xml:space="preserve">5.  </w:t>
      </w:r>
      <w:r>
        <w:t>A credible alternative interpretation or counterargument, plus evidence status.</w:t>
      </w:r>
    </w:p>
    <w:p>
      <w:pPr>
        <w:pStyle w:val="NumberCustom"/>
        <w:keepLines/>
      </w:pPr>
      <w:r>
        <w:rPr>
          <w:b/>
        </w:rPr>
        <w:t xml:space="preserve">6.  </w:t>
      </w:r>
      <w:r>
        <w:t>A participant-led question: “What assumption does this make you reconsider?”</w:t>
      </w:r>
    </w:p>
    <w:p>
      <w:pPr>
        <w:pStyle w:val="Heading2"/>
        <w:keepNext/>
        <w:keepLines/>
      </w:pPr>
      <w:r>
        <w:t>Illustrative test case</w:t>
      </w:r>
    </w:p>
    <w:p>
      <w:pPr/>
      <w:r>
        <w:t>Hold constant: AI substantially reshapes work; income is commonly assembled from multiple sources; society adapts unevenly. Investigate “financial security”. Change only the distribution of economic gains from concentrated to widely shared. The tool should demonstrate what might change about people’s capacity to build buffers while recognising that irregular earnings may remain a problem. This is a hypothesis—not a proven causal forecast.</w:t>
      </w:r>
    </w:p>
    <w:p>
      <w:pPr/>
      <w:r>
        <w:t>A good implementation can sometimes say “no strong difference established” or “plausible outcomes diverge”. It should never manufacture a dramatic effect simply because a dial moved.</w:t>
      </w:r>
    </w:p>
    <w:p>
      <w:pPr>
        <w:pStyle w:val="Heading1"/>
        <w:keepNext/>
        <w:keepLines/>
      </w:pPr>
      <w:r>
        <w:t>5. Future-shaping forces — proposed V2, not locked</w:t>
      </w:r>
    </w:p>
    <w:p>
      <w:pPr/>
      <w:r>
        <w:t>The original controls were: AI work; distribution of gains; livelihood model; world stability; climate action. We agreed to keep the focus broader than work alone, retain societal adaptation and remove the proposed “who carries financial risk?” force. The following is a TEST SET, not a final taxonomy.</w:t>
      </w:r>
    </w:p>
    <w:tbl>
      <w:tblPr>
        <w:tblStyle w:val="TableGrid"/>
        <w:tblW w:type="auto" w:w="0"/>
        <w:jc w:val="center"/>
        <w:tblLayout w:type="fixed"/>
        <w:tblLook w:firstColumn="1" w:firstRow="1" w:lastColumn="0" w:lastRow="0" w:noHBand="0" w:noVBand="1" w:val="04A0"/>
      </w:tblPr>
      <w:tblGrid>
        <w:gridCol w:w="2707"/>
        <w:gridCol w:w="3456"/>
        <w:gridCol w:w="3384"/>
      </w:tblGrid>
      <w:tr>
        <w:trPr>
          <w:tblHeader w:val="true"/>
        </w:trPr>
        <w:tc>
          <w:tcPr>
            <w:tcW w:type="dxa" w:w="3202"/>
            <w:shd w:fill="EDEBF5"/>
          </w:tcPr>
          <w:p>
            <w:pPr>
              <w:spacing w:after="60" w:before="40"/>
            </w:pPr>
            <w:r>
              <w:rPr>
                <w:b/>
                <w:color w:val="182333"/>
                <w:sz w:val="16"/>
              </w:rPr>
              <w:t>Force</w:t>
            </w:r>
          </w:p>
        </w:tc>
        <w:tc>
          <w:tcPr>
            <w:tcW w:type="dxa" w:w="3202"/>
            <w:shd w:fill="EDEBF5"/>
          </w:tcPr>
          <w:p>
            <w:pPr>
              <w:spacing w:after="60" w:before="40"/>
            </w:pPr>
            <w:r>
              <w:rPr>
                <w:b/>
                <w:color w:val="182333"/>
                <w:sz w:val="16"/>
              </w:rPr>
              <w:t>Example three settings</w:t>
            </w:r>
          </w:p>
        </w:tc>
        <w:tc>
          <w:tcPr>
            <w:tcW w:type="dxa" w:w="3202"/>
            <w:shd w:fill="EDEBF5"/>
          </w:tcPr>
          <w:p>
            <w:pPr>
              <w:spacing w:after="60" w:before="40"/>
            </w:pPr>
            <w:r>
              <w:rPr>
                <w:b/>
                <w:color w:val="182333"/>
                <w:sz w:val="16"/>
              </w:rPr>
              <w:t>Why it earns a place</w:t>
            </w:r>
          </w:p>
        </w:tc>
      </w:tr>
      <w:tr>
        <w:trPr>
          <w:cantSplit/>
        </w:trPr>
        <w:tc>
          <w:tcPr>
            <w:tcW w:type="dxa" w:w="2707"/>
            <w:vAlign w:val="top"/>
          </w:tcPr>
          <w:p>
            <w:pPr>
              <w:spacing w:after="40" w:before="40" w:line="266" w:lineRule="auto"/>
            </w:pPr>
            <w:r>
              <w:rPr>
                <w:color w:val="182333"/>
                <w:sz w:val="16"/>
              </w:rPr>
              <w:t>1. What role does AI play in work?</w:t>
            </w:r>
          </w:p>
        </w:tc>
        <w:tc>
          <w:tcPr>
            <w:tcW w:type="dxa" w:w="3456"/>
            <w:vAlign w:val="top"/>
          </w:tcPr>
          <w:p>
            <w:pPr>
              <w:spacing w:after="40" w:before="40" w:line="266" w:lineRule="auto"/>
            </w:pPr>
            <w:r>
              <w:rPr>
                <w:color w:val="182333"/>
                <w:sz w:val="16"/>
              </w:rPr>
              <w:t>Assists people / Reshapes work / Automates most routine work</w:t>
            </w:r>
          </w:p>
        </w:tc>
        <w:tc>
          <w:tcPr>
            <w:tcW w:type="dxa" w:w="3384"/>
            <w:vAlign w:val="top"/>
          </w:tcPr>
          <w:p>
            <w:pPr>
              <w:spacing w:after="40" w:before="40" w:line="266" w:lineRule="auto"/>
            </w:pPr>
            <w:r>
              <w:rPr>
                <w:color w:val="182333"/>
                <w:sz w:val="16"/>
              </w:rPr>
              <w:t>Technology–labour relationship; avoid treating AI capability as identical to job loss.</w:t>
            </w:r>
          </w:p>
        </w:tc>
      </w:tr>
      <w:tr>
        <w:trPr>
          <w:cantSplit/>
        </w:trPr>
        <w:tc>
          <w:tcPr>
            <w:tcW w:type="dxa" w:w="2707"/>
            <w:vAlign w:val="top"/>
            <w:shd w:fill="F7F8FB"/>
          </w:tcPr>
          <w:p>
            <w:pPr>
              <w:spacing w:after="40" w:before="40" w:line="266" w:lineRule="auto"/>
            </w:pPr>
            <w:r>
              <w:rPr>
                <w:color w:val="182333"/>
                <w:sz w:val="16"/>
              </w:rPr>
              <w:t>2. Who benefits from economic gains?</w:t>
            </w:r>
          </w:p>
        </w:tc>
        <w:tc>
          <w:tcPr>
            <w:tcW w:type="dxa" w:w="3456"/>
            <w:vAlign w:val="top"/>
            <w:shd w:fill="F7F8FB"/>
          </w:tcPr>
          <w:p>
            <w:pPr>
              <w:spacing w:after="40" w:before="40" w:line="266" w:lineRule="auto"/>
            </w:pPr>
            <w:r>
              <w:rPr>
                <w:color w:val="182333"/>
                <w:sz w:val="16"/>
              </w:rPr>
              <w:t>A powerful few / Unevenly shared / Widely distributed</w:t>
            </w:r>
          </w:p>
        </w:tc>
        <w:tc>
          <w:tcPr>
            <w:tcW w:type="dxa" w:w="3384"/>
            <w:vAlign w:val="top"/>
            <w:shd w:fill="F7F8FB"/>
          </w:tcPr>
          <w:p>
            <w:pPr>
              <w:spacing w:after="40" w:before="40" w:line="266" w:lineRule="auto"/>
            </w:pPr>
            <w:r>
              <w:rPr>
                <w:color w:val="182333"/>
                <w:sz w:val="16"/>
              </w:rPr>
              <w:t>Captures inequality, ownership and opportunity; avoid implying the whole economy automatically grows.</w:t>
            </w:r>
          </w:p>
        </w:tc>
      </w:tr>
      <w:tr>
        <w:trPr>
          <w:cantSplit/>
        </w:trPr>
        <w:tc>
          <w:tcPr>
            <w:tcW w:type="dxa" w:w="2707"/>
            <w:vAlign w:val="top"/>
          </w:tcPr>
          <w:p>
            <w:pPr>
              <w:spacing w:after="40" w:before="40" w:line="266" w:lineRule="auto"/>
            </w:pPr>
            <w:r>
              <w:rPr>
                <w:color w:val="182333"/>
                <w:sz w:val="16"/>
              </w:rPr>
              <w:t>3. How do people sustain a livelihood?</w:t>
            </w:r>
          </w:p>
        </w:tc>
        <w:tc>
          <w:tcPr>
            <w:tcW w:type="dxa" w:w="3456"/>
            <w:vAlign w:val="top"/>
          </w:tcPr>
          <w:p>
            <w:pPr>
              <w:spacing w:after="40" w:before="40" w:line="266" w:lineRule="auto"/>
            </w:pPr>
            <w:r>
              <w:rPr>
                <w:color w:val="182333"/>
                <w:sz w:val="16"/>
              </w:rPr>
              <w:t>Stable employment / Multiple income streams / Less reliance on paid work</w:t>
            </w:r>
          </w:p>
        </w:tc>
        <w:tc>
          <w:tcPr>
            <w:tcW w:type="dxa" w:w="3384"/>
            <w:vAlign w:val="top"/>
          </w:tcPr>
          <w:p>
            <w:pPr>
              <w:spacing w:after="40" w:before="40" w:line="266" w:lineRule="auto"/>
            </w:pPr>
            <w:r>
              <w:rPr>
                <w:color w:val="182333"/>
                <w:sz w:val="16"/>
              </w:rPr>
              <w:t>Tests how earning and contribution are organised; check carefully for overlap with forces 1 and 2.</w:t>
            </w:r>
          </w:p>
        </w:tc>
      </w:tr>
      <w:tr>
        <w:trPr>
          <w:cantSplit/>
        </w:trPr>
        <w:tc>
          <w:tcPr>
            <w:tcW w:type="dxa" w:w="2707"/>
            <w:vAlign w:val="top"/>
            <w:shd w:fill="F7F8FB"/>
          </w:tcPr>
          <w:p>
            <w:pPr>
              <w:spacing w:after="40" w:before="40" w:line="266" w:lineRule="auto"/>
            </w:pPr>
            <w:r>
              <w:rPr>
                <w:color w:val="182333"/>
                <w:sz w:val="16"/>
              </w:rPr>
              <w:t>4. How connected is the world?</w:t>
            </w:r>
          </w:p>
        </w:tc>
        <w:tc>
          <w:tcPr>
            <w:tcW w:type="dxa" w:w="3456"/>
            <w:vAlign w:val="top"/>
            <w:shd w:fill="F7F8FB"/>
          </w:tcPr>
          <w:p>
            <w:pPr>
              <w:spacing w:after="40" w:before="40" w:line="266" w:lineRule="auto"/>
            </w:pPr>
            <w:r>
              <w:rPr>
                <w:color w:val="182333"/>
                <w:sz w:val="16"/>
              </w:rPr>
              <w:t>Globally integrated / Regional networks / Fragmented and local</w:t>
            </w:r>
          </w:p>
        </w:tc>
        <w:tc>
          <w:tcPr>
            <w:tcW w:type="dxa" w:w="3384"/>
            <w:vAlign w:val="top"/>
            <w:shd w:fill="F7F8FB"/>
          </w:tcPr>
          <w:p>
            <w:pPr>
              <w:spacing w:after="40" w:before="40" w:line="266" w:lineRule="auto"/>
            </w:pPr>
            <w:r>
              <w:rPr>
                <w:color w:val="182333"/>
                <w:sz w:val="16"/>
              </w:rPr>
              <w:t>Proposed replacement to broaden the world: trade, migration, cross-border work and money.</w:t>
            </w:r>
          </w:p>
        </w:tc>
      </w:tr>
      <w:tr>
        <w:trPr>
          <w:cantSplit/>
        </w:trPr>
        <w:tc>
          <w:tcPr>
            <w:tcW w:type="dxa" w:w="2707"/>
            <w:vAlign w:val="top"/>
          </w:tcPr>
          <w:p>
            <w:pPr>
              <w:spacing w:after="40" w:before="40" w:line="266" w:lineRule="auto"/>
            </w:pPr>
            <w:r>
              <w:rPr>
                <w:color w:val="182333"/>
                <w:sz w:val="16"/>
              </w:rPr>
              <w:t>5. How does society respond to disruption?</w:t>
            </w:r>
          </w:p>
        </w:tc>
        <w:tc>
          <w:tcPr>
            <w:tcW w:type="dxa" w:w="3456"/>
            <w:vAlign w:val="top"/>
          </w:tcPr>
          <w:p>
            <w:pPr>
              <w:spacing w:after="40" w:before="40" w:line="266" w:lineRule="auto"/>
            </w:pPr>
            <w:r>
              <w:rPr>
                <w:color w:val="182333"/>
                <w:sz w:val="16"/>
              </w:rPr>
              <w:t>Reactive / Uneven adaptation / Coordinated resilience</w:t>
            </w:r>
          </w:p>
        </w:tc>
        <w:tc>
          <w:tcPr>
            <w:tcW w:type="dxa" w:w="3384"/>
            <w:vAlign w:val="top"/>
          </w:tcPr>
          <w:p>
            <w:pPr>
              <w:spacing w:after="40" w:before="40" w:line="266" w:lineRule="auto"/>
            </w:pPr>
            <w:r>
              <w:rPr>
                <w:color w:val="182333"/>
                <w:sz w:val="16"/>
              </w:rPr>
              <w:t>Explicit user preference. Explore institutional and community responses to economic, climate and other shocks.</w:t>
            </w:r>
          </w:p>
        </w:tc>
      </w:tr>
    </w:tbl>
    <w:p>
      <w:pPr>
        <w:spacing w:after="0"/>
      </w:pPr>
    </w:p>
    <w:p>
      <w:pPr>
        <w:pStyle w:val="Heading2"/>
        <w:keepNext/>
        <w:keepLines/>
      </w:pPr>
      <w:r>
        <w:t>Force design constraints</w:t>
      </w:r>
    </w:p>
    <w:p>
      <w:pPr>
        <w:pStyle w:val="BulletCustom"/>
        <w:keepLines/>
      </w:pPr>
      <w:r>
        <w:t xml:space="preserve">•  </w:t>
      </w:r>
      <w:r>
        <w:t>Do not add “who carries financial risk?” as a top-level force. Risk, protection and responsibility belong in the consequences and financial-life implications.</w:t>
      </w:r>
    </w:p>
    <w:p>
      <w:pPr>
        <w:pStyle w:val="BulletCustom"/>
        <w:keepLines/>
      </w:pPr>
      <w:r>
        <w:t xml:space="preserve">•  </w:t>
      </w:r>
      <w:r>
        <w:t>Do not silently erase climate or ageing. Climate disruption and demographic shifts may be evidenced cross-cutting pressures, scenarios, or givens—but the treatment should be explicit and justified.</w:t>
      </w:r>
    </w:p>
    <w:p>
      <w:pPr>
        <w:pStyle w:val="BulletCustom"/>
        <w:keepLines/>
      </w:pPr>
      <w:r>
        <w:t xml:space="preserve">•  </w:t>
      </w:r>
      <w:r>
        <w:t>The fifth force concerns response / adaptation, not an objective “good versus bad” score. Coordinated responses can still have downsides; reactive responses may produce local innovation.</w:t>
      </w:r>
    </w:p>
    <w:p>
      <w:pPr>
        <w:pStyle w:val="BulletCustom"/>
        <w:keepLines/>
      </w:pPr>
      <w:r>
        <w:t xml:space="preserve">•  </w:t>
      </w:r>
      <w:r>
        <w:t>Check independence: an apparently unusual combination may be an interesting counterfactual, or genuinely incoherent. Flag tensions instead of quietly forcing a story.</w:t>
      </w:r>
    </w:p>
    <w:p>
      <w:pPr>
        <w:pStyle w:val="BulletCustom"/>
        <w:keepLines/>
      </w:pPr>
      <w:r>
        <w:t xml:space="preserve">•  </w:t>
      </w:r>
      <w:r>
        <w:t>Do not preserve the number five at the expense of useful independence. If testing shows four forces work better, recommend four with a rationale.</w:t>
      </w:r>
    </w:p>
    <w:p>
      <w:pPr>
        <w:pStyle w:val="Heading2"/>
        <w:keepNext/>
        <w:keepLines/>
      </w:pPr>
      <w:r>
        <w:t>How to validate the forces before scaling content</w:t>
      </w:r>
    </w:p>
    <w:p>
      <w:pPr/>
      <w:r>
        <w:t>Use a small matrix of contrasting combinations. For each force, hold the other inputs fixed and ask: Does toggling it change a mechanism, a financial need, or a strategic assumption in a way a participant could explain? Is the difference substantive rather than just new wording? Are the settings accessible to non-futurists? Are combinations plausibly coherent?</w:t>
      </w:r>
    </w:p>
    <w:p>
      <w:pPr>
        <w:pStyle w:val="Heading1"/>
        <w:keepNext/>
        <w:keepLines/>
      </w:pPr>
      <w:r>
        <w:t>6. New content architecture</w:t>
      </w:r>
    </w:p>
    <w:p>
      <w:pPr/>
      <w:r>
        <w:t>Keep the existing eight named futures as reusable creative archetypes / entry points where helpful. Keep the 15 sub-futures as source material, but refactor selected ones into discoverable “future tensions”. Do not discard published, sourced material without mapping it to its new role.</w:t>
      </w:r>
    </w:p>
    <w:p>
      <w:pPr>
        <w:pStyle w:val="Heading2"/>
        <w:keepNext/>
        <w:keepLines/>
      </w:pPr>
      <w:r>
        <w:t>Recommended content relationships</w:t>
      </w:r>
    </w:p>
    <w:tbl>
      <w:tblPr>
        <w:tblW w:type="auto" w:w="0"/>
        <w:tblLayout w:type="fixed"/>
        <w:tblLook w:firstColumn="1" w:firstRow="1" w:lastColumn="0" w:lastRow="0" w:noHBand="0" w:noVBand="1" w:val="04A0"/>
      </w:tblPr>
      <w:tblGrid>
        <w:gridCol w:w="9576"/>
      </w:tblGrid>
      <w:tr>
        <w:tc>
          <w:tcPr>
            <w:tcW w:type="dxa" w:w="9605"/>
            <w:shd w:fill="F1EFF9"/>
            <w:vAlign w:val="center"/>
          </w:tcPr>
          <w:p>
            <w:pPr>
              <w:pStyle w:val="Callout"/>
              <w:spacing w:before="80" w:after="100"/>
            </w:pPr>
            <w:r>
              <w:t>World conditions → Plausible mechanisms / tensions → Financial need under pressure → Lived customer consequence → Strategic dilemma / assumption → Participant takeaway</w:t>
            </w:r>
          </w:p>
        </w:tc>
      </w:tr>
    </w:tbl>
    <w:p>
      <w:pPr>
        <w:spacing w:after="0"/>
      </w:pPr>
    </w:p>
    <w:p>
      <w:pPr>
        <w:pStyle w:val="Heading2"/>
        <w:keepNext/>
        <w:keepLines/>
      </w:pPr>
      <w:r>
        <w:t>Minimum structured fields for each tension</w:t>
      </w:r>
    </w:p>
    <w:tbl>
      <w:tblPr>
        <w:tblStyle w:val="TableGrid"/>
        <w:tblW w:type="auto" w:w="0"/>
        <w:jc w:val="center"/>
        <w:tblLayout w:type="fixed"/>
        <w:tblLook w:firstColumn="1" w:firstRow="1" w:lastColumn="0" w:lastRow="0" w:noHBand="0" w:noVBand="1" w:val="04A0"/>
      </w:tblPr>
      <w:tblGrid>
        <w:gridCol w:w="2477"/>
        <w:gridCol w:w="7070"/>
      </w:tblGrid>
      <w:tr>
        <w:trPr>
          <w:tblHeader w:val="true"/>
        </w:trPr>
        <w:tc>
          <w:tcPr>
            <w:tcW w:type="dxa" w:w="4802"/>
            <w:shd w:fill="EDEBF5"/>
          </w:tcPr>
          <w:p>
            <w:pPr>
              <w:spacing w:after="60" w:before="40"/>
            </w:pPr>
            <w:r>
              <w:rPr>
                <w:b/>
                <w:color w:val="182333"/>
                <w:sz w:val="16"/>
              </w:rPr>
              <w:t>Field</w:t>
            </w:r>
          </w:p>
        </w:tc>
        <w:tc>
          <w:tcPr>
            <w:tcW w:type="dxa" w:w="4802"/>
            <w:shd w:fill="EDEBF5"/>
          </w:tcPr>
          <w:p>
            <w:pPr>
              <w:spacing w:after="60" w:before="40"/>
            </w:pPr>
            <w:r>
              <w:rPr>
                <w:b/>
                <w:color w:val="182333"/>
                <w:sz w:val="16"/>
              </w:rPr>
              <w:t>What to contain</w:t>
            </w:r>
          </w:p>
        </w:tc>
      </w:tr>
      <w:tr>
        <w:trPr>
          <w:cantSplit/>
        </w:trPr>
        <w:tc>
          <w:tcPr>
            <w:tcW w:type="dxa" w:w="2477"/>
            <w:vAlign w:val="top"/>
          </w:tcPr>
          <w:p>
            <w:pPr>
              <w:spacing w:after="40" w:before="40" w:line="266" w:lineRule="auto"/>
            </w:pPr>
            <w:r>
              <w:rPr>
                <w:color w:val="182333"/>
                <w:sz w:val="16"/>
              </w:rPr>
              <w:t>id / title / editorial type</w:t>
            </w:r>
          </w:p>
        </w:tc>
        <w:tc>
          <w:tcPr>
            <w:tcW w:type="dxa" w:w="7070"/>
            <w:vAlign w:val="top"/>
          </w:tcPr>
          <w:p>
            <w:pPr>
              <w:spacing w:after="40" w:before="40" w:line="266" w:lineRule="auto"/>
            </w:pPr>
            <w:r>
              <w:rPr>
                <w:color w:val="182333"/>
                <w:sz w:val="16"/>
              </w:rPr>
              <w:t>Stable key; plain-language title; significant consequence, unexpected connection or strategic contradiction.</w:t>
            </w:r>
          </w:p>
        </w:tc>
      </w:tr>
      <w:tr>
        <w:trPr>
          <w:cantSplit/>
        </w:trPr>
        <w:tc>
          <w:tcPr>
            <w:tcW w:type="dxa" w:w="2477"/>
            <w:vAlign w:val="top"/>
            <w:shd w:fill="F7F8FB"/>
          </w:tcPr>
          <w:p>
            <w:pPr>
              <w:spacing w:after="40" w:before="40" w:line="266" w:lineRule="auto"/>
            </w:pPr>
            <w:r>
              <w:rPr>
                <w:color w:val="182333"/>
                <w:sz w:val="16"/>
              </w:rPr>
              <w:t>activation / sensitivity</w:t>
            </w:r>
          </w:p>
        </w:tc>
        <w:tc>
          <w:tcPr>
            <w:tcW w:type="dxa" w:w="7070"/>
            <w:vAlign w:val="top"/>
            <w:shd w:fill="F7F8FB"/>
          </w:tcPr>
          <w:p>
            <w:pPr>
              <w:spacing w:after="40" w:before="40" w:line="266" w:lineRule="auto"/>
            </w:pPr>
            <w:r>
              <w:rPr>
                <w:color w:val="182333"/>
                <w:sz w:val="16"/>
              </w:rPr>
              <w:t>Which force settings matter, how they interact, and when the tension is relevant or not well supported.</w:t>
            </w:r>
          </w:p>
        </w:tc>
      </w:tr>
      <w:tr>
        <w:trPr>
          <w:cantSplit/>
        </w:trPr>
        <w:tc>
          <w:tcPr>
            <w:tcW w:type="dxa" w:w="2477"/>
            <w:vAlign w:val="top"/>
          </w:tcPr>
          <w:p>
            <w:pPr>
              <w:spacing w:after="40" w:before="40" w:line="266" w:lineRule="auto"/>
            </w:pPr>
            <w:r>
              <w:rPr>
                <w:color w:val="182333"/>
                <w:sz w:val="16"/>
              </w:rPr>
              <w:t>mechanism</w:t>
            </w:r>
          </w:p>
        </w:tc>
        <w:tc>
          <w:tcPr>
            <w:tcW w:type="dxa" w:w="7070"/>
            <w:vAlign w:val="top"/>
          </w:tcPr>
          <w:p>
            <w:pPr>
              <w:spacing w:after="40" w:before="40" w:line="266" w:lineRule="auto"/>
            </w:pPr>
            <w:r>
              <w:rPr>
                <w:color w:val="182333"/>
                <w:sz w:val="16"/>
              </w:rPr>
              <w:t>An explicit “because / therefore / but” causal hypothesis, not only a generic outcome statement.</w:t>
            </w:r>
          </w:p>
        </w:tc>
      </w:tr>
      <w:tr>
        <w:trPr>
          <w:cantSplit/>
        </w:trPr>
        <w:tc>
          <w:tcPr>
            <w:tcW w:type="dxa" w:w="2477"/>
            <w:vAlign w:val="top"/>
            <w:shd w:fill="F7F8FB"/>
          </w:tcPr>
          <w:p>
            <w:pPr>
              <w:spacing w:after="40" w:before="40" w:line="266" w:lineRule="auto"/>
            </w:pPr>
            <w:r>
              <w:rPr>
                <w:color w:val="182333"/>
                <w:sz w:val="16"/>
              </w:rPr>
              <w:t>financial_needs</w:t>
            </w:r>
          </w:p>
        </w:tc>
        <w:tc>
          <w:tcPr>
            <w:tcW w:type="dxa" w:w="7070"/>
            <w:vAlign w:val="top"/>
            <w:shd w:fill="F7F8FB"/>
          </w:tcPr>
          <w:p>
            <w:pPr>
              <w:spacing w:after="40" w:before="40" w:line="266" w:lineRule="auto"/>
            </w:pPr>
            <w:r>
              <w:rPr>
                <w:color w:val="182333"/>
                <w:sz w:val="16"/>
              </w:rPr>
              <w:t>One primary enduring need plus optional related needs; tags support investigation and comparison.</w:t>
            </w:r>
          </w:p>
        </w:tc>
      </w:tr>
      <w:tr>
        <w:trPr>
          <w:cantSplit/>
        </w:trPr>
        <w:tc>
          <w:tcPr>
            <w:tcW w:type="dxa" w:w="2477"/>
            <w:vAlign w:val="top"/>
          </w:tcPr>
          <w:p>
            <w:pPr>
              <w:spacing w:after="40" w:before="40" w:line="266" w:lineRule="auto"/>
            </w:pPr>
            <w:r>
              <w:rPr>
                <w:color w:val="182333"/>
                <w:sz w:val="16"/>
              </w:rPr>
              <w:t>baseline / alternate implications</w:t>
            </w:r>
          </w:p>
        </w:tc>
        <w:tc>
          <w:tcPr>
            <w:tcW w:type="dxa" w:w="7070"/>
            <w:vAlign w:val="top"/>
          </w:tcPr>
          <w:p>
            <w:pPr>
              <w:spacing w:after="40" w:before="40" w:line="266" w:lineRule="auto"/>
            </w:pPr>
            <w:r>
              <w:rPr>
                <w:color w:val="182333"/>
                <w:sz w:val="16"/>
              </w:rPr>
              <w:t>Prewritten short variants that can be compared when a force changes; say what remains unchanged.</w:t>
            </w:r>
          </w:p>
        </w:tc>
      </w:tr>
      <w:tr>
        <w:trPr>
          <w:cantSplit/>
        </w:trPr>
        <w:tc>
          <w:tcPr>
            <w:tcW w:type="dxa" w:w="2477"/>
            <w:vAlign w:val="top"/>
            <w:shd w:fill="F7F8FB"/>
          </w:tcPr>
          <w:p>
            <w:pPr>
              <w:spacing w:after="40" w:before="40" w:line="266" w:lineRule="auto"/>
            </w:pPr>
            <w:r>
              <w:rPr>
                <w:color w:val="182333"/>
                <w:sz w:val="16"/>
              </w:rPr>
              <w:t>customer_lens</w:t>
            </w:r>
          </w:p>
        </w:tc>
        <w:tc>
          <w:tcPr>
            <w:tcW w:type="dxa" w:w="7070"/>
            <w:vAlign w:val="top"/>
            <w:shd w:fill="F7F8FB"/>
          </w:tcPr>
          <w:p>
            <w:pPr>
              <w:spacing w:after="40" w:before="40" w:line="266" w:lineRule="auto"/>
            </w:pPr>
            <w:r>
              <w:rPr>
                <w:color w:val="182333"/>
                <w:sz w:val="16"/>
              </w:rPr>
              <w:t>A short illustrative human moment involving at least two parts of financial life; avoid stereotyped personas.</w:t>
            </w:r>
          </w:p>
        </w:tc>
      </w:tr>
      <w:tr>
        <w:trPr>
          <w:cantSplit/>
        </w:trPr>
        <w:tc>
          <w:tcPr>
            <w:tcW w:type="dxa" w:w="2477"/>
            <w:vAlign w:val="top"/>
          </w:tcPr>
          <w:p>
            <w:pPr>
              <w:spacing w:after="40" w:before="40" w:line="266" w:lineRule="auto"/>
            </w:pPr>
            <w:r>
              <w:rPr>
                <w:color w:val="182333"/>
                <w:sz w:val="16"/>
              </w:rPr>
              <w:t>strategic_challenge</w:t>
            </w:r>
          </w:p>
        </w:tc>
        <w:tc>
          <w:tcPr>
            <w:tcW w:type="dxa" w:w="7070"/>
            <w:vAlign w:val="top"/>
          </w:tcPr>
          <w:p>
            <w:pPr>
              <w:spacing w:after="40" w:before="40" w:line="266" w:lineRule="auto"/>
            </w:pPr>
            <w:r>
              <w:rPr>
                <w:color w:val="182333"/>
                <w:sz w:val="16"/>
              </w:rPr>
              <w:t>An assumption under pressure, a genuinely difficult dilemma, and at least one credible counterargument.</w:t>
            </w:r>
          </w:p>
        </w:tc>
      </w:tr>
      <w:tr>
        <w:trPr>
          <w:cantSplit/>
        </w:trPr>
        <w:tc>
          <w:tcPr>
            <w:tcW w:type="dxa" w:w="2477"/>
            <w:vAlign w:val="top"/>
            <w:shd w:fill="F7F8FB"/>
          </w:tcPr>
          <w:p>
            <w:pPr>
              <w:spacing w:after="40" w:before="40" w:line="266" w:lineRule="auto"/>
            </w:pPr>
            <w:r>
              <w:rPr>
                <w:color w:val="182333"/>
                <w:sz w:val="16"/>
              </w:rPr>
              <w:t>evidence / uncertainty</w:t>
            </w:r>
          </w:p>
        </w:tc>
        <w:tc>
          <w:tcPr>
            <w:tcW w:type="dxa" w:w="7070"/>
            <w:vAlign w:val="top"/>
            <w:shd w:fill="F7F8FB"/>
          </w:tcPr>
          <w:p>
            <w:pPr>
              <w:spacing w:after="40" w:before="40" w:line="266" w:lineRule="auto"/>
            </w:pPr>
            <w:r>
              <w:rPr>
                <w:color w:val="182333"/>
                <w:sz w:val="16"/>
              </w:rPr>
              <w:t>Source IDs, geography, as-of date; observed fact vs projection vs scenario assumption vs interpretation.</w:t>
            </w:r>
          </w:p>
        </w:tc>
      </w:tr>
      <w:tr>
        <w:trPr>
          <w:cantSplit/>
        </w:trPr>
        <w:tc>
          <w:tcPr>
            <w:tcW w:type="dxa" w:w="2477"/>
            <w:vAlign w:val="top"/>
          </w:tcPr>
          <w:p>
            <w:pPr>
              <w:spacing w:after="40" w:before="40" w:line="266" w:lineRule="auto"/>
            </w:pPr>
            <w:r>
              <w:rPr>
                <w:color w:val="182333"/>
                <w:sz w:val="16"/>
              </w:rPr>
              <w:t>takeaway_prompts</w:t>
            </w:r>
          </w:p>
        </w:tc>
        <w:tc>
          <w:tcPr>
            <w:tcW w:type="dxa" w:w="7070"/>
            <w:vAlign w:val="top"/>
          </w:tcPr>
          <w:p>
            <w:pPr>
              <w:spacing w:after="40" w:before="40" w:line="266" w:lineRule="auto"/>
            </w:pPr>
            <w:r>
              <w:rPr>
                <w:color w:val="182333"/>
                <w:sz w:val="16"/>
              </w:rPr>
              <w:t>Optional sentence starters for users to capture their own insight or test an initiative.</w:t>
            </w:r>
          </w:p>
        </w:tc>
      </w:tr>
    </w:tbl>
    <w:p>
      <w:pPr>
        <w:spacing w:after="0"/>
      </w:pPr>
    </w:p>
    <w:p>
      <w:pPr>
        <w:pStyle w:val="Heading2"/>
        <w:keepNext/>
        <w:keepLines/>
      </w:pPr>
      <w:r>
        <w:t>Selection and comparison logic</w:t>
      </w:r>
    </w:p>
    <w:p>
      <w:pPr>
        <w:pStyle w:val="BulletCustom"/>
        <w:keepLines/>
      </w:pPr>
      <w:r>
        <w:t xml:space="preserve">•  </w:t>
      </w:r>
      <w:r>
        <w:t>For initial discovery, choose a small, diverse set of relevant tensions—not simply the top three scores. Curate for significance, non-obviousness and contradiction. Those are editorial designations, not quantified facts.</w:t>
      </w:r>
    </w:p>
    <w:p>
      <w:pPr>
        <w:pStyle w:val="BulletCustom"/>
        <w:keepLines/>
      </w:pPr>
      <w:r>
        <w:t xml:space="preserve">•  </w:t>
      </w:r>
      <w:r>
        <w:t>Use the same underlying tension object for exploring a need and comparing forces. Stable tension IDs allow coherent before/after comparison.</w:t>
      </w:r>
    </w:p>
    <w:p>
      <w:pPr>
        <w:pStyle w:val="BulletCustom"/>
        <w:keepLines/>
      </w:pPr>
      <w:r>
        <w:t xml:space="preserve">•  </w:t>
      </w:r>
      <w:r>
        <w:t>The current nearest-of-eight futures mapping can remain for visual framing, but it must not become the explanation of the change. Mechanisms and financial implications must carry that explanation.</w:t>
      </w:r>
    </w:p>
    <w:p>
      <w:pPr>
        <w:pStyle w:val="BulletCustom"/>
        <w:keepLines/>
      </w:pPr>
      <w:r>
        <w:t xml:space="preserve">•  </w:t>
      </w:r>
      <w:r>
        <w:t>Track world state separately from exploration state: selected force values, baseline comparison values, selected financial need/tension, optional reflection and export. Avoid stale results after changing a force.</w:t>
      </w:r>
    </w:p>
    <w:p>
      <w:pPr>
        <w:pStyle w:val="BulletCustom"/>
        <w:keepLines/>
      </w:pPr>
      <w:r>
        <w:t xml:space="preserve">•  </w:t>
      </w:r>
      <w:r>
        <w:t>For unsupported combinations or unverified causal claims, provide an uncertainty note or a limited comparison—not confident filler.</w:t>
      </w:r>
    </w:p>
    <w:p>
      <w:pPr>
        <w:pStyle w:val="Heading2"/>
        <w:keepNext/>
        <w:keepLines/>
      </w:pPr>
      <w:r>
        <w:t>Illustrative need taxonomy for navigation (not final)</w:t>
      </w:r>
    </w:p>
    <w:p>
      <w:pPr/>
      <w:r>
        <w:t>Manage everyday affordability; Feel secure and resilient; Access opportunities and major life goals; Build and retain resources; Navigate work and life transitions; Prepare for later life and care. These are entry lenses, not a closed list of needs the desk is allowed to discover.</w:t>
      </w:r>
    </w:p>
    <w:p>
      <w:pPr>
        <w:pStyle w:val="Heading1"/>
        <w:keepNext/>
        <w:keepLines/>
      </w:pPr>
      <w:r>
        <w:t>7. Editorial tone, provocation and evidence</w:t>
      </w:r>
    </w:p>
    <w:p>
      <w:pPr>
        <w:pStyle w:val="Heading2"/>
        <w:keepNext/>
        <w:keepLines/>
      </w:pPr>
      <w:r>
        <w:t>Constructive provocateur</w:t>
      </w:r>
    </w:p>
    <w:p>
      <w:pPr/>
      <w:r>
        <w:t>The desk should make a participant challenge a familiar assumption without directing them towards one “correct” bank strategy. Lead with a concrete dilemma (not a vague HMW); allow competing defensible interpretations. A question that simply asks how banks could use AI is too generic.</w:t>
      </w:r>
    </w:p>
    <w:p>
      <w:pPr>
        <w:pStyle w:val="BulletCustom"/>
        <w:keepLines/>
      </w:pPr>
      <w:r>
        <w:t xml:space="preserve">•  </w:t>
      </w:r>
      <w:r>
        <w:t>Ask what could break, for whom, why, and what role institutions might or might not play.</w:t>
      </w:r>
    </w:p>
    <w:p>
      <w:pPr>
        <w:pStyle w:val="BulletCustom"/>
        <w:keepLines/>
      </w:pPr>
      <w:r>
        <w:t xml:space="preserve">•  </w:t>
      </w:r>
      <w:r>
        <w:t>Include one credible counterargument per substantial provocation; reflect trade-offs such as convenience versus autonomy, access versus protection, innovation versus exclusion.</w:t>
      </w:r>
    </w:p>
    <w:p>
      <w:pPr>
        <w:pStyle w:val="BulletCustom"/>
        <w:keepLines/>
      </w:pPr>
      <w:r>
        <w:t xml:space="preserve">•  </w:t>
      </w:r>
      <w:r>
        <w:t>Do not make every outcome catastrophic or disruptive. Some conditions preserve or strengthen current arrangements; uncertainty is a meaningful finding.</w:t>
      </w:r>
    </w:p>
    <w:p>
      <w:pPr>
        <w:pStyle w:val="BulletCustom"/>
        <w:keepLines/>
      </w:pPr>
      <w:r>
        <w:t xml:space="preserve">•  </w:t>
      </w:r>
      <w:r>
        <w:t>Avoid repeatedly converging on the same fashionable answers such as “more personalisation”, “proactive AI” or “banks become platforms”.</w:t>
      </w:r>
    </w:p>
    <w:p>
      <w:pPr>
        <w:pStyle w:val="Heading2"/>
        <w:keepNext/>
        <w:keepLines/>
      </w:pPr>
      <w:r>
        <w:t>Four separate epistemic labels</w:t>
      </w:r>
    </w:p>
    <w:tbl>
      <w:tblPr>
        <w:tblStyle w:val="TableGrid"/>
        <w:tblW w:type="auto" w:w="0"/>
        <w:jc w:val="center"/>
        <w:tblLayout w:type="fixed"/>
        <w:tblLook w:firstColumn="1" w:firstRow="1" w:lastColumn="0" w:lastRow="0" w:noHBand="0" w:noVBand="1" w:val="04A0"/>
      </w:tblPr>
      <w:tblGrid>
        <w:gridCol w:w="2390"/>
        <w:gridCol w:w="7157"/>
      </w:tblGrid>
      <w:tr>
        <w:trPr>
          <w:tblHeader w:val="true"/>
        </w:trPr>
        <w:tc>
          <w:tcPr>
            <w:tcW w:type="dxa" w:w="4802"/>
            <w:shd w:fill="EDEBF5"/>
          </w:tcPr>
          <w:p>
            <w:pPr>
              <w:spacing w:after="60" w:before="40"/>
            </w:pPr>
            <w:r>
              <w:rPr>
                <w:b/>
                <w:color w:val="182333"/>
                <w:sz w:val="16"/>
              </w:rPr>
              <w:t>Label</w:t>
            </w:r>
          </w:p>
        </w:tc>
        <w:tc>
          <w:tcPr>
            <w:tcW w:type="dxa" w:w="4802"/>
            <w:shd w:fill="EDEBF5"/>
          </w:tcPr>
          <w:p>
            <w:pPr>
              <w:spacing w:after="60" w:before="40"/>
            </w:pPr>
            <w:r>
              <w:rPr>
                <w:b/>
                <w:color w:val="182333"/>
                <w:sz w:val="16"/>
              </w:rPr>
              <w:t>Rule</w:t>
            </w:r>
          </w:p>
        </w:tc>
      </w:tr>
      <w:tr>
        <w:trPr>
          <w:cantSplit/>
        </w:trPr>
        <w:tc>
          <w:tcPr>
            <w:tcW w:type="dxa" w:w="2390"/>
            <w:vAlign w:val="top"/>
          </w:tcPr>
          <w:p>
            <w:pPr>
              <w:spacing w:after="40" w:before="40" w:line="266" w:lineRule="auto"/>
            </w:pPr>
            <w:r>
              <w:rPr>
                <w:color w:val="182333"/>
                <w:sz w:val="16"/>
              </w:rPr>
              <w:t>Observed evidence</w:t>
            </w:r>
          </w:p>
        </w:tc>
        <w:tc>
          <w:tcPr>
            <w:tcW w:type="dxa" w:w="7157"/>
            <w:vAlign w:val="top"/>
          </w:tcPr>
          <w:p>
            <w:pPr>
              <w:spacing w:after="40" w:before="40" w:line="266" w:lineRule="auto"/>
            </w:pPr>
            <w:r>
              <w:rPr>
                <w:color w:val="182333"/>
                <w:sz w:val="16"/>
              </w:rPr>
              <w:t>A sourced fact about a specified time and geography; do not pass it off as proof of 2050 outcomes.</w:t>
            </w:r>
          </w:p>
        </w:tc>
      </w:tr>
      <w:tr>
        <w:trPr>
          <w:cantSplit/>
        </w:trPr>
        <w:tc>
          <w:tcPr>
            <w:tcW w:type="dxa" w:w="2390"/>
            <w:vAlign w:val="top"/>
            <w:shd w:fill="F7F8FB"/>
          </w:tcPr>
          <w:p>
            <w:pPr>
              <w:spacing w:after="40" w:before="40" w:line="266" w:lineRule="auto"/>
            </w:pPr>
            <w:r>
              <w:rPr>
                <w:color w:val="182333"/>
                <w:sz w:val="16"/>
              </w:rPr>
              <w:t>Published projection</w:t>
            </w:r>
          </w:p>
        </w:tc>
        <w:tc>
          <w:tcPr>
            <w:tcW w:type="dxa" w:w="7157"/>
            <w:vAlign w:val="top"/>
            <w:shd w:fill="F7F8FB"/>
          </w:tcPr>
          <w:p>
            <w:pPr>
              <w:spacing w:after="40" w:before="40" w:line="266" w:lineRule="auto"/>
            </w:pPr>
            <w:r>
              <w:rPr>
                <w:color w:val="182333"/>
                <w:sz w:val="16"/>
              </w:rPr>
              <w:t>A source-backed projection with stated assumptions, range and horizon.</w:t>
            </w:r>
          </w:p>
        </w:tc>
      </w:tr>
      <w:tr>
        <w:trPr>
          <w:cantSplit/>
        </w:trPr>
        <w:tc>
          <w:tcPr>
            <w:tcW w:type="dxa" w:w="2390"/>
            <w:vAlign w:val="top"/>
          </w:tcPr>
          <w:p>
            <w:pPr>
              <w:spacing w:after="40" w:before="40" w:line="266" w:lineRule="auto"/>
            </w:pPr>
            <w:r>
              <w:rPr>
                <w:color w:val="182333"/>
                <w:sz w:val="16"/>
              </w:rPr>
              <w:t>Scenario assumption</w:t>
            </w:r>
          </w:p>
        </w:tc>
        <w:tc>
          <w:tcPr>
            <w:tcW w:type="dxa" w:w="7157"/>
            <w:vAlign w:val="top"/>
          </w:tcPr>
          <w:p>
            <w:pPr>
              <w:spacing w:after="40" w:before="40" w:line="266" w:lineRule="auto"/>
            </w:pPr>
            <w:r>
              <w:rPr>
                <w:color w:val="182333"/>
                <w:sz w:val="16"/>
              </w:rPr>
              <w:t>A condition deliberately selected by a participant, not a prediction.</w:t>
            </w:r>
          </w:p>
        </w:tc>
      </w:tr>
      <w:tr>
        <w:trPr>
          <w:cantSplit/>
        </w:trPr>
        <w:tc>
          <w:tcPr>
            <w:tcW w:type="dxa" w:w="2390"/>
            <w:vAlign w:val="top"/>
            <w:shd w:fill="F7F8FB"/>
          </w:tcPr>
          <w:p>
            <w:pPr>
              <w:spacing w:after="40" w:before="40" w:line="266" w:lineRule="auto"/>
            </w:pPr>
            <w:r>
              <w:rPr>
                <w:color w:val="182333"/>
                <w:sz w:val="16"/>
              </w:rPr>
              <w:t>Strategic hypothesis</w:t>
            </w:r>
          </w:p>
        </w:tc>
        <w:tc>
          <w:tcPr>
            <w:tcW w:type="dxa" w:w="7157"/>
            <w:vAlign w:val="top"/>
            <w:shd w:fill="F7F8FB"/>
          </w:tcPr>
          <w:p>
            <w:pPr>
              <w:spacing w:after="40" w:before="40" w:line="266" w:lineRule="auto"/>
            </w:pPr>
            <w:r>
              <w:rPr>
                <w:color w:val="182333"/>
                <w:sz w:val="16"/>
              </w:rPr>
              <w:t>A reasoned interpretation or implication. Label as plausible, contestable and open to alternatives.</w:t>
            </w:r>
          </w:p>
        </w:tc>
      </w:tr>
    </w:tbl>
    <w:p>
      <w:pPr>
        <w:spacing w:after="0"/>
      </w:pPr>
    </w:p>
    <w:p>
      <w:pPr/>
      <w:r>
        <w:t>Maintain inline citations for every number and a complete source index, with source dates and primary-link verification. The original brief flags some claims that were taken from reputable secondary coverage because primary PDFs were inaccessible; verify these before wider distribution. Do not imply the 22-source library validates every new inference.</w:t>
      </w:r>
    </w:p>
    <w:p>
      <w:pPr/>
      <w:r>
        <w:t>Resolve horizon language: the brief is framed around 2050 while some sub-future timelines end in the 2040s. For the new version, use 2050 as the destination; 2030s/2040s can be transitional milestones with clear labels.</w:t>
      </w:r>
    </w:p>
    <w:p>
      <w:pPr>
        <w:pStyle w:val="Heading1"/>
        <w:keepNext/>
        <w:keepLines/>
      </w:pPr>
      <w:r>
        <w:t>8. PO roadmap stress-testing (lightweight optional use case)</w:t>
      </w:r>
    </w:p>
    <w:p>
      <w:pPr/>
      <w:r>
        <w:t>Do not make the primary journey start with a product. After exploring a financial need, a PO may enter a concise existing initiative. The desk should help interrogate whether the underlying need persists, where assumptions fail, which populations might be excluded and how the initiative might evolve.</w:t>
      </w:r>
    </w:p>
    <w:p>
      <w:pPr>
        <w:pStyle w:val="Heading2"/>
        <w:keepNext/>
        <w:keepLines/>
      </w:pPr>
      <w:r>
        <w:t>Curated MVP behaviour — honest limitation</w:t>
      </w:r>
    </w:p>
    <w:p>
      <w:pPr/>
      <w:r>
        <w:t>Without live AI, the desk does not understand arbitrary free text. It may retain the initiative title, ask structured prompts relevant to the chosen need/tension, and export the participant’s responses. Do not pretend to calculate initiative relevance, generate tailored critiques or give a numerical “future-ready” score.</w:t>
      </w:r>
    </w:p>
    <w:p>
      <w:pPr>
        <w:pStyle w:val="Heading2"/>
        <w:keepNext/>
        <w:keepLines/>
      </w:pPr>
      <w:r>
        <w:t>Suggested prompts</w:t>
      </w:r>
    </w:p>
    <w:p>
      <w:pPr>
        <w:pStyle w:val="BulletCustom"/>
        <w:keepLines/>
      </w:pPr>
      <w:r>
        <w:t xml:space="preserve">•  </w:t>
      </w:r>
      <w:r>
        <w:t>What customer need is this initiative trying to satisfy? Would the need persist here?</w:t>
      </w:r>
    </w:p>
    <w:p>
      <w:pPr>
        <w:pStyle w:val="BulletCustom"/>
        <w:keepLines/>
      </w:pPr>
      <w:r>
        <w:t xml:space="preserve">•  </w:t>
      </w:r>
      <w:r>
        <w:t>What assumptions about income, work, access, trust or institutions does the initiative rely on?</w:t>
      </w:r>
    </w:p>
    <w:p>
      <w:pPr>
        <w:pStyle w:val="BulletCustom"/>
        <w:keepLines/>
      </w:pPr>
      <w:r>
        <w:t xml:space="preserve">•  </w:t>
      </w:r>
      <w:r>
        <w:t>What might break—or become more valuable—if we changed one future condition?</w:t>
      </w:r>
    </w:p>
    <w:p>
      <w:pPr>
        <w:pStyle w:val="BulletCustom"/>
        <w:keepLines/>
      </w:pPr>
      <w:r>
        <w:t xml:space="preserve">•  </w:t>
      </w:r>
      <w:r>
        <w:t>Who might benefit, and who could be excluded?</w:t>
      </w:r>
    </w:p>
    <w:p>
      <w:pPr>
        <w:pStyle w:val="BulletCustom"/>
        <w:keepLines/>
      </w:pPr>
      <w:r>
        <w:t xml:space="preserve">•  </w:t>
      </w:r>
      <w:r>
        <w:t>What capability or research question remains useful across contrasting futures?</w:t>
      </w:r>
    </w:p>
    <w:p>
      <w:pPr/>
      <w:r>
        <w:t>Optional later enhancement: bounded AI critique using curated scenario assumptions, user-entered ideas and cited source excerpts; label AI interpretation and counterarguments clearly. This is DEFERRED pending an explicit decision on architecture, governance and costs.</w:t>
      </w:r>
    </w:p>
    <w:p>
      <w:pPr>
        <w:pStyle w:val="Heading1"/>
        <w:keepNext/>
        <w:keepLines/>
      </w:pPr>
      <w:r>
        <w:t>9. UX and technical boundaries</w:t>
      </w:r>
    </w:p>
    <w:p>
      <w:pPr>
        <w:pStyle w:val="BulletCustom"/>
        <w:keepLines/>
      </w:pPr>
      <w:r>
        <w:t xml:space="preserve">•  </w:t>
      </w:r>
      <w:r>
        <w:t>Retain the visual specimen-card system and accessible light/dark modes; use the graphic objects as orientation and recognition, not evidence or the principal output.</w:t>
      </w:r>
    </w:p>
    <w:p>
      <w:pPr>
        <w:pStyle w:val="BulletCustom"/>
        <w:keepLines/>
      </w:pPr>
      <w:r>
        <w:t xml:space="preserve">•  </w:t>
      </w:r>
      <w:r>
        <w:t>Make the first 10 seconds legible and getting into exploration possible in under a minute. Show an example immediately, with a single clear initial action.</w:t>
      </w:r>
    </w:p>
    <w:p>
      <w:pPr>
        <w:pStyle w:val="BulletCustom"/>
        <w:keepLines/>
      </w:pPr>
      <w:r>
        <w:t xml:space="preserve">•  </w:t>
      </w:r>
      <w:r>
        <w:t>Progressively reveal information in response to meaningful choices. Keep controls accessible for iteration; provide an obvious way to return to the original world and compare variants.</w:t>
      </w:r>
    </w:p>
    <w:p>
      <w:pPr>
        <w:pStyle w:val="BulletCustom"/>
        <w:keepLines/>
      </w:pPr>
      <w:r>
        <w:t xml:space="preserve">•  </w:t>
      </w:r>
      <w:r>
        <w:t>Support laptop and phone for individuals, keyboard and screen reader accessibility, reduced motion, and clear labels beyond colour alone.</w:t>
      </w:r>
    </w:p>
    <w:p>
      <w:pPr>
        <w:pStyle w:val="BulletCustom"/>
        <w:keepLines/>
      </w:pPr>
      <w:r>
        <w:t xml:space="preserve">•  </w:t>
      </w:r>
      <w:r>
        <w:t>Original constraints: a self-contained page, no backend, no storage of personal or real customer data, no live AI. For V1 use curated content and ephemeral in-page state; clipboard/text export is sufficient. If persistence or shareable URLs are considered, specify privacy and technical implications first.</w:t>
      </w:r>
    </w:p>
    <w:p>
      <w:pPr>
        <w:pStyle w:val="BulletCustom"/>
        <w:keepLines/>
      </w:pPr>
      <w:r>
        <w:t xml:space="preserve">•  </w:t>
      </w:r>
      <w:r>
        <w:t>Preserve “Surprise me” as optional exploration; keep the selection reproducible for comparison (snapshot a baseline). If choices change after generating, do not leave contradictory content on screen.</w:t>
      </w:r>
    </w:p>
    <w:p>
      <w:pPr>
        <w:pStyle w:val="Heading2"/>
        <w:keepNext/>
        <w:keepLines/>
      </w:pPr>
      <w:r>
        <w:t>Compact takeaway card</w:t>
      </w:r>
    </w:p>
    <w:p>
      <w:pPr/>
      <w:r>
        <w:t>Prioritise export of: a world label and force snapshot; financial need/tension; one changing condition; observed difference and underlying hypothesis; what remained stable; participant’s assumption, idea or question; evidence references and uncertainty labels. Keep “copy full source notes” available only as a secondary option if useful.</w:t>
      </w:r>
    </w:p>
    <w:p>
      <w:pPr>
        <w:pStyle w:val="Heading1"/>
        <w:keepNext/>
        <w:keepLines/>
      </w:pPr>
      <w:r>
        <w:t>10. Workshop use and measures of usefulness</w:t>
      </w:r>
    </w:p>
    <w:p>
      <w:pPr/>
      <w:r>
        <w:t>Design for independent divergence followed by group convergence. Individual use should work without a facilitator; a workshop can use Mural or another shared board rather than trying to build collaboration, accounts or analytics into the single page.</w:t>
      </w:r>
    </w:p>
    <w:p>
      <w:pPr>
        <w:pStyle w:val="Heading2"/>
        <w:keepNext/>
        <w:keepLines/>
      </w:pPr>
      <w:r>
        <w:t>Illustrative 90-minute workshop</w:t>
      </w:r>
    </w:p>
    <w:tbl>
      <w:tblPr>
        <w:tblStyle w:val="TableGrid"/>
        <w:tblW w:type="auto" w:w="0"/>
        <w:jc w:val="center"/>
        <w:tblLayout w:type="fixed"/>
        <w:tblLook w:firstColumn="1" w:firstRow="1" w:lastColumn="0" w:lastRow="0" w:noHBand="0" w:noVBand="1" w:val="04A0"/>
      </w:tblPr>
      <w:tblGrid>
        <w:gridCol w:w="1296"/>
        <w:gridCol w:w="8251"/>
      </w:tblGrid>
      <w:tr>
        <w:trPr>
          <w:tblHeader w:val="true"/>
        </w:trPr>
        <w:tc>
          <w:tcPr>
            <w:tcW w:type="dxa" w:w="4802"/>
            <w:shd w:fill="EDEBF5"/>
          </w:tcPr>
          <w:p>
            <w:pPr>
              <w:spacing w:after="60" w:before="40"/>
            </w:pPr>
            <w:r>
              <w:rPr>
                <w:b/>
                <w:color w:val="182333"/>
                <w:sz w:val="16"/>
              </w:rPr>
              <w:t>Time</w:t>
            </w:r>
          </w:p>
        </w:tc>
        <w:tc>
          <w:tcPr>
            <w:tcW w:type="dxa" w:w="4802"/>
            <w:shd w:fill="EDEBF5"/>
          </w:tcPr>
          <w:p>
            <w:pPr>
              <w:spacing w:after="60" w:before="40"/>
            </w:pPr>
            <w:r>
              <w:rPr>
                <w:b/>
                <w:color w:val="182333"/>
                <w:sz w:val="16"/>
              </w:rPr>
              <w:t>Activity</w:t>
            </w:r>
          </w:p>
        </w:tc>
      </w:tr>
      <w:tr>
        <w:trPr>
          <w:cantSplit/>
        </w:trPr>
        <w:tc>
          <w:tcPr>
            <w:tcW w:type="dxa" w:w="1296"/>
            <w:vAlign w:val="top"/>
          </w:tcPr>
          <w:p>
            <w:pPr>
              <w:spacing w:after="40" w:before="40" w:line="266" w:lineRule="auto"/>
            </w:pPr>
            <w:r>
              <w:rPr>
                <w:color w:val="182333"/>
                <w:sz w:val="16"/>
              </w:rPr>
              <w:t>5 min</w:t>
            </w:r>
          </w:p>
        </w:tc>
        <w:tc>
          <w:tcPr>
            <w:tcW w:type="dxa" w:w="8251"/>
            <w:vAlign w:val="top"/>
          </w:tcPr>
          <w:p>
            <w:pPr>
              <w:spacing w:after="40" w:before="40" w:line="266" w:lineRule="auto"/>
            </w:pPr>
            <w:r>
              <w:rPr>
                <w:color w:val="182333"/>
                <w:sz w:val="16"/>
              </w:rPr>
              <w:t>Frame the future question and explain that scenarios are provocations, not predictions.</w:t>
            </w:r>
          </w:p>
        </w:tc>
      </w:tr>
      <w:tr>
        <w:trPr>
          <w:cantSplit/>
        </w:trPr>
        <w:tc>
          <w:tcPr>
            <w:tcW w:type="dxa" w:w="1296"/>
            <w:vAlign w:val="top"/>
            <w:shd w:fill="F7F8FB"/>
          </w:tcPr>
          <w:p>
            <w:pPr>
              <w:spacing w:after="40" w:before="40" w:line="266" w:lineRule="auto"/>
            </w:pPr>
            <w:r>
              <w:rPr>
                <w:color w:val="182333"/>
                <w:sz w:val="16"/>
              </w:rPr>
              <w:t>15 min</w:t>
            </w:r>
          </w:p>
        </w:tc>
        <w:tc>
          <w:tcPr>
            <w:tcW w:type="dxa" w:w="8251"/>
            <w:vAlign w:val="top"/>
            <w:shd w:fill="F7F8FB"/>
          </w:tcPr>
          <w:p>
            <w:pPr>
              <w:spacing w:after="40" w:before="40" w:line="266" w:lineRule="auto"/>
            </w:pPr>
            <w:r>
              <w:rPr>
                <w:color w:val="182333"/>
                <w:sz w:val="16"/>
              </w:rPr>
              <w:t>Independent exploration and one-force experiments.</w:t>
            </w:r>
          </w:p>
        </w:tc>
      </w:tr>
      <w:tr>
        <w:trPr>
          <w:cantSplit/>
        </w:trPr>
        <w:tc>
          <w:tcPr>
            <w:tcW w:type="dxa" w:w="1296"/>
            <w:vAlign w:val="top"/>
          </w:tcPr>
          <w:p>
            <w:pPr>
              <w:spacing w:after="40" w:before="40" w:line="266" w:lineRule="auto"/>
            </w:pPr>
            <w:r>
              <w:rPr>
                <w:color w:val="182333"/>
                <w:sz w:val="16"/>
              </w:rPr>
              <w:t>15 min</w:t>
            </w:r>
          </w:p>
        </w:tc>
        <w:tc>
          <w:tcPr>
            <w:tcW w:type="dxa" w:w="8251"/>
            <w:vAlign w:val="top"/>
          </w:tcPr>
          <w:p>
            <w:pPr>
              <w:spacing w:after="40" w:before="40" w:line="266" w:lineRule="auto"/>
            </w:pPr>
            <w:r>
              <w:rPr>
                <w:color w:val="182333"/>
                <w:sz w:val="16"/>
              </w:rPr>
              <w:t>Share one concise takeaway per participant, not a full future presentation.</w:t>
            </w:r>
          </w:p>
        </w:tc>
      </w:tr>
      <w:tr>
        <w:trPr>
          <w:cantSplit/>
        </w:trPr>
        <w:tc>
          <w:tcPr>
            <w:tcW w:type="dxa" w:w="1296"/>
            <w:vAlign w:val="top"/>
            <w:shd w:fill="F7F8FB"/>
          </w:tcPr>
          <w:p>
            <w:pPr>
              <w:spacing w:after="40" w:before="40" w:line="266" w:lineRule="auto"/>
            </w:pPr>
            <w:r>
              <w:rPr>
                <w:color w:val="182333"/>
                <w:sz w:val="16"/>
              </w:rPr>
              <w:t>15 min</w:t>
            </w:r>
          </w:p>
        </w:tc>
        <w:tc>
          <w:tcPr>
            <w:tcW w:type="dxa" w:w="8251"/>
            <w:vAlign w:val="top"/>
            <w:shd w:fill="F7F8FB"/>
          </w:tcPr>
          <w:p>
            <w:pPr>
              <w:spacing w:after="40" w:before="40" w:line="266" w:lineRule="auto"/>
            </w:pPr>
            <w:r>
              <w:rPr>
                <w:color w:val="182333"/>
                <w:sz w:val="16"/>
              </w:rPr>
              <w:t>Cluster shared needs, contradictions, vulnerabilities and challenged assumptions.</w:t>
            </w:r>
          </w:p>
        </w:tc>
      </w:tr>
      <w:tr>
        <w:trPr>
          <w:cantSplit/>
        </w:trPr>
        <w:tc>
          <w:tcPr>
            <w:tcW w:type="dxa" w:w="1296"/>
            <w:vAlign w:val="top"/>
          </w:tcPr>
          <w:p>
            <w:pPr>
              <w:spacing w:after="40" w:before="40" w:line="266" w:lineRule="auto"/>
            </w:pPr>
            <w:r>
              <w:rPr>
                <w:color w:val="182333"/>
                <w:sz w:val="16"/>
              </w:rPr>
              <w:t>25 min</w:t>
            </w:r>
          </w:p>
        </w:tc>
        <w:tc>
          <w:tcPr>
            <w:tcW w:type="dxa" w:w="8251"/>
            <w:vAlign w:val="top"/>
          </w:tcPr>
          <w:p>
            <w:pPr>
              <w:spacing w:after="40" w:before="40" w:line="266" w:lineRule="auto"/>
            </w:pPr>
            <w:r>
              <w:rPr>
                <w:color w:val="182333"/>
                <w:sz w:val="16"/>
              </w:rPr>
              <w:t>Develop opportunity areas or stress-test selected roadmap ideas.</w:t>
            </w:r>
          </w:p>
        </w:tc>
      </w:tr>
      <w:tr>
        <w:trPr>
          <w:cantSplit/>
        </w:trPr>
        <w:tc>
          <w:tcPr>
            <w:tcW w:type="dxa" w:w="1296"/>
            <w:vAlign w:val="top"/>
            <w:shd w:fill="F7F8FB"/>
          </w:tcPr>
          <w:p>
            <w:pPr>
              <w:spacing w:after="40" w:before="40" w:line="266" w:lineRule="auto"/>
            </w:pPr>
            <w:r>
              <w:rPr>
                <w:color w:val="182333"/>
                <w:sz w:val="16"/>
              </w:rPr>
              <w:t>15 min</w:t>
            </w:r>
          </w:p>
        </w:tc>
        <w:tc>
          <w:tcPr>
            <w:tcW w:type="dxa" w:w="8251"/>
            <w:vAlign w:val="top"/>
            <w:shd w:fill="F7F8FB"/>
          </w:tcPr>
          <w:p>
            <w:pPr>
              <w:spacing w:after="40" w:before="40" w:line="266" w:lineRule="auto"/>
            </w:pPr>
            <w:r>
              <w:rPr>
                <w:color w:val="182333"/>
                <w:sz w:val="16"/>
              </w:rPr>
              <w:t>Identify promising questions, owners and possible follow-up discovery.</w:t>
            </w:r>
          </w:p>
        </w:tc>
      </w:tr>
    </w:tbl>
    <w:p>
      <w:pPr>
        <w:spacing w:after="0"/>
      </w:pPr>
    </w:p>
    <w:p>
      <w:pPr>
        <w:pStyle w:val="Heading2"/>
        <w:keepNext/>
        <w:keepLines/>
      </w:pPr>
      <w:r>
        <w:t>Pilot metrics — proposed, not agreed targets</w:t>
      </w:r>
    </w:p>
    <w:p>
      <w:pPr>
        <w:pStyle w:val="BulletCustom"/>
        <w:keepLines/>
      </w:pPr>
      <w:r>
        <w:t xml:space="preserve">•  </w:t>
      </w:r>
      <w:r>
        <w:t>Comprehension: can participants explain the selected need and why a single force change could matter?</w:t>
      </w:r>
    </w:p>
    <w:p>
      <w:pPr>
        <w:pStyle w:val="BulletCustom"/>
        <w:keepLines/>
      </w:pPr>
      <w:r>
        <w:t xml:space="preserve">•  </w:t>
      </w:r>
      <w:r>
        <w:t>Reframing: can they describe an assumption they reconsidered that was not copied verbatim from the tool?</w:t>
      </w:r>
    </w:p>
    <w:p>
      <w:pPr>
        <w:pStyle w:val="BulletCustom"/>
        <w:keepLines/>
      </w:pPr>
      <w:r>
        <w:t xml:space="preserve">•  </w:t>
      </w:r>
      <w:r>
        <w:t>Quality of outputs: are takeaway cards specific enough to compare and discuss, rather than generic HMWs?</w:t>
      </w:r>
    </w:p>
    <w:p>
      <w:pPr>
        <w:pStyle w:val="BulletCustom"/>
        <w:keepLines/>
      </w:pPr>
      <w:r>
        <w:t xml:space="preserve">•  </w:t>
      </w:r>
      <w:r>
        <w:t>Diversity: do participants produce meaningfully distinct insights, including counterarguments or stable cross-future needs?</w:t>
      </w:r>
    </w:p>
    <w:p>
      <w:pPr>
        <w:pStyle w:val="BulletCustom"/>
        <w:keepLines/>
      </w:pPr>
      <w:r>
        <w:t xml:space="preserve">•  </w:t>
      </w:r>
      <w:r>
        <w:t>Utility for POs: can they identify a useful question to test about a roadmap initiative?</w:t>
      </w:r>
    </w:p>
    <w:p>
      <w:pPr>
        <w:pStyle w:val="BulletCustom"/>
        <w:keepLines/>
      </w:pPr>
      <w:r>
        <w:t xml:space="preserve">•  </w:t>
      </w:r>
      <w:r>
        <w:t>Usability: first meaningful choice in ~60 seconds without facilitator support; engagement rating remains secondary.</w:t>
      </w:r>
    </w:p>
    <w:p>
      <w:pPr>
        <w:pStyle w:val="Heading1"/>
        <w:keepNext/>
        <w:keepLines/>
      </w:pPr>
      <w:r>
        <w:t>11. Build sequence and acceptance criteria</w:t>
      </w:r>
    </w:p>
    <w:tbl>
      <w:tblPr>
        <w:tblStyle w:val="TableGrid"/>
        <w:tblW w:type="auto" w:w="0"/>
        <w:jc w:val="center"/>
        <w:tblLayout w:type="fixed"/>
        <w:tblLook w:firstColumn="1" w:firstRow="1" w:lastColumn="0" w:lastRow="0" w:noHBand="0" w:noVBand="1" w:val="04A0"/>
      </w:tblPr>
      <w:tblGrid>
        <w:gridCol w:w="1440"/>
        <w:gridCol w:w="3226"/>
        <w:gridCol w:w="4882"/>
      </w:tblGrid>
      <w:tr>
        <w:trPr>
          <w:tblHeader w:val="true"/>
        </w:trPr>
        <w:tc>
          <w:tcPr>
            <w:tcW w:type="dxa" w:w="3202"/>
            <w:shd w:fill="EDEBF5"/>
          </w:tcPr>
          <w:p>
            <w:pPr>
              <w:spacing w:after="60" w:before="40"/>
            </w:pPr>
            <w:r>
              <w:rPr>
                <w:b/>
                <w:color w:val="182333"/>
                <w:sz w:val="16"/>
              </w:rPr>
              <w:t>Priority</w:t>
            </w:r>
          </w:p>
        </w:tc>
        <w:tc>
          <w:tcPr>
            <w:tcW w:type="dxa" w:w="3202"/>
            <w:shd w:fill="EDEBF5"/>
          </w:tcPr>
          <w:p>
            <w:pPr>
              <w:spacing w:after="60" w:before="40"/>
            </w:pPr>
            <w:r>
              <w:rPr>
                <w:b/>
                <w:color w:val="182333"/>
                <w:sz w:val="16"/>
              </w:rPr>
              <w:t>Deliverable</w:t>
            </w:r>
          </w:p>
        </w:tc>
        <w:tc>
          <w:tcPr>
            <w:tcW w:type="dxa" w:w="3202"/>
            <w:shd w:fill="EDEBF5"/>
          </w:tcPr>
          <w:p>
            <w:pPr>
              <w:spacing w:after="60" w:before="40"/>
            </w:pPr>
            <w:r>
              <w:rPr>
                <w:b/>
                <w:color w:val="182333"/>
                <w:sz w:val="16"/>
              </w:rPr>
              <w:t>Definition of done</w:t>
            </w:r>
          </w:p>
        </w:tc>
      </w:tr>
      <w:tr>
        <w:trPr>
          <w:cantSplit/>
        </w:trPr>
        <w:tc>
          <w:tcPr>
            <w:tcW w:type="dxa" w:w="1440"/>
            <w:vAlign w:val="top"/>
          </w:tcPr>
          <w:p>
            <w:pPr>
              <w:spacing w:after="40" w:before="40" w:line="266" w:lineRule="auto"/>
            </w:pPr>
            <w:r>
              <w:rPr>
                <w:color w:val="182333"/>
                <w:sz w:val="16"/>
              </w:rPr>
              <w:t>P0 — Audit</w:t>
            </w:r>
          </w:p>
        </w:tc>
        <w:tc>
          <w:tcPr>
            <w:tcW w:type="dxa" w:w="3226"/>
            <w:vAlign w:val="top"/>
          </w:tcPr>
          <w:p>
            <w:pPr>
              <w:spacing w:after="40" w:before="40" w:line="266" w:lineRule="auto"/>
            </w:pPr>
            <w:r>
              <w:rPr>
                <w:color w:val="182333"/>
                <w:sz w:val="16"/>
              </w:rPr>
              <w:t>Map existing components, content, sources, archetypes and interactions to this change brief.</w:t>
            </w:r>
          </w:p>
        </w:tc>
        <w:tc>
          <w:tcPr>
            <w:tcW w:type="dxa" w:w="4882"/>
            <w:vAlign w:val="top"/>
          </w:tcPr>
          <w:p>
            <w:pPr>
              <w:spacing w:after="40" w:before="40" w:line="266" w:lineRule="auto"/>
            </w:pPr>
            <w:r>
              <w:rPr>
                <w:color w:val="182333"/>
                <w:sz w:val="16"/>
              </w:rPr>
              <w:t>Short implementation plan identifies reuse, changes, unknowns and risks; no speculative rewrite.</w:t>
            </w:r>
          </w:p>
        </w:tc>
      </w:tr>
      <w:tr>
        <w:trPr>
          <w:cantSplit/>
        </w:trPr>
        <w:tc>
          <w:tcPr>
            <w:tcW w:type="dxa" w:w="1440"/>
            <w:vAlign w:val="top"/>
            <w:shd w:fill="F7F8FB"/>
          </w:tcPr>
          <w:p>
            <w:pPr>
              <w:spacing w:after="40" w:before="40" w:line="266" w:lineRule="auto"/>
            </w:pPr>
            <w:r>
              <w:rPr>
                <w:color w:val="182333"/>
                <w:sz w:val="16"/>
              </w:rPr>
              <w:t>P1 — Vertical slice</w:t>
            </w:r>
          </w:p>
        </w:tc>
        <w:tc>
          <w:tcPr>
            <w:tcW w:type="dxa" w:w="3226"/>
            <w:vAlign w:val="top"/>
            <w:shd w:fill="F7F8FB"/>
          </w:tcPr>
          <w:p>
            <w:pPr>
              <w:spacing w:after="40" w:before="40" w:line="266" w:lineRule="auto"/>
            </w:pPr>
            <w:r>
              <w:rPr>
                <w:color w:val="182333"/>
                <w:sz w:val="16"/>
              </w:rPr>
              <w:t>One financial need, 2–3 curated tensions, 2–3 world configurations and the single-force comparison.</w:t>
            </w:r>
          </w:p>
        </w:tc>
        <w:tc>
          <w:tcPr>
            <w:tcW w:type="dxa" w:w="4882"/>
            <w:vAlign w:val="top"/>
            <w:shd w:fill="F7F8FB"/>
          </w:tcPr>
          <w:p>
            <w:pPr>
              <w:spacing w:after="40" w:before="40" w:line="266" w:lineRule="auto"/>
            </w:pPr>
            <w:r>
              <w:rPr>
                <w:color w:val="182333"/>
                <w:sz w:val="16"/>
              </w:rPr>
              <w:t>User can explain before/after mechanism, invariant, uncertainty and an implication.</w:t>
            </w:r>
          </w:p>
        </w:tc>
      </w:tr>
      <w:tr>
        <w:trPr>
          <w:cantSplit/>
        </w:trPr>
        <w:tc>
          <w:tcPr>
            <w:tcW w:type="dxa" w:w="1440"/>
            <w:vAlign w:val="top"/>
          </w:tcPr>
          <w:p>
            <w:pPr>
              <w:spacing w:after="40" w:before="40" w:line="266" w:lineRule="auto"/>
            </w:pPr>
            <w:r>
              <w:rPr>
                <w:color w:val="182333"/>
                <w:sz w:val="16"/>
              </w:rPr>
              <w:t>P2 — Participatory exploration</w:t>
            </w:r>
          </w:p>
        </w:tc>
        <w:tc>
          <w:tcPr>
            <w:tcW w:type="dxa" w:w="3226"/>
            <w:vAlign w:val="top"/>
          </w:tcPr>
          <w:p>
            <w:pPr>
              <w:spacing w:after="40" w:before="40" w:line="266" w:lineRule="auto"/>
            </w:pPr>
            <w:r>
              <w:rPr>
                <w:color w:val="182333"/>
                <w:sz w:val="16"/>
              </w:rPr>
              <w:t>Discovery doors, optional need navigation, one dilemma/counterargument, user reflection and takeaway export.</w:t>
            </w:r>
          </w:p>
        </w:tc>
        <w:tc>
          <w:tcPr>
            <w:tcW w:type="dxa" w:w="4882"/>
            <w:vAlign w:val="top"/>
          </w:tcPr>
          <w:p>
            <w:pPr>
              <w:spacing w:after="40" w:before="40" w:line="266" w:lineRule="auto"/>
            </w:pPr>
            <w:r>
              <w:rPr>
                <w:color w:val="182333"/>
                <w:sz w:val="16"/>
              </w:rPr>
              <w:t>User can follow a path without reading instructions or being forced to type.</w:t>
            </w:r>
          </w:p>
        </w:tc>
      </w:tr>
      <w:tr>
        <w:trPr>
          <w:cantSplit/>
        </w:trPr>
        <w:tc>
          <w:tcPr>
            <w:tcW w:type="dxa" w:w="1440"/>
            <w:vAlign w:val="top"/>
            <w:shd w:fill="F7F8FB"/>
          </w:tcPr>
          <w:p>
            <w:pPr>
              <w:spacing w:after="40" w:before="40" w:line="266" w:lineRule="auto"/>
            </w:pPr>
            <w:r>
              <w:rPr>
                <w:color w:val="182333"/>
                <w:sz w:val="16"/>
              </w:rPr>
              <w:t>P3 — Expand carefully</w:t>
            </w:r>
          </w:p>
        </w:tc>
        <w:tc>
          <w:tcPr>
            <w:tcW w:type="dxa" w:w="3226"/>
            <w:vAlign w:val="top"/>
            <w:shd w:fill="F7F8FB"/>
          </w:tcPr>
          <w:p>
            <w:pPr>
              <w:spacing w:after="40" w:before="40" w:line="266" w:lineRule="auto"/>
            </w:pPr>
            <w:r>
              <w:rPr>
                <w:color w:val="182333"/>
                <w:sz w:val="16"/>
              </w:rPr>
              <w:t>Adapt remaining content and test force coherence, evidence tags, representative world combinations.</w:t>
            </w:r>
          </w:p>
        </w:tc>
        <w:tc>
          <w:tcPr>
            <w:tcW w:type="dxa" w:w="4882"/>
            <w:vAlign w:val="top"/>
            <w:shd w:fill="F7F8FB"/>
          </w:tcPr>
          <w:p>
            <w:pPr>
              <w:spacing w:after="40" w:before="40" w:line="266" w:lineRule="auto"/>
            </w:pPr>
            <w:r>
              <w:rPr>
                <w:color w:val="182333"/>
                <w:sz w:val="16"/>
              </w:rPr>
              <w:t>No unsupported story variants, duplicated generic insights or unlabeled evidence claims.</w:t>
            </w:r>
          </w:p>
        </w:tc>
      </w:tr>
      <w:tr>
        <w:trPr>
          <w:cantSplit/>
        </w:trPr>
        <w:tc>
          <w:tcPr>
            <w:tcW w:type="dxa" w:w="1440"/>
            <w:vAlign w:val="top"/>
          </w:tcPr>
          <w:p>
            <w:pPr>
              <w:spacing w:after="40" w:before="40" w:line="266" w:lineRule="auto"/>
            </w:pPr>
            <w:r>
              <w:rPr>
                <w:color w:val="182333"/>
                <w:sz w:val="16"/>
              </w:rPr>
              <w:t>P4 — Optional</w:t>
            </w:r>
          </w:p>
        </w:tc>
        <w:tc>
          <w:tcPr>
            <w:tcW w:type="dxa" w:w="3226"/>
            <w:vAlign w:val="top"/>
          </w:tcPr>
          <w:p>
            <w:pPr>
              <w:spacing w:after="40" w:before="40" w:line="266" w:lineRule="auto"/>
            </w:pPr>
            <w:r>
              <w:rPr>
                <w:color w:val="182333"/>
                <w:sz w:val="16"/>
              </w:rPr>
              <w:t>PO stress-test prompts, shareable state, printable cards or AI critique after evidence of usefulness.</w:t>
            </w:r>
          </w:p>
        </w:tc>
        <w:tc>
          <w:tcPr>
            <w:tcW w:type="dxa" w:w="4882"/>
            <w:vAlign w:val="top"/>
          </w:tcPr>
          <w:p>
            <w:pPr>
              <w:spacing w:after="40" w:before="40" w:line="266" w:lineRule="auto"/>
            </w:pPr>
            <w:r>
              <w:rPr>
                <w:color w:val="182333"/>
                <w:sz w:val="16"/>
              </w:rPr>
              <w:t>Each addition has an explicit benefit, implementation approach and governance decision.</w:t>
            </w:r>
          </w:p>
        </w:tc>
      </w:tr>
    </w:tbl>
    <w:p>
      <w:pPr>
        <w:spacing w:after="0"/>
      </w:pPr>
    </w:p>
    <w:p>
      <w:pPr>
        <w:pStyle w:val="Heading2"/>
        <w:keepNext/>
        <w:keepLines/>
      </w:pPr>
      <w:r>
        <w:t>Three concrete acceptance scenarios for Claude</w:t>
      </w:r>
    </w:p>
    <w:p>
      <w:pPr>
        <w:pStyle w:val="NumberCustom"/>
        <w:keepLines/>
      </w:pPr>
      <w:r>
        <w:rPr>
          <w:b/>
        </w:rPr>
        <w:t xml:space="preserve">1.  </w:t>
      </w:r>
      <w:r>
        <w:t>A participant changes one force and sees a substantive, explainable difference to the SAME financial need, plus what stays constant.</w:t>
      </w:r>
    </w:p>
    <w:p>
      <w:pPr>
        <w:pStyle w:val="NumberCustom"/>
        <w:keepLines/>
      </w:pPr>
      <w:r>
        <w:rPr>
          <w:b/>
        </w:rPr>
        <w:t xml:space="preserve">2.  </w:t>
      </w:r>
      <w:r>
        <w:t>A participant is shown a counterargument that makes the first interpretation less obvious without telling them which answer is right.</w:t>
      </w:r>
    </w:p>
    <w:p>
      <w:pPr>
        <w:pStyle w:val="NumberCustom"/>
        <w:keepLines/>
      </w:pPr>
      <w:r>
        <w:rPr>
          <w:b/>
        </w:rPr>
        <w:t xml:space="preserve">3.  </w:t>
      </w:r>
      <w:r>
        <w:t>A PO enters a roadmap idea and receives honest structured prompts—not a fabricated AI analysis—and exports a useful assumption to discuss.</w:t>
      </w:r>
    </w:p>
    <w:p>
      <w:pPr>
        <w:pStyle w:val="Heading1"/>
        <w:keepNext/>
        <w:keepLines/>
      </w:pPr>
      <w:r>
        <w:t>12. What is still open (do not silently decide)</w:t>
      </w:r>
    </w:p>
    <w:p>
      <w:pPr>
        <w:pStyle w:val="BulletCustom"/>
        <w:keepLines/>
      </w:pPr>
      <w:r>
        <w:t xml:space="preserve">•  </w:t>
      </w:r>
      <w:r>
        <w:t>Final force set and number: the user likes societal adaptation and a wider-world frame; global connectedness is proposed, not approved. The independence of livelihood model remains unproven.</w:t>
      </w:r>
    </w:p>
    <w:p>
      <w:pPr>
        <w:pStyle w:val="BulletCustom"/>
        <w:keepLines/>
      </w:pPr>
      <w:r>
        <w:t xml:space="preserve">•  </w:t>
      </w:r>
      <w:r>
        <w:t>AI layer: undecided. Start deterministic and curated unless explicitly asked to connect a live model or service.</w:t>
      </w:r>
    </w:p>
    <w:p>
      <w:pPr>
        <w:pStyle w:val="BulletCustom"/>
        <w:keepLines/>
      </w:pPr>
      <w:r>
        <w:t xml:space="preserve">•  </w:t>
      </w:r>
      <w:r>
        <w:t>Final financial-needs taxonomy, labels for tension types, and the exact number of discovery cards: to be validated in the vertical slice.</w:t>
      </w:r>
    </w:p>
    <w:p>
      <w:pPr>
        <w:pStyle w:val="BulletCustom"/>
        <w:keepLines/>
      </w:pPr>
      <w:r>
        <w:t xml:space="preserve">•  </w:t>
      </w:r>
      <w:r>
        <w:t>Future archetypes: decide whether all eight names remain prominent after testing the new force mapping; reuse existing creative assets where sensible.</w:t>
      </w:r>
    </w:p>
    <w:p>
      <w:pPr>
        <w:pStyle w:val="BulletCustom"/>
        <w:keepLines/>
      </w:pPr>
      <w:r>
        <w:t xml:space="preserve">•  </w:t>
      </w:r>
      <w:r>
        <w:t>Longer-term sharing, persistence and multi-user synthesis: out of MVP until there is clear utility and a suitable privacy architecture.</w:t>
      </w:r>
    </w:p>
    <w:p>
      <w:pPr>
        <w:pStyle w:val="Heading1"/>
        <w:keepNext/>
        <w:keepLines/>
      </w:pPr>
      <w:r>
        <w:t>13. Ready-to-send instruction to Claude</w:t>
      </w:r>
    </w:p>
    <w:tbl>
      <w:tblPr>
        <w:tblW w:type="auto" w:w="0"/>
        <w:tblLayout w:type="fixed"/>
        <w:tblLook w:firstColumn="1" w:firstRow="1" w:lastColumn="0" w:lastRow="0" w:noHBand="0" w:noVBand="1" w:val="04A0"/>
      </w:tblPr>
      <w:tblGrid>
        <w:gridCol w:w="9576"/>
      </w:tblGrid>
      <w:tr>
        <w:tc>
          <w:tcPr>
            <w:tcW w:type="dxa" w:w="9605"/>
            <w:shd w:fill="F1EFF9"/>
            <w:vAlign w:val="center"/>
          </w:tcPr>
          <w:p>
            <w:pPr>
              <w:pStyle w:val="Callout"/>
              <w:spacing w:before="80" w:after="100"/>
            </w:pPr>
            <w:r>
              <w:t>Please treat this document as the updated design and build brief for the existing Futures Mixing Desk. First review the current prototype and map each change to existing UI and content. Then propose a small implementation plan, and build a functional vertical slice that proves single-force comparison anchored on a financial need. Keep the experience participatory, unfolding, sourced and honest about uncertainty. Preserve what works; do not scale the content library or add AI until the core interaction proves useful. Mark unresolved design choices for validation rather than silently making them permanent.</w:t>
            </w:r>
          </w:p>
        </w:tc>
      </w:tr>
    </w:tbl>
    <w:p>
      <w:pPr>
        <w:spacing w:after="0"/>
      </w:pPr>
    </w:p>
    <w:p>
      <w:pPr>
        <w:pStyle w:val="SmallCopy"/>
      </w:pPr>
      <w:r>
        <w:t>Source of record: Futures Mixing Desk: Design Brief (28 October 2026, nine pages) plus the subsequent design discussion. This handoff captures agreed user preferences, recommended design changes and unresolved decisions; it does not verify the original report statistics or links.</w:t>
      </w:r>
    </w:p>
    <w:sectPr w:rsidR="00FC693F" w:rsidRPr="0006063C" w:rsidSect="00034616">
      <w:headerReference w:type="default" r:id="rId9"/>
      <w:footerReference w:type="default" r:id="rId10"/>
      <w:pgSz w:w="11909" w:h="16834"/>
      <w:pgMar w:top="1094" w:right="1152" w:bottom="1109" w:left="1152" w:header="490" w:footer="53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470"/>
        <w:sz w:val="14"/>
      </w:rPr>
      <w:t xml:space="preserve">28 OCT 2026  •  CLAUDE BUILD BRIEF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color="E7E4F0"/>
      </w:pBdr>
    </w:pPr>
    <w:r>
      <w:rPr>
        <w:b/>
        <w:color w:val="5A6470"/>
        <w:sz w:val="14"/>
      </w:rPr>
      <w:t>FUTURES MIXING DESK  /  DESIGN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81" w:lineRule="auto"/>
    </w:pPr>
    <w:rPr>
      <w:rFonts w:ascii="Aptos" w:hAnsi="Aptos"/>
      <w:rFonts w:ascii="Aptos" w:hAnsi="Aptos"/>
      <w:b w:val="0"/>
      <w:color w:val="1823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Aptos" w:hAnsi="Aptos"/>
      <w:rFonts w:asciiTheme="majorHAnsi" w:eastAsiaTheme="majorEastAsia" w:hAnsiTheme="majorHAnsi" w:cstheme="majorBidi" w:ascii="Aptos" w:hAnsi="Aptos"/>
      <w:b/>
      <w:bCs/>
      <w:color w:val="182333"/>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69" w:lineRule="auto"/>
      <w:outlineLvl w:val="1"/>
    </w:pPr>
    <w:rPr>
      <w:rFonts w:ascii="Aptos" w:hAnsi="Aptos"/>
      <w:rFonts w:asciiTheme="majorHAnsi" w:eastAsiaTheme="majorEastAsia" w:hAnsiTheme="majorHAnsi" w:cstheme="majorBidi" w:ascii="Aptos" w:hAnsi="Aptos"/>
      <w:b/>
      <w:bCs/>
      <w:color w:val="554596"/>
      <w:sz w:val="21"/>
      <w:szCs w:val="26"/>
    </w:rPr>
  </w:style>
  <w:style w:type="paragraph" w:styleId="Heading3">
    <w:name w:val="heading 3"/>
    <w:basedOn w:val="Normal"/>
    <w:next w:val="Normal"/>
    <w:link w:val="Heading3Char"/>
    <w:uiPriority w:val="9"/>
    <w:unhideWhenUsed/>
    <w:qFormat/>
    <w:rsid w:val="00FC693F"/>
    <w:pPr>
      <w:keepNext/>
      <w:keepLines/>
      <w:spacing w:before="160" w:after="80" w:line="271" w:lineRule="auto"/>
      <w:outlineLvl w:val="2"/>
    </w:pPr>
    <w:rPr>
      <w:rFonts w:ascii="Aptos" w:hAnsi="Aptos"/>
      <w:rFonts w:asciiTheme="majorHAnsi" w:eastAsiaTheme="majorEastAsia" w:hAnsiTheme="majorHAnsi" w:cstheme="majorBidi" w:ascii="Aptos" w:hAnsi="Aptos"/>
      <w:b/>
      <w:bCs/>
      <w:color w:val="182333"/>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52" w:lineRule="auto" w:before="0"/>
      <w:contextualSpacing/>
    </w:pPr>
    <w:rPr>
      <w:rFonts w:ascii="Aptos" w:hAnsi="Aptos"/>
      <w:rFonts w:asciiTheme="majorHAnsi" w:eastAsiaTheme="majorEastAsia" w:hAnsiTheme="majorHAnsi" w:cstheme="majorBidi" w:ascii="Aptos" w:hAnsi="Aptos"/>
      <w:b/>
      <w:color w:val="182333"/>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Copy">
    <w:name w:val="Small Copy"/>
    <w:pPr>
      <w:spacing w:after="80" w:before="0" w:line="276" w:lineRule="auto"/>
    </w:pPr>
    <w:rPr>
      <w:rFonts w:ascii="Aptos" w:hAnsi="Aptos"/>
      <w:rFonts w:ascii="Aptos" w:hAnsi="Aptos"/>
      <w:b w:val="0"/>
      <w:color w:val="5A6470"/>
      <w:sz w:val="16"/>
    </w:rPr>
  </w:style>
  <w:style w:type="paragraph" w:customStyle="1" w:styleId="Eyebrow">
    <w:name w:val="Eyebrow"/>
    <w:pPr>
      <w:spacing w:after="100" w:before="0" w:line="276" w:lineRule="auto"/>
    </w:pPr>
    <w:rPr>
      <w:rFonts w:ascii="Aptos" w:hAnsi="Aptos"/>
      <w:rFonts w:ascii="Aptos" w:hAnsi="Aptos"/>
      <w:b/>
      <w:color w:val="554596"/>
      <w:sz w:val="16"/>
    </w:rPr>
  </w:style>
  <w:style w:type="paragraph" w:customStyle="1" w:styleId="BulletCustom">
    <w:name w:val="Bullet Custom"/>
    <w:pPr>
      <w:spacing w:after="60" w:before="0" w:line="276" w:lineRule="auto"/>
      <w:ind w:left="288" w:hanging="216"/>
    </w:pPr>
    <w:rPr>
      <w:rFonts w:ascii="Aptos" w:hAnsi="Aptos"/>
      <w:rFonts w:ascii="Aptos" w:hAnsi="Aptos"/>
      <w:b w:val="0"/>
      <w:color w:val="182333"/>
      <w:sz w:val="18"/>
    </w:rPr>
  </w:style>
  <w:style w:type="paragraph" w:customStyle="1" w:styleId="NumberCustom">
    <w:name w:val="Number Custom"/>
    <w:pPr>
      <w:spacing w:after="80" w:before="0" w:line="276" w:lineRule="auto"/>
      <w:ind w:left="346" w:hanging="288"/>
    </w:pPr>
    <w:rPr>
      <w:rFonts w:ascii="Aptos" w:hAnsi="Aptos"/>
      <w:rFonts w:ascii="Aptos" w:hAnsi="Aptos"/>
      <w:b w:val="0"/>
      <w:color w:val="182333"/>
      <w:sz w:val="18"/>
    </w:rPr>
  </w:style>
  <w:style w:type="paragraph" w:customStyle="1" w:styleId="Callout">
    <w:name w:val="Callout"/>
    <w:pPr>
      <w:spacing w:after="160" w:before="0" w:line="300" w:lineRule="auto"/>
    </w:pPr>
    <w:rPr>
      <w:rFonts w:ascii="Aptos" w:hAnsi="Aptos"/>
      <w:rFonts w:ascii="Aptos" w:hAnsi="Aptos"/>
      <w:b/>
      <w:color w:val="18233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Futures Mixing Desk — Updated Design Brief and Claude Handoff</dc:title>
  <dc:subject>Consolidated design changes and implementation requirements</dc:subject>
  <dc:creator>python-docx</dc:creator>
  <cp:keywords>futures, service design, scenario planning, strategy, design brief</cp:keywords>
  <dc:description>generated by python-docx</dc:description>
  <cp:lastModifiedBy/>
  <cp:revision>1</cp:revision>
  <dcterms:created xsi:type="dcterms:W3CDTF">2013-12-23T23:15:00Z</dcterms:created>
  <dcterms:modified xsi:type="dcterms:W3CDTF">2013-12-23T23:15:00Z</dcterms:modified>
  <cp:category/>
</cp:coreProperties>
</file>