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CONFIDENTIAL PSYCHOTHERAPY NOTES &amp; CLINICAL TRAUMA EVALUATION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PATIENT: JANE DOE -- PSYCHOTHERAPIST-PATIENT PRIVILEGE (FED. R. EVID. 501)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SECURITY CLASSIFICATION: C2 (SENSITIVE / ALL-KEYHOLDERS SEAL)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CLINICAL INTAKE AND ATTENDING PSYCHOLOGIST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Evaluator: Dr. Rachel Sterling, Ph.D., ABPP (Board Certified Clinical Psychologist)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Clinical License: NY State License #PSY-009412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Clinical Sessions Documented: 14 individual trauma-focused psychotherapy sessions conducted between August 20, 2026 and October 18, 2026.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DSM-5 DIAGNOSTIC CRITERIA ASSESSMENT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Based upon standardized clinical evaluation using the Clinician-Administered PTSD Scale for DSM-5 (CAPS-5):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Criterion A (Traumatic Exposure): Direct exposure to severe sexual violence with perceived imminent threat to physical survival.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Criterion B (Intrusive Symptoms): Severe repetitive, involuntary intrusive distressing memories, recurring somatic flashbacks, and debilitating nightmare disturbances (Score: 19/20).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Criterion C (Avoidance Behavior): Persistent avoidance of internal and external stimuli associated with the event; inability to enter hospitality settings.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Criterion D &amp; E (Hyperarousal &amp; Mood): Severe hypervigilance, exaggerated startle response, pronounced sleep deprivation, and acute depressive despair.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DIAGNOSTIC CONCLUSION: Acute Post-Traumatic Stress Disorder (DSM-5 309.81) with marked dissociative symptoms, secondary to traumatic assault.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PSYCHOLOGICAL SENSITIVITY AND QUORUM RESTRAINT (C2 RULE)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Public disclosure of therapy notes causes severe psychological decompensation and secondary re-traumatization. Under Matter Room Rule C2, this file is strictly sealed. Quorum consensus of All Keyholders is mandatory prior to any in-camera judicial review.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/s/ Dr. Rachel Sterling, Ph.D., ABPP</w:t>
        <w:br/>
        <w:t>Dated: October 19,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