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6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CONFIDENTIAL FORENSIC MEDICAL TRAUMA EVALUATION &amp; PHYSICAL EXAMINATION</w:t>
      </w:r>
    </w:p>
    <w:p>
      <w:pPr>
        <w:spacing w:before="40" w:after="6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2"/>
        </w:rPr>
        <w:t>EXHIBIT B -- STRICT PRIVILEGE UNDER COURT SEAL</w:t>
      </w:r>
    </w:p>
    <w:p>
      <w:pPr>
        <w:spacing w:before="40" w:after="240" w:line="276" w:lineRule="auto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CIVIL ACTION NO.: 2026-CV-04421 (SDNY) -- IN-CAMERA INSPECTION ONLY</w:t>
      </w:r>
    </w:p>
    <w:p>
      <w:pPr>
        <w:spacing w:before="40" w:after="24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19"/>
        </w:rPr>
        <w:t>WARNING: CLASSIFICATION C2 (HIGHLY SENSITIVE / SEALED). ABSOLUTELY CANNOT EDIT, CANNOT DELETE, CANNOT EXPORT. REQUIRES ALL-KEYHOLDERS CONSENSUS (SURVIVOR + COUNSEL + GUARDIAN) FOR DECRYPTION.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8"/>
        </w:rPr>
        <w:t>1. PATIENT AND EXAMINATION IDENTIFICATION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</w:tblPr>
      <w:tblGrid>
        <w:gridCol w:w="3200"/>
        <w:gridCol w:w="6160"/>
      </w:tblGrid>
      <w:tblGrid>
        <w:gridCol w:w="4680"/>
        <w:gridCol w:w="4680"/>
      </w:tblGrid>
      <w:tr>
        <w:trPr>
          <w:cantSplit/>
          <w:tblHeader/>
        </w:trPr>
        <w:tc>
          <w:tcPr>
            <w:tcW w:type="dxa" w:w="5"/>
            <w:shd w:fill="F1F5F9"/>
          </w:tcPr>
          <w:p>
            <w:pPr>
              <w:spacing w:before="30" w:after="30" w:line="269" w:lineRule="auto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Examined Litigant:</w:t>
            </w:r>
          </w:p>
        </w:tc>
        <w:tc>
          <w:tcPr>
            <w:tcW w:type="dxa" w:w="10"/>
          </w:tcPr>
          <w:p>
            <w:pPr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Jane Doe (Pseudonym Court-Protected Entity)</w:t>
            </w:r>
          </w:p>
        </w:tc>
      </w:tr>
      <w:tr>
        <w:trPr>
          <w:cantSplit/>
        </w:trPr>
        <w:tc>
          <w:tcPr>
            <w:tcW w:type="dxa" w:w="5"/>
            <w:shd w:fill="F1F5F9"/>
          </w:tcPr>
          <w:p>
            <w:pPr>
              <w:spacing w:before="30" w:after="30" w:line="269" w:lineRule="auto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Date &amp; Time of Exam:</w:t>
            </w:r>
          </w:p>
        </w:tc>
        <w:tc>
          <w:tcPr>
            <w:tcW w:type="dxa" w:w="10"/>
          </w:tcPr>
          <w:p>
            <w:pPr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August 15, 2026 at 03:45 EST (Emergency Intake)</w:t>
            </w:r>
          </w:p>
        </w:tc>
      </w:tr>
      <w:tr>
        <w:trPr>
          <w:cantSplit/>
        </w:trPr>
        <w:tc>
          <w:tcPr>
            <w:tcW w:type="dxa" w:w="5"/>
            <w:shd w:fill="F1F5F9"/>
          </w:tcPr>
          <w:p>
            <w:pPr>
              <w:spacing w:before="30" w:after="30" w:line="269" w:lineRule="auto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Examining Physician:</w:t>
            </w:r>
          </w:p>
        </w:tc>
        <w:tc>
          <w:tcPr>
            <w:tcW w:type="dxa" w:w="10"/>
          </w:tcPr>
          <w:p>
            <w:pPr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Dr. Marcus Vance, M.D., FAFS (Forensic Medicine &amp; Pathology)</w:t>
            </w:r>
          </w:p>
        </w:tc>
      </w:tr>
      <w:tr>
        <w:trPr>
          <w:cantSplit/>
        </w:trPr>
        <w:tc>
          <w:tcPr>
            <w:tcW w:type="dxa" w:w="5"/>
            <w:shd w:fill="F1F5F9"/>
          </w:tcPr>
          <w:p>
            <w:pPr>
              <w:spacing w:before="30" w:after="30" w:line="269" w:lineRule="auto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Facility Location:</w:t>
            </w:r>
          </w:p>
        </w:tc>
        <w:tc>
          <w:tcPr>
            <w:tcW w:type="dxa" w:w="10"/>
          </w:tcPr>
          <w:p>
            <w:pPr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New York-Presbyterian Hospital Forensic Trauma Intervention Unit</w:t>
            </w:r>
          </w:p>
        </w:tc>
      </w:tr>
      <w:tr>
        <w:trPr>
          <w:cantSplit/>
        </w:trPr>
        <w:tc>
          <w:tcPr>
            <w:tcW w:type="dxa" w:w="5"/>
            <w:shd w:fill="F1F5F9"/>
          </w:tcPr>
          <w:p>
            <w:pPr>
              <w:spacing w:before="30" w:after="30" w:line="269" w:lineRule="auto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Cryptographic Vault Sealed Hash:</w:t>
            </w:r>
          </w:p>
        </w:tc>
        <w:tc>
          <w:tcPr>
            <w:tcW w:type="dxa" w:w="10"/>
          </w:tcPr>
          <w:p>
            <w:pPr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0x3c7e8a91b2c3d4e5f6...44d9 (AES-256-GCM)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0F172A"/>
          <w:sz w:val="28"/>
        </w:rPr>
        <w:t>2. CLINICAL TRAUMA AND PHYSICAL FINDINGS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A comprehensive forensic medical examination conducted pursuant to the National Protocol for Sexual Assault Medical Forensic Examinations revealed the following acute trauma markers: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• Soft Tissue Contusions: Deep purpuric ecchymosis (4.2 cm x 2.8 cm) over the right cervical region consistent with manual throttling and blunt mechanical force.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• Bilateral Upper Extremity Trauma: Symmetrical circumferential contusions on bilateral wrists corresponding to forcible restraint.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• Intimate Anatomical Examination: Colposcopic visual inspection documented multiple mucosal lacerations with active microvascular bleeding, graded as Category III Acute Severe Mechanical Trauma.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8"/>
        </w:rPr>
        <w:t>3. FORENSIC TOXICOLOGY &amp; BIOCHEMICAL ASSAY RESULTS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Gas Chromatography-Mass Spectrometry (GC-MS) analysis of blood and urine specimens collected within 6 hours of the incident confirmed positive detection of: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- Flunitrazepam (Rohypnol metabolite): 14.8 ng/mL (High Therapeutic / Incapacitating Level).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- Zolpidem: 32.1 ng/mL.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Physician Conclusion: The concentration of central nervous system depressants was sufficient to induce severe anterograde amnesia, motor ataxia, and complete physical incapacity to consent.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8"/>
        </w:rPr>
        <w:t>4. DNA BIOLOGICAL SAMPLE CHAIN AND MATCH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Short Tandem Repeat (STR) genetic profiling from intimate swabs extracted a single-source male DNA profile. Preliminary statistical probability calculation indicates a random match probability of less than 1 in 4.8 trillion in the relevant population.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8"/>
        </w:rPr>
        <w:t>5. ENCLAVE GOVERNANCE AND QUORUM IMMUNITY (C2 RULE)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This exhibit contains the most intimate and traumatic details of the Plaintiff's assault. Pursuant to Matter Room Rule C2: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- CANNOT EDIT: Mathematical sealing prohibits modification.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- CANNOT DELETE: Retained under protective order.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- CANNOT EXPORT: Plaintext is prohibited from leaving the secure client enclave.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- QUORUM REQUIREMENT: Decryption requires verified consensus from ALL THREE KEYHOLDERS: (1) Survivor Client Jane Doe, (2) Lead Counsel Elena Howard, and (3) Guardian Sarah Jenkins.</w:t>
      </w:r>
    </w:p>
    <w:p>
      <w:pPr>
        <w:spacing w:before="200" w:after="6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2"/>
        </w:rPr>
        <w:t>Attested under penalty of perjury:</w:t>
        <w:br/>
        <w:t>/s/ Dr. Marcus Vance, M.D., FAFS</w:t>
        <w:br/>
        <w:t>Chief Forensic Medical Examiner</w:t>
        <w:br/>
        <w:t>Dated: August 18,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