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60" w:line="276" w:lineRule="auto"/>
        <w:jc w:val="center"/>
      </w:pPr>
      <w:r>
        <w:rPr>
          <w:rFonts w:ascii="Times New Roman" w:hAnsi="Times New Roman"/>
          <w:b/>
          <w:i w:val="0"/>
          <w:color w:val="000000"/>
          <w:sz w:val="24"/>
        </w:rPr>
        <w:t>CONFIDENTIAL LITIGATION WORK PRODUCT -- ATTORNEYS' EYES ONLY</w:t>
      </w:r>
    </w:p>
    <w:p>
      <w:pPr>
        <w:spacing w:before="40" w:after="60" w:line="276" w:lineRule="auto"/>
        <w:jc w:val="center"/>
      </w:pPr>
      <w:r>
        <w:rPr>
          <w:rFonts w:ascii="Times New Roman" w:hAnsi="Times New Roman"/>
          <w:b/>
          <w:i w:val="0"/>
          <w:color w:val="000000"/>
          <w:sz w:val="22"/>
        </w:rPr>
        <w:t>HOWARD &amp; ASSOCIATES CIVIL RIGHTS LAW FIRM</w:t>
      </w:r>
    </w:p>
    <w:p>
      <w:pPr>
        <w:spacing w:before="40" w:after="240" w:line="276" w:lineRule="auto"/>
        <w:jc w:val="center"/>
      </w:pPr>
      <w:r>
        <w:rPr>
          <w:rFonts w:ascii="Times New Roman" w:hAnsi="Times New Roman"/>
          <w:b w:val="0"/>
          <w:i/>
          <w:color w:val="000000"/>
          <w:sz w:val="20"/>
        </w:rPr>
        <w:t>Matter #2026-CV-04421: Jane Doe v. John Roe &amp; Corporate Defendants</w:t>
      </w:r>
    </w:p>
    <w:p>
      <w:pPr>
        <w:spacing w:before="40" w:after="60" w:line="276" w:lineRule="auto"/>
        <w:jc w:val="center"/>
      </w:pPr>
      <w:r>
        <w:rPr>
          <w:rFonts w:ascii="Times New Roman" w:hAnsi="Times New Roman"/>
          <w:b/>
          <w:i w:val="0"/>
          <w:color w:val="000000"/>
          <w:sz w:val="24"/>
        </w:rPr>
        <w:t>REDACTED EVIDENCE INVENTORY &amp; PROCEDURAL PRIVILEGE LOG</w:t>
      </w:r>
    </w:p>
    <w:p>
      <w:pPr>
        <w:spacing w:before="40" w:after="240" w:line="276" w:lineRule="auto"/>
        <w:jc w:val="center"/>
      </w:pPr>
      <w:r>
        <w:rPr>
          <w:rFonts w:ascii="Times New Roman" w:hAnsi="Times New Roman"/>
          <w:b w:val="0"/>
          <w:i/>
          <w:color w:val="000000"/>
          <w:sz w:val="19"/>
        </w:rPr>
        <w:t>CLASSIFICATION: C1 (CONFIDENTIAL CASE MATERIAL -- CANNOT EDIT, CANNOT DELETE, EXPORT RESTRICTED TO LEAD COUNSEL)</w:t>
      </w:r>
    </w:p>
    <w:p>
      <w:pPr>
        <w:keepNext/>
        <w:spacing w:before="280" w:after="80"/>
      </w:pPr>
      <w:r>
        <w:rPr>
          <w:rFonts w:ascii="Arial" w:hAnsi="Arial"/>
          <w:b/>
          <w:color w:val="0F172A"/>
          <w:sz w:val="28"/>
        </w:rPr>
        <w:t>I. MASTER EVIDENCE REPOSITORY INDEX (REDACTED SUMMARY)</w:t>
      </w:r>
    </w:p>
    <w:p>
      <w:pPr>
        <w:spacing w:before="40" w:after="60" w:line="276" w:lineRule="auto"/>
        <w:jc w:val="left"/>
      </w:pPr>
      <w:r>
        <w:rPr>
          <w:rFonts w:ascii="Times New Roman" w:hAnsi="Times New Roman"/>
          <w:b w:val="0"/>
          <w:i w:val="0"/>
          <w:color w:val="000000"/>
          <w:sz w:val="22"/>
        </w:rPr>
        <w:t>The following inventory registers all physical, biological, electronic, and testimonial evidence collected by the litigation team as of October 17, 2026. Pursuant to C1 Rules, this manifest is locked against tampering.</w:t>
      </w:r>
    </w:p>
    <w:tbl>
      <w:tblPr>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1400"/>
        <w:gridCol w:w="2800"/>
        <w:gridCol w:w="2800"/>
        <w:gridCol w:w="2360"/>
      </w:tblGrid>
      <w:tblGrid>
        <w:gridCol w:w="2340"/>
        <w:gridCol w:w="2340"/>
        <w:gridCol w:w="2340"/>
        <w:gridCol w:w="2340"/>
      </w:tblGrid>
      <w:tr>
        <w:trPr>
          <w:cantSplit/>
          <w:tblHeader/>
        </w:trPr>
        <w:tc>
          <w:tcPr>
            <w:tcW w:type="dxa" w:w="2"/>
            <w:shd w:fill="E2E8F0"/>
          </w:tcPr>
          <w:p>
            <w:pPr>
              <w:spacing w:before="30" w:after="30" w:line="269" w:lineRule="auto"/>
              <w:jc w:val="center"/>
            </w:pPr>
            <w:r>
              <w:rPr>
                <w:rFonts w:ascii="Times New Roman" w:hAnsi="Times New Roman"/>
                <w:b/>
                <w:i w:val="0"/>
                <w:color w:val="000000"/>
                <w:sz w:val="20"/>
              </w:rPr>
              <w:t>Item ID</w:t>
            </w:r>
          </w:p>
        </w:tc>
        <w:tc>
          <w:tcPr>
            <w:tcW w:type="dxa" w:w="4"/>
            <w:shd w:fill="E2E8F0"/>
          </w:tcPr>
          <w:p>
            <w:pPr>
              <w:spacing w:before="30" w:after="30" w:line="269" w:lineRule="auto"/>
              <w:jc w:val="center"/>
            </w:pPr>
            <w:r>
              <w:rPr>
                <w:rFonts w:ascii="Times New Roman" w:hAnsi="Times New Roman"/>
                <w:b/>
                <w:i w:val="0"/>
                <w:color w:val="000000"/>
                <w:sz w:val="20"/>
              </w:rPr>
              <w:t>Evidence Description</w:t>
            </w:r>
          </w:p>
        </w:tc>
        <w:tc>
          <w:tcPr>
            <w:tcW w:type="dxa" w:w="4"/>
            <w:shd w:fill="E2E8F0"/>
          </w:tcPr>
          <w:p>
            <w:pPr>
              <w:spacing w:before="30" w:after="30" w:line="269" w:lineRule="auto"/>
              <w:jc w:val="center"/>
            </w:pPr>
            <w:r>
              <w:rPr>
                <w:rFonts w:ascii="Times New Roman" w:hAnsi="Times New Roman"/>
                <w:b/>
                <w:i w:val="0"/>
                <w:color w:val="000000"/>
                <w:sz w:val="20"/>
              </w:rPr>
              <w:t>Primary Custodian</w:t>
            </w:r>
          </w:p>
        </w:tc>
        <w:tc>
          <w:tcPr>
            <w:tcW w:type="dxa" w:w="4"/>
            <w:shd w:fill="E2E8F0"/>
          </w:tcPr>
          <w:p>
            <w:pPr>
              <w:spacing w:before="30" w:after="30" w:line="269" w:lineRule="auto"/>
              <w:jc w:val="center"/>
            </w:pPr>
            <w:r>
              <w:rPr>
                <w:rFonts w:ascii="Times New Roman" w:hAnsi="Times New Roman"/>
                <w:b/>
                <w:i w:val="0"/>
                <w:color w:val="000000"/>
                <w:sz w:val="20"/>
              </w:rPr>
              <w:t>Security Class</w:t>
            </w:r>
          </w:p>
        </w:tc>
      </w:tr>
      <w:tr>
        <w:trPr>
          <w:cantSplit/>
        </w:trPr>
        <w:tc>
          <w:tcPr>
            <w:tcW w:type="dxa" w:w="2"/>
          </w:tcPr>
          <w:p>
            <w:pPr>
              <w:spacing w:before="30" w:after="30" w:line="269" w:lineRule="auto"/>
              <w:jc w:val="left"/>
            </w:pPr>
            <w:r>
              <w:rPr>
                <w:rFonts w:ascii="Times New Roman" w:hAnsi="Times New Roman"/>
                <w:b/>
                <w:i w:val="0"/>
                <w:color w:val="000000"/>
                <w:sz w:val="20"/>
              </w:rPr>
              <w:t>EV-01</w:t>
            </w:r>
          </w:p>
        </w:tc>
        <w:tc>
          <w:tcPr>
            <w:tcW w:type="dxa" w:w="4"/>
          </w:tcPr>
          <w:p>
            <w:pPr>
              <w:spacing w:before="30" w:after="30" w:line="269" w:lineRule="auto"/>
              <w:jc w:val="left"/>
            </w:pPr>
            <w:r>
              <w:rPr>
                <w:rFonts w:ascii="Times New Roman" w:hAnsi="Times New Roman"/>
                <w:b w:val="0"/>
                <w:i w:val="0"/>
                <w:color w:val="000000"/>
                <w:sz w:val="20"/>
              </w:rPr>
              <w:t>Forensic Trauma Evaluation &amp; Toxicology (Exhibit B)</w:t>
            </w:r>
          </w:p>
        </w:tc>
        <w:tc>
          <w:tcPr>
            <w:tcW w:type="dxa" w:w="4"/>
          </w:tcPr>
          <w:p>
            <w:pPr>
              <w:spacing w:before="30" w:after="30" w:line="269" w:lineRule="auto"/>
              <w:jc w:val="left"/>
            </w:pPr>
            <w:r>
              <w:rPr>
                <w:rFonts w:ascii="Times New Roman" w:hAnsi="Times New Roman"/>
                <w:b w:val="0"/>
                <w:i w:val="0"/>
                <w:color w:val="000000"/>
                <w:sz w:val="20"/>
              </w:rPr>
              <w:t>Dr. Marcus Vance (Forensic Lab)</w:t>
            </w:r>
          </w:p>
        </w:tc>
        <w:tc>
          <w:tcPr>
            <w:tcW w:type="dxa" w:w="4"/>
          </w:tcPr>
          <w:p>
            <w:pPr>
              <w:spacing w:before="30" w:after="30" w:line="269" w:lineRule="auto"/>
              <w:jc w:val="left"/>
            </w:pPr>
            <w:r>
              <w:rPr>
                <w:rFonts w:ascii="Times New Roman" w:hAnsi="Times New Roman"/>
                <w:b w:val="0"/>
                <w:i w:val="0"/>
                <w:color w:val="000000"/>
                <w:sz w:val="20"/>
              </w:rPr>
              <w:t>C2 - Sealed (All-Keyholders)</w:t>
            </w:r>
          </w:p>
        </w:tc>
      </w:tr>
      <w:tr>
        <w:trPr>
          <w:cantSplit/>
        </w:trPr>
        <w:tc>
          <w:tcPr>
            <w:tcW w:type="dxa" w:w="2"/>
          </w:tcPr>
          <w:p>
            <w:pPr>
              <w:spacing w:before="30" w:after="30" w:line="269" w:lineRule="auto"/>
              <w:jc w:val="left"/>
            </w:pPr>
            <w:r>
              <w:rPr>
                <w:rFonts w:ascii="Times New Roman" w:hAnsi="Times New Roman"/>
                <w:b/>
                <w:i w:val="0"/>
                <w:color w:val="000000"/>
                <w:sz w:val="20"/>
              </w:rPr>
              <w:t>EV-02</w:t>
            </w:r>
          </w:p>
        </w:tc>
        <w:tc>
          <w:tcPr>
            <w:tcW w:type="dxa" w:w="4"/>
          </w:tcPr>
          <w:p>
            <w:pPr>
              <w:spacing w:before="30" w:after="30" w:line="269" w:lineRule="auto"/>
              <w:jc w:val="left"/>
            </w:pPr>
            <w:r>
              <w:rPr>
                <w:rFonts w:ascii="Times New Roman" w:hAnsi="Times New Roman"/>
                <w:b w:val="0"/>
                <w:i w:val="0"/>
                <w:color w:val="000000"/>
                <w:sz w:val="20"/>
              </w:rPr>
              <w:t>Incident Audio Transcripts &amp; Voice Memos (180 mins)</w:t>
            </w:r>
          </w:p>
        </w:tc>
        <w:tc>
          <w:tcPr>
            <w:tcW w:type="dxa" w:w="4"/>
          </w:tcPr>
          <w:p>
            <w:pPr>
              <w:spacing w:before="30" w:after="30" w:line="269" w:lineRule="auto"/>
              <w:jc w:val="left"/>
            </w:pPr>
            <w:r>
              <w:rPr>
                <w:rFonts w:ascii="Times New Roman" w:hAnsi="Times New Roman"/>
                <w:b w:val="0"/>
                <w:i w:val="0"/>
                <w:color w:val="000000"/>
                <w:sz w:val="20"/>
              </w:rPr>
              <w:t>Elena Howard, Esq. (Legal Escrow)</w:t>
            </w:r>
          </w:p>
        </w:tc>
        <w:tc>
          <w:tcPr>
            <w:tcW w:type="dxa" w:w="4"/>
          </w:tcPr>
          <w:p>
            <w:pPr>
              <w:spacing w:before="30" w:after="30" w:line="269" w:lineRule="auto"/>
              <w:jc w:val="left"/>
            </w:pPr>
            <w:r>
              <w:rPr>
                <w:rFonts w:ascii="Times New Roman" w:hAnsi="Times New Roman"/>
                <w:b w:val="0"/>
                <w:i w:val="0"/>
                <w:color w:val="000000"/>
                <w:sz w:val="20"/>
              </w:rPr>
              <w:t>C2 - Sealed (All-Keyholders)</w:t>
            </w:r>
          </w:p>
        </w:tc>
      </w:tr>
      <w:tr>
        <w:trPr>
          <w:cantSplit/>
        </w:trPr>
        <w:tc>
          <w:tcPr>
            <w:tcW w:type="dxa" w:w="2"/>
          </w:tcPr>
          <w:p>
            <w:pPr>
              <w:spacing w:before="30" w:after="30" w:line="269" w:lineRule="auto"/>
              <w:jc w:val="left"/>
            </w:pPr>
            <w:r>
              <w:rPr>
                <w:rFonts w:ascii="Times New Roman" w:hAnsi="Times New Roman"/>
                <w:b/>
                <w:i w:val="0"/>
                <w:color w:val="000000"/>
                <w:sz w:val="20"/>
              </w:rPr>
              <w:t>EV-03</w:t>
            </w:r>
          </w:p>
        </w:tc>
        <w:tc>
          <w:tcPr>
            <w:tcW w:type="dxa" w:w="4"/>
          </w:tcPr>
          <w:p>
            <w:pPr>
              <w:spacing w:before="30" w:after="30" w:line="269" w:lineRule="auto"/>
              <w:jc w:val="left"/>
            </w:pPr>
            <w:r>
              <w:rPr>
                <w:rFonts w:ascii="Times New Roman" w:hAnsi="Times New Roman"/>
                <w:b w:val="0"/>
                <w:i w:val="0"/>
                <w:color w:val="000000"/>
                <w:sz w:val="20"/>
              </w:rPr>
              <w:t>Electronic Device Extraction &amp; Threat SMS Manifest</w:t>
            </w:r>
          </w:p>
        </w:tc>
        <w:tc>
          <w:tcPr>
            <w:tcW w:type="dxa" w:w="4"/>
          </w:tcPr>
          <w:p>
            <w:pPr>
              <w:spacing w:before="30" w:after="30" w:line="269" w:lineRule="auto"/>
              <w:jc w:val="left"/>
            </w:pPr>
            <w:r>
              <w:rPr>
                <w:rFonts w:ascii="Times New Roman" w:hAnsi="Times New Roman"/>
                <w:b w:val="0"/>
                <w:i w:val="0"/>
                <w:color w:val="000000"/>
                <w:sz w:val="20"/>
              </w:rPr>
              <w:t>NYPD Cyber Forensics Unit</w:t>
            </w:r>
          </w:p>
        </w:tc>
        <w:tc>
          <w:tcPr>
            <w:tcW w:type="dxa" w:w="4"/>
          </w:tcPr>
          <w:p>
            <w:pPr>
              <w:spacing w:before="30" w:after="30" w:line="269" w:lineRule="auto"/>
              <w:jc w:val="left"/>
            </w:pPr>
            <w:r>
              <w:rPr>
                <w:rFonts w:ascii="Times New Roman" w:hAnsi="Times New Roman"/>
                <w:b w:val="0"/>
                <w:i w:val="0"/>
                <w:color w:val="000000"/>
                <w:sz w:val="20"/>
              </w:rPr>
              <w:t>C2 - Sealed (All-Keyholders)</w:t>
            </w:r>
          </w:p>
        </w:tc>
      </w:tr>
      <w:tr>
        <w:trPr>
          <w:cantSplit/>
        </w:trPr>
        <w:tc>
          <w:tcPr>
            <w:tcW w:type="dxa" w:w="2"/>
          </w:tcPr>
          <w:p>
            <w:pPr>
              <w:spacing w:before="30" w:after="30" w:line="269" w:lineRule="auto"/>
              <w:jc w:val="left"/>
            </w:pPr>
            <w:r>
              <w:rPr>
                <w:rFonts w:ascii="Times New Roman" w:hAnsi="Times New Roman"/>
                <w:b/>
                <w:i w:val="0"/>
                <w:color w:val="000000"/>
                <w:sz w:val="20"/>
              </w:rPr>
              <w:t>EV-04</w:t>
            </w:r>
          </w:p>
        </w:tc>
        <w:tc>
          <w:tcPr>
            <w:tcW w:type="dxa" w:w="4"/>
          </w:tcPr>
          <w:p>
            <w:pPr>
              <w:spacing w:before="30" w:after="30" w:line="269" w:lineRule="auto"/>
              <w:jc w:val="left"/>
            </w:pPr>
            <w:r>
              <w:rPr>
                <w:rFonts w:ascii="Times New Roman" w:hAnsi="Times New Roman"/>
                <w:b w:val="0"/>
                <w:i w:val="0"/>
                <w:color w:val="000000"/>
                <w:sz w:val="20"/>
              </w:rPr>
              <w:t>Chain-of-Custody SHA-256 Cryptographic Ledger</w:t>
            </w:r>
          </w:p>
        </w:tc>
        <w:tc>
          <w:tcPr>
            <w:tcW w:type="dxa" w:w="4"/>
          </w:tcPr>
          <w:p>
            <w:pPr>
              <w:spacing w:before="30" w:after="30" w:line="269" w:lineRule="auto"/>
              <w:jc w:val="left"/>
            </w:pPr>
            <w:r>
              <w:rPr>
                <w:rFonts w:ascii="Times New Roman" w:hAnsi="Times New Roman"/>
                <w:b w:val="0"/>
                <w:i w:val="0"/>
                <w:color w:val="000000"/>
                <w:sz w:val="20"/>
              </w:rPr>
              <w:t>Enclave Sealed Node #9942</w:t>
            </w:r>
          </w:p>
        </w:tc>
        <w:tc>
          <w:tcPr>
            <w:tcW w:type="dxa" w:w="4"/>
          </w:tcPr>
          <w:p>
            <w:pPr>
              <w:spacing w:before="30" w:after="30" w:line="269" w:lineRule="auto"/>
              <w:jc w:val="left"/>
            </w:pPr>
            <w:r>
              <w:rPr>
                <w:rFonts w:ascii="Times New Roman" w:hAnsi="Times New Roman"/>
                <w:b w:val="0"/>
                <w:i w:val="0"/>
                <w:color w:val="000000"/>
                <w:sz w:val="20"/>
              </w:rPr>
              <w:t>C1 - Confidential (Lawyer Export)</w:t>
            </w:r>
          </w:p>
        </w:tc>
      </w:tr>
      <w:tr>
        <w:trPr>
          <w:cantSplit/>
        </w:trPr>
        <w:tc>
          <w:tcPr>
            <w:tcW w:type="dxa" w:w="2"/>
          </w:tcPr>
          <w:p>
            <w:pPr>
              <w:spacing w:before="30" w:after="30" w:line="269" w:lineRule="auto"/>
              <w:jc w:val="left"/>
            </w:pPr>
            <w:r>
              <w:rPr>
                <w:rFonts w:ascii="Times New Roman" w:hAnsi="Times New Roman"/>
                <w:b/>
                <w:i w:val="0"/>
                <w:color w:val="000000"/>
                <w:sz w:val="20"/>
              </w:rPr>
              <w:t>EV-05</w:t>
            </w:r>
          </w:p>
        </w:tc>
        <w:tc>
          <w:tcPr>
            <w:tcW w:type="dxa" w:w="4"/>
          </w:tcPr>
          <w:p>
            <w:pPr>
              <w:spacing w:before="30" w:after="30" w:line="269" w:lineRule="auto"/>
              <w:jc w:val="left"/>
            </w:pPr>
            <w:r>
              <w:rPr>
                <w:rFonts w:ascii="Times New Roman" w:hAnsi="Times New Roman"/>
                <w:b w:val="0"/>
                <w:i w:val="0"/>
                <w:color w:val="000000"/>
                <w:sz w:val="20"/>
              </w:rPr>
              <w:t>Witness Interview Summaries &amp; Redacted Chronology</w:t>
            </w:r>
          </w:p>
        </w:tc>
        <w:tc>
          <w:tcPr>
            <w:tcW w:type="dxa" w:w="4"/>
          </w:tcPr>
          <w:p>
            <w:pPr>
              <w:spacing w:before="30" w:after="30" w:line="269" w:lineRule="auto"/>
              <w:jc w:val="left"/>
            </w:pPr>
            <w:r>
              <w:rPr>
                <w:rFonts w:ascii="Times New Roman" w:hAnsi="Times New Roman"/>
                <w:b w:val="0"/>
                <w:i w:val="0"/>
                <w:color w:val="000000"/>
                <w:sz w:val="20"/>
              </w:rPr>
              <w:t>Howard &amp; Associates Investigators</w:t>
            </w:r>
          </w:p>
        </w:tc>
        <w:tc>
          <w:tcPr>
            <w:tcW w:type="dxa" w:w="4"/>
          </w:tcPr>
          <w:p>
            <w:pPr>
              <w:spacing w:before="30" w:after="30" w:line="269" w:lineRule="auto"/>
              <w:jc w:val="left"/>
            </w:pPr>
            <w:r>
              <w:rPr>
                <w:rFonts w:ascii="Times New Roman" w:hAnsi="Times New Roman"/>
                <w:b w:val="0"/>
                <w:i w:val="0"/>
                <w:color w:val="000000"/>
                <w:sz w:val="20"/>
              </w:rPr>
              <w:t>C1 - Confidential (Lawyer Export)</w:t>
            </w:r>
          </w:p>
        </w:tc>
      </w:tr>
      <w:tr>
        <w:trPr>
          <w:cantSplit/>
        </w:trPr>
        <w:tc>
          <w:tcPr>
            <w:tcW w:type="dxa" w:w="2"/>
          </w:tcPr>
          <w:p>
            <w:pPr>
              <w:spacing w:before="30" w:after="30" w:line="269" w:lineRule="auto"/>
              <w:jc w:val="left"/>
            </w:pPr>
            <w:r>
              <w:rPr>
                <w:rFonts w:ascii="Times New Roman" w:hAnsi="Times New Roman"/>
                <w:b/>
                <w:i w:val="0"/>
                <w:color w:val="000000"/>
                <w:sz w:val="20"/>
              </w:rPr>
              <w:t>EV-06</w:t>
            </w:r>
          </w:p>
        </w:tc>
        <w:tc>
          <w:tcPr>
            <w:tcW w:type="dxa" w:w="4"/>
          </w:tcPr>
          <w:p>
            <w:pPr>
              <w:spacing w:before="30" w:after="30" w:line="269" w:lineRule="auto"/>
              <w:jc w:val="left"/>
            </w:pPr>
            <w:r>
              <w:rPr>
                <w:rFonts w:ascii="Times New Roman" w:hAnsi="Times New Roman"/>
                <w:b w:val="0"/>
                <w:i w:val="0"/>
                <w:color w:val="000000"/>
                <w:sz w:val="20"/>
              </w:rPr>
              <w:t>Marshals Witness Escrow GPS Relocation Plan</w:t>
            </w:r>
          </w:p>
        </w:tc>
        <w:tc>
          <w:tcPr>
            <w:tcW w:type="dxa" w:w="4"/>
          </w:tcPr>
          <w:p>
            <w:pPr>
              <w:spacing w:before="30" w:after="30" w:line="269" w:lineRule="auto"/>
              <w:jc w:val="left"/>
            </w:pPr>
            <w:r>
              <w:rPr>
                <w:rFonts w:ascii="Times New Roman" w:hAnsi="Times New Roman"/>
                <w:b w:val="0"/>
                <w:i w:val="0"/>
                <w:color w:val="000000"/>
                <w:sz w:val="20"/>
              </w:rPr>
              <w:t>U.S. Marshals Service Protection Escrow</w:t>
            </w:r>
          </w:p>
        </w:tc>
        <w:tc>
          <w:tcPr>
            <w:tcW w:type="dxa" w:w="4"/>
          </w:tcPr>
          <w:p>
            <w:pPr>
              <w:spacing w:before="30" w:after="30" w:line="269" w:lineRule="auto"/>
              <w:jc w:val="left"/>
            </w:pPr>
            <w:r>
              <w:rPr>
                <w:rFonts w:ascii="Times New Roman" w:hAnsi="Times New Roman"/>
                <w:b w:val="0"/>
                <w:i w:val="0"/>
                <w:color w:val="000000"/>
                <w:sz w:val="20"/>
              </w:rPr>
              <w:t>C2 - Sealed (All-Keyholders)</w:t>
            </w:r>
          </w:p>
        </w:tc>
      </w:tr>
    </w:tbl>
    <w:p>
      <w:pPr>
        <w:keepNext/>
        <w:spacing w:before="280" w:after="80"/>
      </w:pPr>
      <w:r>
        <w:rPr>
          <w:rFonts w:ascii="Arial" w:hAnsi="Arial"/>
          <w:b/>
          <w:color w:val="0F172A"/>
          <w:sz w:val="28"/>
        </w:rPr>
        <w:t>II. MANDATORY GOVERNANCE RESTRICTIONS (RULE C1)</w:t>
      </w:r>
    </w:p>
    <w:p>
      <w:pPr>
        <w:spacing w:before="40" w:after="60" w:line="276" w:lineRule="auto"/>
        <w:jc w:val="left"/>
      </w:pPr>
      <w:r>
        <w:rPr>
          <w:rFonts w:ascii="Times New Roman" w:hAnsi="Times New Roman"/>
          <w:b w:val="0"/>
          <w:i w:val="0"/>
          <w:color w:val="000000"/>
          <w:sz w:val="22"/>
        </w:rPr>
        <w:t>1. PROHIBITION OF MODIFICATION: In accordance with Brainstorm 2.0 Rule C1, this index cannot be edited or altered by any user.</w:t>
      </w:r>
    </w:p>
    <w:p>
      <w:pPr>
        <w:spacing w:before="40" w:after="60" w:line="276" w:lineRule="auto"/>
        <w:jc w:val="left"/>
      </w:pPr>
      <w:r>
        <w:rPr>
          <w:rFonts w:ascii="Times New Roman" w:hAnsi="Times New Roman"/>
          <w:b w:val="0"/>
          <w:i w:val="0"/>
          <w:color w:val="000000"/>
          <w:sz w:val="22"/>
        </w:rPr>
        <w:t>2. PROHIBITION OF DELETION: Under the evidentiary spoliation doctrine and Federal Rules of Civil Procedure 37(e), no entry in this ledger may be destroyed.</w:t>
      </w:r>
    </w:p>
    <w:p>
      <w:pPr>
        <w:spacing w:before="40" w:after="60" w:line="276" w:lineRule="auto"/>
        <w:jc w:val="left"/>
      </w:pPr>
      <w:r>
        <w:rPr>
          <w:rFonts w:ascii="Times New Roman" w:hAnsi="Times New Roman"/>
          <w:b w:val="0"/>
          <w:i w:val="0"/>
          <w:color w:val="000000"/>
          <w:sz w:val="22"/>
        </w:rPr>
        <w:t>3. EXCLUSIVE EXPORT RESTRICTION: Export authorization is restricted strictly to verified Lead Counsel (Elena Howard, Esq.) for judicial hearings. Attempts by unauthorized actors are mathematically denied and logged.</w:t>
      </w:r>
    </w:p>
    <w:p>
      <w:pPr>
        <w:spacing w:before="200" w:after="60" w:line="276" w:lineRule="auto"/>
        <w:jc w:val="left"/>
      </w:pPr>
      <w:r>
        <w:rPr>
          <w:rFonts w:ascii="Times New Roman" w:hAnsi="Times New Roman"/>
          <w:b w:val="0"/>
          <w:i/>
          <w:color w:val="000000"/>
          <w:sz w:val="22"/>
        </w:rPr>
        <w:t>Certified by Lead Trial Counsel:</w:t>
        <w:br/>
        <w:t>/s/ Elena Howard, Esq.</w:t>
        <w:br/>
        <w:t>Chain-of-Custody Lock: 0x5d10a29f...7c22</w:t>
        <w:br/>
        <w:t>Date: October 17,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