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412" w:tblpY="-355"/>
        <w:tblW w:w="10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8"/>
        <w:gridCol w:w="1066"/>
        <w:gridCol w:w="946"/>
      </w:tblGrid>
      <w:tr w:rsidR="00A6003D" w:rsidRPr="00A6003D" w14:paraId="3B39F04A" w14:textId="77777777" w:rsidTr="00A6003D">
        <w:trPr>
          <w:tblHeader/>
        </w:trPr>
        <w:tc>
          <w:tcPr>
            <w:tcW w:w="105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39673A" w14:textId="77777777" w:rsidR="00A6003D" w:rsidRPr="00A6003D" w:rsidRDefault="00A6003D" w:rsidP="00A6003D">
            <w:pPr>
              <w:jc w:val="center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SADI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DiceGameGUI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Assign2 2018S1</w:t>
            </w:r>
          </w:p>
        </w:tc>
        <w:bookmarkStart w:id="0" w:name="_GoBack"/>
        <w:bookmarkEnd w:id="0"/>
      </w:tr>
      <w:tr w:rsidR="00A6003D" w:rsidRPr="00A6003D" w14:paraId="6517B83E" w14:textId="77777777" w:rsidTr="00A6003D">
        <w:trPr>
          <w:tblHeader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C42704" w14:textId="77777777" w:rsidR="00A6003D" w:rsidRPr="00A6003D" w:rsidRDefault="00A6003D" w:rsidP="00A6003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19A004" w14:textId="77777777" w:rsidR="00A6003D" w:rsidRPr="00A6003D" w:rsidRDefault="00A6003D" w:rsidP="00A6003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1C91F1" w14:textId="77777777" w:rsidR="00A6003D" w:rsidRPr="00A6003D" w:rsidRDefault="00A6003D" w:rsidP="00A6003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Pts</w:t>
            </w:r>
          </w:p>
        </w:tc>
      </w:tr>
      <w:tr w:rsidR="00A6003D" w:rsidRPr="00A6003D" w14:paraId="62CEB7A9" w14:textId="77777777" w:rsidTr="00A6003D">
        <w:trPr>
          <w:trHeight w:val="690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041FBA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Swing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 xml:space="preserve"> Components</w:t>
            </w:r>
          </w:p>
          <w:p w14:paraId="6B42106A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A pull-down, dialog box, toolbar, status bar and dice/number panel are implemented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C9749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C4B133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2.0 pts</w:t>
            </w:r>
          </w:p>
        </w:tc>
      </w:tr>
      <w:tr w:rsidR="00A6003D" w:rsidRPr="00A6003D" w14:paraId="6AFC86A2" w14:textId="77777777" w:rsidTr="00A6003D">
        <w:trPr>
          <w:trHeight w:val="802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8A8D6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GUI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 xml:space="preserve"> Player Functionality</w:t>
            </w:r>
          </w:p>
          <w:p w14:paraId="5D21D66F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Functionality to add a player through the GUI is implemented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C3F1B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7DE666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1.5 pts</w:t>
            </w:r>
          </w:p>
        </w:tc>
      </w:tr>
      <w:tr w:rsidR="00A6003D" w:rsidRPr="00A6003D" w14:paraId="4F6D8812" w14:textId="77777777" w:rsidTr="00A6003D">
        <w:trPr>
          <w:trHeight w:val="690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C5DBCD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GUI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 xml:space="preserve"> Betting Functionality</w:t>
            </w:r>
          </w:p>
          <w:p w14:paraId="658E377D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Functionality to place a bet through the GUI is implemented (valid/invalid)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3A588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221431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1.5 pts</w:t>
            </w:r>
          </w:p>
        </w:tc>
      </w:tr>
      <w:tr w:rsidR="00A6003D" w:rsidRPr="00A6003D" w14:paraId="7A76500E" w14:textId="77777777" w:rsidTr="00A6003D">
        <w:trPr>
          <w:trHeight w:val="975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0A0683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GUI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 xml:space="preserve"> Dice Functionality</w:t>
            </w:r>
          </w:p>
          <w:p w14:paraId="73A89F9C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 xml:space="preserve">Display the dice as they are rolled in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realtime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 xml:space="preserve"> through the GUI (includes switching players while rolling)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02394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619AA4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4.0 pts</w:t>
            </w:r>
          </w:p>
        </w:tc>
      </w:tr>
      <w:tr w:rsidR="00A6003D" w:rsidRPr="00A6003D" w14:paraId="3A279B72" w14:textId="77777777" w:rsidTr="00A6003D">
        <w:trPr>
          <w:trHeight w:val="690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A180E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Roll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 xml:space="preserve"> Rules Enforced</w:t>
            </w:r>
          </w:p>
          <w:p w14:paraId="5AA9AB60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Games rules are respected when rolling and any players has no bet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056FF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B6354E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 pts</w:t>
            </w:r>
          </w:p>
        </w:tc>
      </w:tr>
      <w:tr w:rsidR="00A6003D" w:rsidRPr="00A6003D" w14:paraId="4C8C7E35" w14:textId="77777777" w:rsidTr="00A6003D">
        <w:trPr>
          <w:trHeight w:val="690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834167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GUI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 xml:space="preserve"> Final Results</w:t>
            </w:r>
          </w:p>
          <w:p w14:paraId="7270CFDA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The GUI is updated with new balances after house roll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2CA50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786376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2.0 pts</w:t>
            </w:r>
          </w:p>
        </w:tc>
      </w:tr>
      <w:tr w:rsidR="00A6003D" w:rsidRPr="00A6003D" w14:paraId="033FE172" w14:textId="77777777" w:rsidTr="00A6003D">
        <w:trPr>
          <w:trHeight w:val="1545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29703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Usability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/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Resizability</w:t>
            </w:r>
            <w:proofErr w:type="spellEnd"/>
          </w:p>
          <w:p w14:paraId="5DF82D2C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•Simple navigation with no unnecessary steps, clear layout, information/functionality readily available. •Main Frame must be resizable and contents resized appropriately using layout management. •Minimum frame size must be &lt;= half screen size (width and height) and frame can be maximized.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9DE15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F99116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2.0 pts</w:t>
            </w:r>
          </w:p>
        </w:tc>
      </w:tr>
      <w:tr w:rsidR="00A6003D" w:rsidRPr="00A6003D" w14:paraId="11A43220" w14:textId="77777777" w:rsidTr="00A6003D">
        <w:trPr>
          <w:trHeight w:val="690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B88DFB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Encapsulation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 xml:space="preserve"> and OO Principles</w:t>
            </w:r>
          </w:p>
          <w:p w14:paraId="772BBF88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Fields are appropriately encapsulated, Suitable use of OO techniques to remove code duplication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FC415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F24740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2.5 pts</w:t>
            </w:r>
          </w:p>
        </w:tc>
      </w:tr>
      <w:tr w:rsidR="00A6003D" w:rsidRPr="00A6003D" w14:paraId="600C979C" w14:textId="77777777" w:rsidTr="00A6003D">
        <w:trPr>
          <w:trHeight w:val="1545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23C13A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MVC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 xml:space="preserve"> Architecture and Design</w:t>
            </w:r>
          </w:p>
          <w:p w14:paraId="6DB8B279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•Controllers are well encapsulated and call methods on view and model. •UI classes are cohesive and structured according to containers and components. •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Callback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 xml:space="preserve"> class calls methods on view rather than implementing the functionality in the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callback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. •Explicit reference passing, no static access or inner classes for controllers.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3B514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66BA79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3.0 pts</w:t>
            </w:r>
          </w:p>
        </w:tc>
      </w:tr>
      <w:tr w:rsidR="00A6003D" w:rsidRPr="00A6003D" w14:paraId="3A19479C" w14:textId="77777777" w:rsidTr="00A6003D">
        <w:trPr>
          <w:trHeight w:val="975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12BD7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Coupling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 xml:space="preserve"> and Cohesion</w:t>
            </w:r>
          </w:p>
          <w:p w14:paraId="399BADB9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The source code is cohesive and has low coupling, Classes and methods are succinct and have a clear separation of concerns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46B26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6F5B95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2.5 pts</w:t>
            </w:r>
          </w:p>
        </w:tc>
      </w:tr>
      <w:tr w:rsidR="00A6003D" w:rsidRPr="00A6003D" w14:paraId="2F0F0D34" w14:textId="77777777" w:rsidTr="00A6003D">
        <w:trPr>
          <w:trHeight w:val="975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DCF566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Use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 xml:space="preserve"> of Provided Interfaces</w:t>
            </w:r>
          </w:p>
          <w:p w14:paraId="15BF4012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 xml:space="preserve">Application makes appropriate use of the provided interfaces, </w:t>
            </w:r>
            <w:proofErr w:type="gramStart"/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All</w:t>
            </w:r>
            <w:proofErr w:type="gramEnd"/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 xml:space="preserve"> methods in the interfaces have been implemented without modification. This will be tested by using our own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GameEngineImpl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9A94F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B1336F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2.0 pts</w:t>
            </w:r>
          </w:p>
        </w:tc>
      </w:tr>
      <w:tr w:rsidR="00A6003D" w:rsidRPr="00A6003D" w14:paraId="18EE2A3E" w14:textId="77777777" w:rsidTr="00A6003D">
        <w:trPr>
          <w:trHeight w:val="690"/>
        </w:trPr>
        <w:tc>
          <w:tcPr>
            <w:tcW w:w="853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7A6299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lastRenderedPageBreak/>
              <w:t xml:space="preserve">This criterion is linked to a Learning </w:t>
            </w:r>
            <w:proofErr w:type="spellStart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  <w:bdr w:val="none" w:sz="0" w:space="0" w:color="auto" w:frame="1"/>
              </w:rPr>
              <w:t>Outcome</w:t>
            </w:r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>Source</w:t>
            </w:r>
            <w:proofErr w:type="spellEnd"/>
            <w:r w:rsidRPr="00A6003D">
              <w:rPr>
                <w:rFonts w:ascii="Helvetica Neue" w:eastAsia="Times New Roman" w:hAnsi="Helvetica Neue" w:cs="Times New Roman"/>
                <w:color w:val="333333"/>
                <w:sz w:val="19"/>
                <w:szCs w:val="19"/>
              </w:rPr>
              <w:t xml:space="preserve"> Code Quality</w:t>
            </w:r>
          </w:p>
          <w:p w14:paraId="45257833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  <w:r w:rsidRPr="00A6003D"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  <w:t>Appropriate class, method and variable names, adequate commenting, easily comprehensible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116AA" w14:textId="77777777" w:rsidR="00A6003D" w:rsidRPr="00A6003D" w:rsidRDefault="00A6003D" w:rsidP="00A6003D">
            <w:pPr>
              <w:textAlignment w:val="center"/>
              <w:rPr>
                <w:rFonts w:ascii="Helvetica Neue" w:eastAsia="Times New Roman" w:hAnsi="Helvetica Neue" w:cs="Times New Roman"/>
                <w:i/>
                <w:iCs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4F654D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1.0 pts</w:t>
            </w:r>
          </w:p>
        </w:tc>
      </w:tr>
      <w:tr w:rsidR="00A6003D" w:rsidRPr="00A6003D" w14:paraId="77FDA0C9" w14:textId="77777777" w:rsidTr="00A6003D">
        <w:tc>
          <w:tcPr>
            <w:tcW w:w="10550" w:type="dxa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D75C53" w14:textId="77777777" w:rsidR="00A6003D" w:rsidRPr="00A6003D" w:rsidRDefault="00A6003D" w:rsidP="00A6003D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A6003D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Total Points: 25.0</w:t>
            </w:r>
          </w:p>
        </w:tc>
      </w:tr>
    </w:tbl>
    <w:p w14:paraId="580E278B" w14:textId="77777777" w:rsidR="00A6003D" w:rsidRPr="00A6003D" w:rsidRDefault="00A6003D" w:rsidP="00A6003D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A6003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SADI </w:t>
      </w:r>
      <w:proofErr w:type="spellStart"/>
      <w:r w:rsidRPr="00A6003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DiceGameGUI</w:t>
      </w:r>
      <w:proofErr w:type="spellEnd"/>
      <w:r w:rsidRPr="00A6003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Assign2 2018S1</w:t>
      </w:r>
    </w:p>
    <w:p w14:paraId="320FE852" w14:textId="77777777" w:rsidR="00163C9D" w:rsidRDefault="00163C9D"/>
    <w:sectPr w:rsidR="00163C9D" w:rsidSect="006A147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3D"/>
    <w:rsid w:val="0001721E"/>
    <w:rsid w:val="000C05A8"/>
    <w:rsid w:val="000C358C"/>
    <w:rsid w:val="00163C9D"/>
    <w:rsid w:val="00184C2B"/>
    <w:rsid w:val="001D1DB9"/>
    <w:rsid w:val="001E20E0"/>
    <w:rsid w:val="00226306"/>
    <w:rsid w:val="002A343D"/>
    <w:rsid w:val="002C6897"/>
    <w:rsid w:val="00351EF0"/>
    <w:rsid w:val="00362DD6"/>
    <w:rsid w:val="003B1CEA"/>
    <w:rsid w:val="003F7C49"/>
    <w:rsid w:val="00411B2C"/>
    <w:rsid w:val="00412A30"/>
    <w:rsid w:val="00434771"/>
    <w:rsid w:val="00467496"/>
    <w:rsid w:val="00475576"/>
    <w:rsid w:val="004A00DC"/>
    <w:rsid w:val="004F0601"/>
    <w:rsid w:val="005C280F"/>
    <w:rsid w:val="005F7785"/>
    <w:rsid w:val="006A1470"/>
    <w:rsid w:val="006D5A05"/>
    <w:rsid w:val="00792353"/>
    <w:rsid w:val="007E60FA"/>
    <w:rsid w:val="00811781"/>
    <w:rsid w:val="00836B2A"/>
    <w:rsid w:val="008C0AB2"/>
    <w:rsid w:val="008F5B43"/>
    <w:rsid w:val="0093287F"/>
    <w:rsid w:val="009A6961"/>
    <w:rsid w:val="009D2BA2"/>
    <w:rsid w:val="00A6003D"/>
    <w:rsid w:val="00AF59AC"/>
    <w:rsid w:val="00C11C38"/>
    <w:rsid w:val="00C549A8"/>
    <w:rsid w:val="00C5758D"/>
    <w:rsid w:val="00CC5614"/>
    <w:rsid w:val="00D7562D"/>
    <w:rsid w:val="00E7268A"/>
    <w:rsid w:val="00EA464E"/>
    <w:rsid w:val="00F02FA2"/>
    <w:rsid w:val="00F0344E"/>
    <w:rsid w:val="00F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035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A6003D"/>
  </w:style>
  <w:style w:type="character" w:customStyle="1" w:styleId="screenreader-only">
    <w:name w:val="screenreader-only"/>
    <w:basedOn w:val="DefaultParagraphFont"/>
    <w:rsid w:val="00A6003D"/>
  </w:style>
  <w:style w:type="character" w:customStyle="1" w:styleId="description">
    <w:name w:val="description"/>
    <w:basedOn w:val="DefaultParagraphFont"/>
    <w:rsid w:val="00A6003D"/>
  </w:style>
  <w:style w:type="character" w:customStyle="1" w:styleId="displaycriterionpoints">
    <w:name w:val="display_criterion_points"/>
    <w:basedOn w:val="DefaultParagraphFont"/>
    <w:rsid w:val="00A6003D"/>
  </w:style>
  <w:style w:type="character" w:customStyle="1" w:styleId="apple-converted-space">
    <w:name w:val="apple-converted-space"/>
    <w:basedOn w:val="DefaultParagraphFont"/>
    <w:rsid w:val="00A6003D"/>
  </w:style>
  <w:style w:type="character" w:customStyle="1" w:styleId="rubrictotal">
    <w:name w:val="rubric_total"/>
    <w:basedOn w:val="DefaultParagraphFont"/>
    <w:rsid w:val="00A6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2686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818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34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2234</Characters>
  <Application>Microsoft Macintosh Word</Application>
  <DocSecurity>0</DocSecurity>
  <Lines>18</Lines>
  <Paragraphs>5</Paragraphs>
  <ScaleCrop>false</ScaleCrop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YE</dc:creator>
  <cp:keywords/>
  <dc:description/>
  <cp:lastModifiedBy>Xinyu YE</cp:lastModifiedBy>
  <cp:revision>1</cp:revision>
  <dcterms:created xsi:type="dcterms:W3CDTF">2018-05-14T08:09:00Z</dcterms:created>
  <dcterms:modified xsi:type="dcterms:W3CDTF">2018-05-14T08:11:00Z</dcterms:modified>
</cp:coreProperties>
</file>