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UI SPECIFICATIONS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Medium" w:cs="Roboto Medium" w:eastAsia="Roboto Medium" w:hAnsi="Roboto Medium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Navigation Bar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Evenly Spaced links which collapse into a dropdown menu.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Profile/Login link fixed in top right corner.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Simple circle icon to access profile pane.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AGME Logo visible in widescreen.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Home Page(Services Page)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Flexible Grid with search/sorting option.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Filter by Date and Search Bar above columns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Two columns desktop, single columns mobile.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Display Services in expanding tiles.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Minimised: Service title, photo, description.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Expanded: As above, with expanded description and booking select option</w:t>
      </w:r>
    </w:p>
    <w:p w:rsidR="00000000" w:rsidDel="00000000" w:rsidP="00000000" w:rsidRDefault="00000000" w:rsidRPr="00000000" w14:paraId="00000011">
      <w:pPr>
        <w:ind w:left="216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Login Page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Simple Centered Login fields for email/password, with a ‘create’ option.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Create Account 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Same Layout as login, with additional fields for name, phone and password/email confirmation.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User Profile Page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Pop-up modal pane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User profile picture at top of pane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Buttons for closing or enabling editing at top right corner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All user attributes (email, phone number, password) displayed in smaller editable fields.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Admins can view a switch which will activate/deactivate employee accounts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Customers can view a button which will take them to their bookings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Button at the lower pane can save any edits made to fields.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About Page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Simple Centered Article.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Large Headings precede paragraphs and images.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Scrolling down expands the page vertically to reveal more content.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Contact Page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Centered email address/phone/social media contact form.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u w:val="single"/>
          <w:rtl w:val="0"/>
        </w:rPr>
        <w:t xml:space="preserve">Employees Page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Information-Heavy List.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Employee name, email, phone number, assignments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Rows/Tile expand into Information Panes.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Employee work times displayed with a calendar interface to allocate/deallocate work times and services, active/inactive switch in top right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