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916D" w14:textId="4AF3482F" w:rsidR="001712D5" w:rsidRDefault="001712D5" w:rsidP="001712D5">
      <w:pPr>
        <w:pStyle w:val="Heading2"/>
        <w:rPr>
          <w:rFonts w:cs="Noto Sans"/>
          <w:color w:val="C45911" w:themeColor="accent2" w:themeShade="BF"/>
          <w:lang w:val="en-US"/>
        </w:rPr>
      </w:pPr>
      <w:r w:rsidRPr="000A2FB5">
        <w:rPr>
          <w:rFonts w:cs="Noto Sans"/>
          <w:color w:val="C45911" w:themeColor="accent2" w:themeShade="BF"/>
          <w:lang w:val="en-US"/>
        </w:rPr>
        <w:t xml:space="preserve">Risks </w:t>
      </w:r>
      <w:r>
        <w:rPr>
          <w:rFonts w:cs="Noto Sans"/>
          <w:color w:val="C45911" w:themeColor="accent2" w:themeShade="BF"/>
          <w:lang w:val="en-US"/>
        </w:rPr>
        <w:t>5</w:t>
      </w:r>
    </w:p>
    <w:p w14:paraId="0A3B9360" w14:textId="55BC881C" w:rsidR="001712D5" w:rsidRPr="001712D5" w:rsidRDefault="001712D5" w:rsidP="001712D5">
      <w:pPr>
        <w:rPr>
          <w:lang w:val="en-US"/>
        </w:rPr>
      </w:pPr>
      <w:r>
        <w:rPr>
          <w:lang w:val="en-US"/>
        </w:rPr>
        <w:t>Undertaking a project such as stockIT is an exercise in risk taking, risk management and risk mitigation. In all such situations it is important to fully understand the risks and challenges you may face before you can attempt to manage or mitigate the affects of those risks. Because of the vast undertaking that is facing the stockIT development team</w:t>
      </w:r>
      <w:r w:rsidR="003B69F6">
        <w:rPr>
          <w:lang w:val="en-US"/>
        </w:rPr>
        <w:t xml:space="preserve"> with the creation of the software</w:t>
      </w:r>
      <w:r>
        <w:rPr>
          <w:lang w:val="en-US"/>
        </w:rPr>
        <w:t>, there are a variety of issues that act as roadblocks to the development lifecycle of our product</w:t>
      </w:r>
      <w:r w:rsidR="000D0040">
        <w:rPr>
          <w:lang w:val="en-US"/>
        </w:rPr>
        <w:t xml:space="preserve"> and to seeing it through to its full implementation. </w:t>
      </w:r>
    </w:p>
    <w:p w14:paraId="236CE967" w14:textId="77777777" w:rsidR="001712D5" w:rsidRPr="002E52A5" w:rsidRDefault="001712D5" w:rsidP="001712D5">
      <w:pPr>
        <w:rPr>
          <w:rFonts w:cs="Noto Sans"/>
          <w:color w:val="4472C4" w:themeColor="accent1"/>
          <w:lang w:val="en-US"/>
        </w:rPr>
      </w:pPr>
      <w:r w:rsidRPr="002E52A5">
        <w:rPr>
          <w:rFonts w:cs="Noto Sans"/>
          <w:color w:val="4472C4" w:themeColor="accent1"/>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2E52A5">
        <w:rPr>
          <w:rFonts w:cs="Noto Sans"/>
          <w:color w:val="4472C4" w:themeColor="accent1"/>
          <w:lang w:val="en-US"/>
        </w:rPr>
        <w:t>particular tool</w:t>
      </w:r>
      <w:proofErr w:type="gramEnd"/>
      <w:r w:rsidRPr="002E52A5">
        <w:rPr>
          <w:rFonts w:cs="Noto Sans"/>
          <w:color w:val="4472C4" w:themeColor="accent1"/>
          <w:lang w:val="en-US"/>
        </w:rPr>
        <w:t xml:space="preserve">, there is always a risk that it may not work as well as you believe it should, no matter how much prior research you do. Similar comments apply to hardware. </w:t>
      </w:r>
    </w:p>
    <w:p w14:paraId="2442CFFD" w14:textId="77777777" w:rsidR="001712D5" w:rsidRDefault="001712D5" w:rsidP="001712D5">
      <w:pPr>
        <w:rPr>
          <w:lang w:val="en-US"/>
        </w:rPr>
      </w:pPr>
    </w:p>
    <w:p w14:paraId="3231DFE6" w14:textId="77777777" w:rsidR="001712D5" w:rsidRDefault="001712D5" w:rsidP="001712D5">
      <w:pPr>
        <w:jc w:val="center"/>
        <w:rPr>
          <w:lang w:val="en-US"/>
        </w:rPr>
      </w:pPr>
    </w:p>
    <w:tbl>
      <w:tblPr>
        <w:tblStyle w:val="TableGrid"/>
        <w:tblW w:w="9511" w:type="dxa"/>
        <w:tblLook w:val="04A0" w:firstRow="1" w:lastRow="0" w:firstColumn="1" w:lastColumn="0" w:noHBand="0" w:noVBand="1"/>
      </w:tblPr>
      <w:tblGrid>
        <w:gridCol w:w="4755"/>
        <w:gridCol w:w="4756"/>
      </w:tblGrid>
      <w:tr w:rsidR="001712D5" w14:paraId="1996E0F9" w14:textId="77777777" w:rsidTr="00304B95">
        <w:trPr>
          <w:trHeight w:val="702"/>
        </w:trPr>
        <w:tc>
          <w:tcPr>
            <w:tcW w:w="9511" w:type="dxa"/>
            <w:gridSpan w:val="2"/>
          </w:tcPr>
          <w:p w14:paraId="3E673CDE" w14:textId="48CCDE74" w:rsidR="001712D5" w:rsidRPr="000D0040" w:rsidRDefault="000D0040" w:rsidP="00304B95">
            <w:pPr>
              <w:jc w:val="center"/>
              <w:rPr>
                <w:b/>
                <w:bCs/>
                <w:sz w:val="24"/>
                <w:szCs w:val="24"/>
                <w:lang w:val="en-US"/>
              </w:rPr>
            </w:pPr>
            <w:r>
              <w:rPr>
                <w:b/>
                <w:bCs/>
                <w:sz w:val="24"/>
                <w:szCs w:val="24"/>
                <w:lang w:val="en-US"/>
              </w:rPr>
              <w:t>Risks</w:t>
            </w:r>
          </w:p>
        </w:tc>
      </w:tr>
      <w:tr w:rsidR="001712D5" w14:paraId="3B7CAE4A" w14:textId="77777777" w:rsidTr="00304B95">
        <w:trPr>
          <w:trHeight w:val="702"/>
        </w:trPr>
        <w:tc>
          <w:tcPr>
            <w:tcW w:w="4755" w:type="dxa"/>
          </w:tcPr>
          <w:p w14:paraId="4C417F82" w14:textId="4526A152" w:rsidR="001712D5" w:rsidRPr="000D0040" w:rsidRDefault="000D0040" w:rsidP="00304B95">
            <w:pPr>
              <w:jc w:val="center"/>
              <w:rPr>
                <w:b/>
                <w:bCs/>
                <w:lang w:val="en-US"/>
              </w:rPr>
            </w:pPr>
            <w:r w:rsidRPr="000D0040">
              <w:rPr>
                <w:b/>
                <w:bCs/>
                <w:lang w:val="en-US"/>
              </w:rPr>
              <w:t>Assignment</w:t>
            </w:r>
          </w:p>
        </w:tc>
        <w:tc>
          <w:tcPr>
            <w:tcW w:w="4755" w:type="dxa"/>
          </w:tcPr>
          <w:p w14:paraId="07C569E8" w14:textId="77777777" w:rsidR="001712D5" w:rsidRPr="000D0040" w:rsidRDefault="001712D5" w:rsidP="00304B95">
            <w:pPr>
              <w:jc w:val="center"/>
              <w:rPr>
                <w:b/>
                <w:bCs/>
                <w:lang w:val="en-US"/>
              </w:rPr>
            </w:pPr>
            <w:r w:rsidRPr="000D0040">
              <w:rPr>
                <w:b/>
                <w:bCs/>
                <w:lang w:val="en-US"/>
              </w:rPr>
              <w:t>Project</w:t>
            </w:r>
          </w:p>
        </w:tc>
      </w:tr>
      <w:tr w:rsidR="001712D5" w14:paraId="29BB2AD7" w14:textId="77777777" w:rsidTr="00304B95">
        <w:trPr>
          <w:trHeight w:val="663"/>
        </w:trPr>
        <w:tc>
          <w:tcPr>
            <w:tcW w:w="4755" w:type="dxa"/>
          </w:tcPr>
          <w:p w14:paraId="6788A081" w14:textId="77777777" w:rsidR="001712D5" w:rsidRDefault="001712D5" w:rsidP="00304B95">
            <w:pPr>
              <w:rPr>
                <w:lang w:val="en-US"/>
              </w:rPr>
            </w:pPr>
            <w:r>
              <w:rPr>
                <w:lang w:val="en-US"/>
              </w:rPr>
              <w:t xml:space="preserve">Market </w:t>
            </w:r>
            <w:r w:rsidR="000D0040">
              <w:rPr>
                <w:lang w:val="en-US"/>
              </w:rPr>
              <w:t>&amp; Landscape</w:t>
            </w:r>
          </w:p>
          <w:p w14:paraId="393731E3" w14:textId="5767352D" w:rsidR="000D0040" w:rsidRDefault="000D0040" w:rsidP="00304B95">
            <w:pPr>
              <w:rPr>
                <w:lang w:val="en-US"/>
              </w:rPr>
            </w:pPr>
            <w:r>
              <w:rPr>
                <w:lang w:val="en-US"/>
              </w:rPr>
              <w:t xml:space="preserve">Is </w:t>
            </w:r>
          </w:p>
        </w:tc>
        <w:tc>
          <w:tcPr>
            <w:tcW w:w="4755" w:type="dxa"/>
          </w:tcPr>
          <w:p w14:paraId="1581A59D" w14:textId="77777777" w:rsidR="001712D5" w:rsidRDefault="001712D5" w:rsidP="00304B95">
            <w:pPr>
              <w:rPr>
                <w:lang w:val="en-US"/>
              </w:rPr>
            </w:pPr>
            <w:r>
              <w:rPr>
                <w:lang w:val="en-US"/>
              </w:rPr>
              <w:t>Financial</w:t>
            </w:r>
          </w:p>
        </w:tc>
      </w:tr>
      <w:tr w:rsidR="001712D5" w14:paraId="441D9B55" w14:textId="77777777" w:rsidTr="00304B95">
        <w:trPr>
          <w:trHeight w:val="702"/>
        </w:trPr>
        <w:tc>
          <w:tcPr>
            <w:tcW w:w="4755" w:type="dxa"/>
          </w:tcPr>
          <w:p w14:paraId="0C67336E" w14:textId="77777777" w:rsidR="001712D5" w:rsidRDefault="001712D5" w:rsidP="00304B95">
            <w:pPr>
              <w:rPr>
                <w:lang w:val="en-US"/>
              </w:rPr>
            </w:pPr>
            <w:r>
              <w:rPr>
                <w:lang w:val="en-US"/>
              </w:rPr>
              <w:t>Temporal – deadline</w:t>
            </w:r>
          </w:p>
        </w:tc>
        <w:tc>
          <w:tcPr>
            <w:tcW w:w="4755" w:type="dxa"/>
          </w:tcPr>
          <w:p w14:paraId="6E2CB4B6" w14:textId="77777777" w:rsidR="001712D5" w:rsidRDefault="001712D5" w:rsidP="00304B95">
            <w:pPr>
              <w:rPr>
                <w:lang w:val="en-US"/>
              </w:rPr>
            </w:pPr>
            <w:r>
              <w:rPr>
                <w:lang w:val="en-US"/>
              </w:rPr>
              <w:t>Market</w:t>
            </w:r>
          </w:p>
        </w:tc>
      </w:tr>
      <w:tr w:rsidR="001712D5" w14:paraId="6C0F6089" w14:textId="77777777" w:rsidTr="00304B95">
        <w:trPr>
          <w:trHeight w:val="702"/>
        </w:trPr>
        <w:tc>
          <w:tcPr>
            <w:tcW w:w="4755" w:type="dxa"/>
          </w:tcPr>
          <w:p w14:paraId="3EDCF767" w14:textId="77777777" w:rsidR="001712D5" w:rsidRDefault="001712D5" w:rsidP="00304B95">
            <w:pPr>
              <w:rPr>
                <w:lang w:val="en-US"/>
              </w:rPr>
            </w:pPr>
            <w:r>
              <w:rPr>
                <w:lang w:val="en-US"/>
              </w:rPr>
              <w:t>Software</w:t>
            </w:r>
          </w:p>
        </w:tc>
        <w:tc>
          <w:tcPr>
            <w:tcW w:w="4755" w:type="dxa"/>
          </w:tcPr>
          <w:p w14:paraId="3E0BF6FF" w14:textId="77777777" w:rsidR="001712D5" w:rsidRDefault="001712D5" w:rsidP="00304B95">
            <w:pPr>
              <w:rPr>
                <w:lang w:val="en-US"/>
              </w:rPr>
            </w:pPr>
            <w:r>
              <w:rPr>
                <w:lang w:val="en-US"/>
              </w:rPr>
              <w:t>Temporal – Investor contracts</w:t>
            </w:r>
          </w:p>
        </w:tc>
      </w:tr>
      <w:tr w:rsidR="001712D5" w14:paraId="61E56E44" w14:textId="77777777" w:rsidTr="00304B95">
        <w:trPr>
          <w:trHeight w:val="702"/>
        </w:trPr>
        <w:tc>
          <w:tcPr>
            <w:tcW w:w="4755" w:type="dxa"/>
          </w:tcPr>
          <w:p w14:paraId="24F7680C" w14:textId="77777777" w:rsidR="001712D5" w:rsidRDefault="001712D5" w:rsidP="00304B95">
            <w:pPr>
              <w:rPr>
                <w:lang w:val="en-US"/>
              </w:rPr>
            </w:pPr>
            <w:r>
              <w:rPr>
                <w:lang w:val="en-US"/>
              </w:rPr>
              <w:t>Skills</w:t>
            </w:r>
          </w:p>
        </w:tc>
        <w:tc>
          <w:tcPr>
            <w:tcW w:w="4755" w:type="dxa"/>
          </w:tcPr>
          <w:p w14:paraId="425F6D00" w14:textId="77777777" w:rsidR="001712D5" w:rsidRDefault="001712D5" w:rsidP="00304B95">
            <w:pPr>
              <w:rPr>
                <w:lang w:val="en-US"/>
              </w:rPr>
            </w:pPr>
            <w:r>
              <w:rPr>
                <w:lang w:val="en-US"/>
              </w:rPr>
              <w:t xml:space="preserve">Supply Chains – Covid </w:t>
            </w:r>
            <w:proofErr w:type="spellStart"/>
            <w:r>
              <w:rPr>
                <w:lang w:val="en-US"/>
              </w:rPr>
              <w:t>etc</w:t>
            </w:r>
            <w:proofErr w:type="spellEnd"/>
          </w:p>
        </w:tc>
      </w:tr>
      <w:tr w:rsidR="001712D5" w14:paraId="7366556E" w14:textId="77777777" w:rsidTr="00304B95">
        <w:trPr>
          <w:trHeight w:val="702"/>
        </w:trPr>
        <w:tc>
          <w:tcPr>
            <w:tcW w:w="4755" w:type="dxa"/>
          </w:tcPr>
          <w:p w14:paraId="39C41BAB" w14:textId="77777777" w:rsidR="001712D5" w:rsidRDefault="001712D5" w:rsidP="00304B95">
            <w:pPr>
              <w:rPr>
                <w:lang w:val="en-US"/>
              </w:rPr>
            </w:pPr>
            <w:r>
              <w:rPr>
                <w:lang w:val="en-US"/>
              </w:rPr>
              <w:t>Hardware</w:t>
            </w:r>
          </w:p>
        </w:tc>
        <w:tc>
          <w:tcPr>
            <w:tcW w:w="4755" w:type="dxa"/>
          </w:tcPr>
          <w:p w14:paraId="3366375A" w14:textId="77777777" w:rsidR="001712D5" w:rsidRDefault="001712D5" w:rsidP="00304B95">
            <w:pPr>
              <w:rPr>
                <w:lang w:val="en-US"/>
              </w:rPr>
            </w:pPr>
            <w:r>
              <w:rPr>
                <w:lang w:val="en-US"/>
              </w:rPr>
              <w:t>Staffing</w:t>
            </w:r>
          </w:p>
        </w:tc>
      </w:tr>
      <w:tr w:rsidR="001712D5" w14:paraId="5250E58F" w14:textId="77777777" w:rsidTr="00304B95">
        <w:trPr>
          <w:trHeight w:val="702"/>
        </w:trPr>
        <w:tc>
          <w:tcPr>
            <w:tcW w:w="4755" w:type="dxa"/>
          </w:tcPr>
          <w:p w14:paraId="37E83FB8" w14:textId="77777777" w:rsidR="001712D5" w:rsidRDefault="001712D5" w:rsidP="00304B95">
            <w:pPr>
              <w:rPr>
                <w:lang w:val="en-US"/>
              </w:rPr>
            </w:pPr>
          </w:p>
        </w:tc>
        <w:tc>
          <w:tcPr>
            <w:tcW w:w="4755" w:type="dxa"/>
          </w:tcPr>
          <w:p w14:paraId="63E138E7" w14:textId="77777777" w:rsidR="001712D5" w:rsidRDefault="001712D5" w:rsidP="00304B95">
            <w:pPr>
              <w:rPr>
                <w:lang w:val="en-US"/>
              </w:rPr>
            </w:pPr>
            <w:r>
              <w:rPr>
                <w:lang w:val="en-US"/>
              </w:rPr>
              <w:t>AI</w:t>
            </w:r>
          </w:p>
        </w:tc>
      </w:tr>
      <w:tr w:rsidR="001712D5" w14:paraId="28B60565" w14:textId="77777777" w:rsidTr="00304B95">
        <w:trPr>
          <w:trHeight w:val="702"/>
        </w:trPr>
        <w:tc>
          <w:tcPr>
            <w:tcW w:w="4755" w:type="dxa"/>
          </w:tcPr>
          <w:p w14:paraId="04839185" w14:textId="77777777" w:rsidR="001712D5" w:rsidRDefault="001712D5" w:rsidP="00304B95">
            <w:pPr>
              <w:rPr>
                <w:lang w:val="en-US"/>
              </w:rPr>
            </w:pPr>
          </w:p>
        </w:tc>
        <w:tc>
          <w:tcPr>
            <w:tcW w:w="4755" w:type="dxa"/>
          </w:tcPr>
          <w:p w14:paraId="46724461" w14:textId="77777777" w:rsidR="001712D5" w:rsidRDefault="001712D5" w:rsidP="00304B95">
            <w:pPr>
              <w:rPr>
                <w:lang w:val="en-US"/>
              </w:rPr>
            </w:pPr>
          </w:p>
        </w:tc>
      </w:tr>
    </w:tbl>
    <w:p w14:paraId="69F9CA75" w14:textId="77777777" w:rsidR="001712D5" w:rsidRDefault="001712D5" w:rsidP="001712D5">
      <w:pPr>
        <w:rPr>
          <w:lang w:val="en-US"/>
        </w:rPr>
      </w:pPr>
    </w:p>
    <w:p w14:paraId="2ED8D162" w14:textId="77777777" w:rsidR="001712D5" w:rsidRPr="002E52A5" w:rsidRDefault="001712D5" w:rsidP="001712D5">
      <w:pPr>
        <w:rPr>
          <w:color w:val="4472C4" w:themeColor="accent1"/>
          <w:lang w:val="en-US"/>
        </w:rPr>
      </w:pPr>
      <w:r w:rsidRPr="002E52A5">
        <w:rPr>
          <w:color w:val="4472C4" w:themeColor="accent1"/>
          <w:lang w:val="en-US"/>
        </w:rPr>
        <w:t xml:space="preserve">What is the risk, what is our response, Can we mitigate Yes/No, How have </w:t>
      </w:r>
      <w:proofErr w:type="gramStart"/>
      <w:r w:rsidRPr="002E52A5">
        <w:rPr>
          <w:color w:val="4472C4" w:themeColor="accent1"/>
          <w:lang w:val="en-US"/>
        </w:rPr>
        <w:t>we</w:t>
      </w:r>
      <w:proofErr w:type="gramEnd"/>
      <w:r w:rsidRPr="002E52A5">
        <w:rPr>
          <w:color w:val="4472C4" w:themeColor="accent1"/>
          <w:lang w:val="en-US"/>
        </w:rPr>
        <w:t xml:space="preserve"> </w:t>
      </w:r>
    </w:p>
    <w:p w14:paraId="4EE55F23" w14:textId="77777777" w:rsidR="001712D5" w:rsidRPr="002E52A5" w:rsidRDefault="001712D5" w:rsidP="001712D5">
      <w:pPr>
        <w:rPr>
          <w:color w:val="4472C4" w:themeColor="accent1"/>
          <w:lang w:val="en-US"/>
        </w:rPr>
      </w:pPr>
      <w:r w:rsidRPr="002E52A5">
        <w:rPr>
          <w:color w:val="4472C4" w:themeColor="accent1"/>
          <w:lang w:val="en-US"/>
        </w:rPr>
        <w:t>Shared risks</w:t>
      </w:r>
    </w:p>
    <w:p w14:paraId="507FA6F1" w14:textId="77777777" w:rsidR="001712D5" w:rsidRPr="002E52A5" w:rsidRDefault="001712D5" w:rsidP="001712D5">
      <w:pPr>
        <w:pStyle w:val="ListParagraph"/>
        <w:numPr>
          <w:ilvl w:val="1"/>
          <w:numId w:val="1"/>
        </w:numPr>
        <w:rPr>
          <w:color w:val="4472C4" w:themeColor="accent1"/>
          <w:lang w:val="en-US"/>
        </w:rPr>
      </w:pPr>
      <w:r w:rsidRPr="002E52A5">
        <w:rPr>
          <w:color w:val="4472C4" w:themeColor="accent1"/>
          <w:lang w:val="en-US"/>
        </w:rPr>
        <w:lastRenderedPageBreak/>
        <w:t>Market</w:t>
      </w:r>
    </w:p>
    <w:p w14:paraId="4C34549A"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Will the market change, grow, etc. What is the risk, what is our response?</w:t>
      </w:r>
    </w:p>
    <w:p w14:paraId="0E9E64C0"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Small/Med Business data from above</w:t>
      </w:r>
    </w:p>
    <w:p w14:paraId="6D8BD43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Business Wire inv data from assignment</w:t>
      </w:r>
    </w:p>
    <w:p w14:paraId="28584FB7" w14:textId="77777777" w:rsidR="001712D5" w:rsidRPr="002E52A5" w:rsidRDefault="001712D5" w:rsidP="001712D5">
      <w:pPr>
        <w:pStyle w:val="ListParagraph"/>
        <w:numPr>
          <w:ilvl w:val="1"/>
          <w:numId w:val="1"/>
        </w:numPr>
        <w:rPr>
          <w:color w:val="4472C4" w:themeColor="accent1"/>
          <w:lang w:val="en-US"/>
        </w:rPr>
      </w:pPr>
      <w:r w:rsidRPr="002E52A5">
        <w:rPr>
          <w:color w:val="4472C4" w:themeColor="accent1"/>
          <w:lang w:val="en-US"/>
        </w:rPr>
        <w:t>Temporal</w:t>
      </w:r>
    </w:p>
    <w:p w14:paraId="5EF6F95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to complete project</w:t>
      </w:r>
    </w:p>
    <w:p w14:paraId="43C79076"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to complete assignment</w:t>
      </w:r>
    </w:p>
    <w:p w14:paraId="59FDD84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is a factor in any situation, especially noticeable with deadlines and project dev lifecycles</w:t>
      </w:r>
    </w:p>
    <w:p w14:paraId="7A5E2A33"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First to market</w:t>
      </w:r>
    </w:p>
    <w:p w14:paraId="0985D8A6"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Similar products at the same time, want to be first with the new niche’s</w:t>
      </w:r>
    </w:p>
    <w:p w14:paraId="6ED4FDFE" w14:textId="77777777" w:rsidR="001712D5" w:rsidRPr="002E52A5" w:rsidRDefault="001712D5" w:rsidP="001712D5">
      <w:pPr>
        <w:rPr>
          <w:color w:val="4472C4" w:themeColor="accent1"/>
          <w:lang w:val="en-US"/>
        </w:rPr>
      </w:pPr>
      <w:r w:rsidRPr="002E52A5">
        <w:rPr>
          <w:color w:val="4472C4" w:themeColor="accent1"/>
          <w:lang w:val="en-US"/>
        </w:rPr>
        <w:t>Non-Shared risks</w:t>
      </w:r>
      <w:r w:rsidRPr="002E52A5">
        <w:rPr>
          <w:color w:val="4472C4" w:themeColor="accent1"/>
          <w:lang w:val="en-US"/>
        </w:rPr>
        <w:tab/>
      </w:r>
      <w:r w:rsidRPr="002E52A5">
        <w:rPr>
          <w:color w:val="4472C4" w:themeColor="accent1"/>
          <w:lang w:val="en-US"/>
        </w:rPr>
        <w:tab/>
      </w:r>
    </w:p>
    <w:p w14:paraId="4298B37B" w14:textId="77777777" w:rsidR="00043A85" w:rsidRDefault="00043A85"/>
    <w:sectPr w:rsidR="0004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1"/>
    <w:rsid w:val="00043A85"/>
    <w:rsid w:val="000D0040"/>
    <w:rsid w:val="001712D5"/>
    <w:rsid w:val="003B69F6"/>
    <w:rsid w:val="004346B1"/>
    <w:rsid w:val="00A47B1C"/>
    <w:rsid w:val="00E76463"/>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BFB1"/>
  <w15:chartTrackingRefBased/>
  <w15:docId w15:val="{F61132C1-1A03-46C7-B9A5-11E9B8D7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D5"/>
    <w:pPr>
      <w:spacing w:after="120" w:line="264" w:lineRule="auto"/>
    </w:pPr>
    <w:rPr>
      <w:rFonts w:ascii="Noto Sans" w:eastAsiaTheme="minorEastAsia" w:hAnsi="Noto Sans"/>
      <w:sz w:val="20"/>
      <w:szCs w:val="20"/>
    </w:rPr>
  </w:style>
  <w:style w:type="paragraph" w:styleId="Heading2">
    <w:name w:val="heading 2"/>
    <w:basedOn w:val="Normal"/>
    <w:next w:val="Normal"/>
    <w:link w:val="Heading2Char"/>
    <w:uiPriority w:val="9"/>
    <w:unhideWhenUsed/>
    <w:qFormat/>
    <w:rsid w:val="001712D5"/>
    <w:pPr>
      <w:keepNext/>
      <w:keepLines/>
      <w:spacing w:before="80" w:after="0" w:line="240" w:lineRule="auto"/>
      <w:outlineLvl w:val="1"/>
    </w:pPr>
    <w:rPr>
      <w:rFonts w:eastAsiaTheme="majorEastAsia"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2D5"/>
    <w:rPr>
      <w:rFonts w:ascii="Noto Sans" w:eastAsiaTheme="majorEastAsia" w:hAnsi="Noto Sans" w:cstheme="majorBidi"/>
      <w:color w:val="404040" w:themeColor="text1" w:themeTint="BF"/>
      <w:sz w:val="28"/>
      <w:szCs w:val="28"/>
    </w:rPr>
  </w:style>
  <w:style w:type="paragraph" w:styleId="ListParagraph">
    <w:name w:val="List Paragraph"/>
    <w:basedOn w:val="Normal"/>
    <w:uiPriority w:val="34"/>
    <w:qFormat/>
    <w:rsid w:val="001712D5"/>
    <w:pPr>
      <w:ind w:left="720"/>
      <w:contextualSpacing/>
    </w:pPr>
  </w:style>
  <w:style w:type="table" w:styleId="TableGrid">
    <w:name w:val="Table Grid"/>
    <w:basedOn w:val="TableNormal"/>
    <w:uiPriority w:val="39"/>
    <w:rsid w:val="001712D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3</cp:revision>
  <dcterms:created xsi:type="dcterms:W3CDTF">2021-11-11T07:33:00Z</dcterms:created>
  <dcterms:modified xsi:type="dcterms:W3CDTF">2021-11-11T10:55:00Z</dcterms:modified>
</cp:coreProperties>
</file>