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/>
          <w:b/>
          <w:i w:val="0"/>
          <w:color w:val="17365D"/>
          <w:sz w:val="34"/>
        </w:rPr>
        <w:t>INVENTARIO DE TABLAS DE LA BASE DE DATOS</w:t>
      </w:r>
    </w:p>
    <w:p>
      <w:pPr>
        <w:spacing w:before="0" w:after="280"/>
      </w:pPr>
      <w:r>
        <w:rPr>
          <w:rFonts w:ascii="Times New Roman" w:hAnsi="Times New Roman"/>
          <w:b w:val="0"/>
          <w:i/>
          <w:color w:val="6B7280"/>
          <w:sz w:val="23"/>
        </w:rPr>
        <w:t>Sistema CSS Report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17365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Nombre de la tabla</w:t>
            </w:r>
          </w:p>
        </w:tc>
        <w:tc>
          <w:tcPr>
            <w:tcW w:type="dxa" w:w="6660"/>
            <w:vAlign w:val="center"/>
            <w:shd w:fill="17365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Objetivo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2E74B5"/>
                <w:sz w:val="17"/>
              </w:rPr>
              <w:t>gestion_inscripcion</w:t>
            </w:r>
          </w:p>
        </w:tc>
        <w:tc>
          <w:tcPr>
            <w:tcW w:type="dxa" w:w="6660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Almacenar el registro principal de cada expediente de gestión, incluyendo la identificación del empleador o establecimiento, el tipo y estado de la gestión, las fechas de operación y los datos generales de contacto y representación legal.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2E74B5"/>
                <w:sz w:val="17"/>
              </w:rPr>
              <w:t>gestion_reactivacion</w:t>
            </w:r>
          </w:p>
        </w:tc>
        <w:tc>
          <w:tcPr>
            <w:tcW w:type="dxa" w:w="666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Conservar la información específica del formulario de reactivación asociado de manera exclusiva a un registro de inscripción.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2E74B5"/>
                <w:sz w:val="17"/>
              </w:rPr>
              <w:t>gestion_operativo</w:t>
            </w:r>
          </w:p>
        </w:tc>
        <w:tc>
          <w:tcPr>
            <w:tcW w:type="dxa" w:w="6660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Registrar los operativos realizados, con sus datos de fecha, empleador, movimiento, informe, salario y resultados cuantitativos sobre trabajadores entrevistados, omitidos, citados o no inscritos.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2E74B5"/>
                <w:sz w:val="17"/>
              </w:rPr>
              <w:t>gestion_inactividad</w:t>
            </w:r>
          </w:p>
        </w:tc>
        <w:tc>
          <w:tcPr>
            <w:tcW w:type="dxa" w:w="666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Conservar la información específica del formulario de cierre o inactividad asociado de manera exclusiva a un registro de inscripción.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2E74B5"/>
                <w:sz w:val="17"/>
              </w:rPr>
              <w:t>gestion_planillaoperativo</w:t>
            </w:r>
          </w:p>
        </w:tc>
        <w:tc>
          <w:tcPr>
            <w:tcW w:type="dxa" w:w="6660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Almacenar los datos estructurados de la planilla de operativo vinculada de manera exclusiva a un registro de inscripción.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2E74B5"/>
                <w:sz w:val="17"/>
              </w:rPr>
              <w:t>gestion_movimientoavance</w:t>
            </w:r>
          </w:p>
        </w:tc>
        <w:tc>
          <w:tcPr>
            <w:tcW w:type="dxa" w:w="666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Documentar el avance narrativo y el seguimiento de los movimientos efectuados sobre un registro de inscripción.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2E74B5"/>
                <w:sz w:val="17"/>
              </w:rPr>
              <w:t>gestion_feriado</w:t>
            </w:r>
          </w:p>
        </w:tc>
        <w:tc>
          <w:tcPr>
            <w:tcW w:type="dxa" w:w="6660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Mantener el catálogo de días feriados, con su fecha, denominación y estado de vigencia, para apoyar el cálculo de días hábiles.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2E74B5"/>
                <w:sz w:val="17"/>
              </w:rPr>
              <w:t>gestion_calculodiasexpediente</w:t>
            </w:r>
          </w:p>
        </w:tc>
        <w:tc>
          <w:tcPr>
            <w:tcW w:type="dxa" w:w="666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Guardar los resultados y el detalle de los cálculos de días de un expediente entre dos fechas, diferenciando días hábiles, fines de semana y feriados.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2E74B5"/>
                <w:sz w:val="17"/>
              </w:rPr>
              <w:t>gestion_informeinscripcion</w:t>
            </w:r>
          </w:p>
        </w:tc>
        <w:tc>
          <w:tcPr>
            <w:tcW w:type="dxa" w:w="6660"/>
            <w:vAlign w:val="center"/>
            <w:shd w:fill="EAF1F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Conservar los datos estructurados del informe de inscripción asociado de manera exclusiva a un registro de inscripción.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1F1F1F"/>
                <w:sz w:val="17"/>
              </w:rPr>
              <w:t>auth_user</w:t>
            </w:r>
          </w:p>
        </w:tc>
        <w:tc>
          <w:tcPr>
            <w:tcW w:type="dxa" w:w="666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Administrar las cuentas de usuario del sistema y la información necesaria para la autenticación, el control de acceso y el estado de cada cuenta.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5F6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1F1F1F"/>
                <w:sz w:val="17"/>
              </w:rPr>
              <w:t>auth_group</w:t>
            </w:r>
          </w:p>
        </w:tc>
        <w:tc>
          <w:tcPr>
            <w:tcW w:type="dxa" w:w="6660"/>
            <w:vAlign w:val="center"/>
            <w:shd w:fill="F5F6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Definir grupos o roles de usuarios para facilitar la asignación colectiva de permisos.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1F1F1F"/>
                <w:sz w:val="17"/>
              </w:rPr>
              <w:t>auth_permission</w:t>
            </w:r>
          </w:p>
        </w:tc>
        <w:tc>
          <w:tcPr>
            <w:tcW w:type="dxa" w:w="666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Registrar los permisos disponibles sobre los modelos y recursos administrados por el sistema.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5F6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1F1F1F"/>
                <w:sz w:val="17"/>
              </w:rPr>
              <w:t>auth_user_groups</w:t>
            </w:r>
          </w:p>
        </w:tc>
        <w:tc>
          <w:tcPr>
            <w:tcW w:type="dxa" w:w="6660"/>
            <w:vAlign w:val="center"/>
            <w:shd w:fill="F5F6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Relacionar las cuentas de usuario con los grupos o roles a los que pertenecen.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1F1F1F"/>
                <w:sz w:val="17"/>
              </w:rPr>
              <w:t>auth_user_user_permissions</w:t>
            </w:r>
          </w:p>
        </w:tc>
        <w:tc>
          <w:tcPr>
            <w:tcW w:type="dxa" w:w="666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Relacionar las cuentas de usuario con los permisos que les han sido asignados de forma directa.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5F6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1F1F1F"/>
                <w:sz w:val="17"/>
              </w:rPr>
              <w:t>auth_group_permissions</w:t>
            </w:r>
          </w:p>
        </w:tc>
        <w:tc>
          <w:tcPr>
            <w:tcW w:type="dxa" w:w="6660"/>
            <w:vAlign w:val="center"/>
            <w:shd w:fill="F5F6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Relacionar cada grupo o rol con los permisos que le corresponden.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1F1F1F"/>
                <w:sz w:val="17"/>
              </w:rPr>
              <w:t>django_content_type</w:t>
            </w:r>
          </w:p>
        </w:tc>
        <w:tc>
          <w:tcPr>
            <w:tcW w:type="dxa" w:w="666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Mantener el catálogo interno de aplicaciones y modelos registrados por Django, utilizado como referencia por el sistema de permisos y otros componentes del framework.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5F6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1F1F1F"/>
                <w:sz w:val="17"/>
              </w:rPr>
              <w:t>django_admin_log</w:t>
            </w:r>
          </w:p>
        </w:tc>
        <w:tc>
          <w:tcPr>
            <w:tcW w:type="dxa" w:w="6660"/>
            <w:vAlign w:val="center"/>
            <w:shd w:fill="F5F6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Registrar las acciones de creación, modificación y eliminación realizadas mediante el sitio administrativo de Django.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1F1F1F"/>
                <w:sz w:val="17"/>
              </w:rPr>
              <w:t>django_session</w:t>
            </w:r>
          </w:p>
        </w:tc>
        <w:tc>
          <w:tcPr>
            <w:tcW w:type="dxa" w:w="6660"/>
            <w:vAlign w:val="center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Almacenar la información de las sesiones activas de los usuarios, incluida su clave, contenido y fecha de expiración.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5F6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i w:val="0"/>
                <w:color w:val="1F1F1F"/>
                <w:sz w:val="17"/>
              </w:rPr>
              <w:t>django_migrations</w:t>
            </w:r>
          </w:p>
        </w:tc>
        <w:tc>
          <w:tcPr>
            <w:tcW w:type="dxa" w:w="6660"/>
            <w:vAlign w:val="center"/>
            <w:shd w:fill="F5F6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  <w:jc w:val="both"/>
            </w:pPr>
            <w:r>
              <w:rPr>
                <w:rFonts w:ascii="Times New Roman" w:hAnsi="Times New Roman"/>
                <w:b w:val="0"/>
                <w:i w:val="0"/>
                <w:color w:val="1F1F1F"/>
                <w:sz w:val="19"/>
              </w:rPr>
              <w:t>Conservar el historial de migraciones de base de datos aplicadas, a fin de controlar la evolución y consistencia del esquema.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b w:val="0"/>
        <w:i w:val="0"/>
        <w:color w:val="6B7280"/>
        <w:sz w:val="18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i w:val="0"/>
        <w:color w:val="6B7280"/>
        <w:sz w:val="17"/>
      </w:rPr>
      <w:t>CSS REPORT  |  INVENTARIO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Inventario de tablas de la base de datos - CSS Report</dc:title>
  <dc:subject>Nombre y objetivo de las tablas del sistema</dc:subject>
  <dc:creator>CSS Report</dc:creator>
  <cp:keywords>base de datos, inventario, tablas, Django, CSS Report</cp:keywords>
  <dc:description>Documento técnico-académico generado a partir de los modelos y la configuración del proyecto.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