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99A5" w14:textId="5FF016B9" w:rsidR="001C469B" w:rsidRDefault="00BE2EBC" w:rsidP="00A25719">
      <w:pPr>
        <w:pStyle w:val="Heading1"/>
      </w:pPr>
      <w:r>
        <w:t xml:space="preserve">Documentation - </w:t>
      </w:r>
      <w:r w:rsidRPr="00BE2EBC">
        <w:t>I46</w:t>
      </w:r>
      <w:r w:rsidR="005E7D21">
        <w:t>W2</w:t>
      </w:r>
      <w:r w:rsidRPr="00BE2EBC">
        <w:t>_Cortical_thickness</w:t>
      </w:r>
      <w:r>
        <w:t xml:space="preserve"> – Insight wave 2</w:t>
      </w:r>
    </w:p>
    <w:p w14:paraId="250B19CC" w14:textId="4A92AE29" w:rsidR="00A25719" w:rsidRPr="00A25719" w:rsidRDefault="00A25719" w:rsidP="00A25719">
      <w:pPr>
        <w:pStyle w:val="Heading2"/>
        <w:jc w:val="center"/>
      </w:pPr>
    </w:p>
    <w:tbl>
      <w:tblPr>
        <w:tblStyle w:val="TableGrid"/>
        <w:tblW w:w="11619" w:type="dxa"/>
        <w:jc w:val="center"/>
        <w:tblLook w:val="04A0" w:firstRow="1" w:lastRow="0" w:firstColumn="1" w:lastColumn="0" w:noHBand="0" w:noVBand="1"/>
      </w:tblPr>
      <w:tblGrid>
        <w:gridCol w:w="2830"/>
        <w:gridCol w:w="8789"/>
      </w:tblGrid>
      <w:tr w:rsidR="00BA5901" w14:paraId="0A550E9F" w14:textId="77777777" w:rsidTr="00BD6E3F">
        <w:trPr>
          <w:jc w:val="center"/>
        </w:trPr>
        <w:tc>
          <w:tcPr>
            <w:tcW w:w="2830" w:type="dxa"/>
          </w:tcPr>
          <w:p w14:paraId="1D36E4EF" w14:textId="77777777" w:rsidR="00BA5901" w:rsidRPr="00C201AB" w:rsidRDefault="00F90CDC" w:rsidP="00F90CDC">
            <w:pPr>
              <w:rPr>
                <w:b/>
                <w:szCs w:val="20"/>
                <w:vertAlign w:val="superscript"/>
              </w:rPr>
            </w:pPr>
            <w:r w:rsidRPr="00C201AB">
              <w:rPr>
                <w:b/>
                <w:szCs w:val="20"/>
              </w:rPr>
              <w:t>Categories</w:t>
            </w:r>
            <w:r w:rsidR="00BA5901" w:rsidRPr="00C201AB">
              <w:rPr>
                <w:b/>
                <w:szCs w:val="20"/>
              </w:rPr>
              <w:t xml:space="preserve"> of variables</w:t>
            </w:r>
            <w:r w:rsidR="00BA5901" w:rsidRPr="00C201AB">
              <w:rPr>
                <w:b/>
                <w:szCs w:val="20"/>
                <w:vertAlign w:val="superscript"/>
              </w:rPr>
              <w:t>*</w:t>
            </w:r>
            <w:r w:rsidRPr="00C201AB">
              <w:rPr>
                <w:b/>
                <w:szCs w:val="20"/>
                <w:vertAlign w:val="superscript"/>
              </w:rPr>
              <w:t>:</w:t>
            </w:r>
          </w:p>
          <w:p w14:paraId="5DF9766B" w14:textId="77777777" w:rsidR="00F90CDC" w:rsidRPr="00C201AB" w:rsidRDefault="00F90CDC" w:rsidP="00F90CDC">
            <w:pPr>
              <w:rPr>
                <w:b/>
                <w:szCs w:val="20"/>
                <w:vertAlign w:val="superscript"/>
              </w:rPr>
            </w:pPr>
            <w:r w:rsidRPr="00C201AB">
              <w:rPr>
                <w:b/>
                <w:szCs w:val="20"/>
                <w:vertAlign w:val="superscript"/>
              </w:rPr>
              <w:t>(may be more than one)</w:t>
            </w:r>
          </w:p>
          <w:p w14:paraId="4640DFA8" w14:textId="77777777" w:rsidR="00F90CDC" w:rsidRPr="00C201AB" w:rsidRDefault="00F90CDC" w:rsidP="00F90CDC">
            <w:pPr>
              <w:rPr>
                <w:b/>
                <w:szCs w:val="20"/>
                <w:vertAlign w:val="superscript"/>
              </w:rPr>
            </w:pPr>
          </w:p>
        </w:tc>
        <w:tc>
          <w:tcPr>
            <w:tcW w:w="8789" w:type="dxa"/>
          </w:tcPr>
          <w:p w14:paraId="38C70106" w14:textId="0C309185" w:rsidR="00BA5901" w:rsidRPr="00C201AB" w:rsidRDefault="00A64181" w:rsidP="00F90CDC">
            <w:pPr>
              <w:rPr>
                <w:szCs w:val="20"/>
              </w:rPr>
            </w:pPr>
            <w:r w:rsidRPr="00C201AB">
              <w:rPr>
                <w:szCs w:val="20"/>
              </w:rPr>
              <w:t>Cortical thickness</w:t>
            </w:r>
          </w:p>
          <w:p w14:paraId="315480EF" w14:textId="11E30E91" w:rsidR="00002CAA" w:rsidRPr="00C201AB" w:rsidRDefault="00002CAA" w:rsidP="00F90CDC">
            <w:pPr>
              <w:rPr>
                <w:szCs w:val="20"/>
              </w:rPr>
            </w:pPr>
          </w:p>
          <w:p w14:paraId="41D10261" w14:textId="0987C616" w:rsidR="00FB5A7B" w:rsidRPr="00C201AB" w:rsidRDefault="00FB5A7B" w:rsidP="008E49C9">
            <w:pPr>
              <w:rPr>
                <w:szCs w:val="20"/>
              </w:rPr>
            </w:pPr>
          </w:p>
        </w:tc>
      </w:tr>
      <w:tr w:rsidR="00646697" w14:paraId="5A8A4339" w14:textId="77777777" w:rsidTr="00BD6E3F">
        <w:trPr>
          <w:jc w:val="center"/>
        </w:trPr>
        <w:tc>
          <w:tcPr>
            <w:tcW w:w="2830" w:type="dxa"/>
          </w:tcPr>
          <w:p w14:paraId="1A308E4B"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8789" w:type="dxa"/>
          </w:tcPr>
          <w:p w14:paraId="219C1E24" w14:textId="77777777" w:rsidR="008A313D" w:rsidRDefault="008A313D" w:rsidP="008A313D"/>
          <w:p w14:paraId="10E3F0E8" w14:textId="3560CE53" w:rsidR="008A313D" w:rsidRDefault="008A313D" w:rsidP="008A313D">
            <w:r>
              <w:t>Keuss</w:t>
            </w:r>
            <w:r w:rsidR="006E5DE4">
              <w:t xml:space="preserve"> SE</w:t>
            </w:r>
            <w:r>
              <w:t>., et al. Rates of cortical thinning in Alzheimer’s disease signature regions: pathological influences and cognitive consequences in members of the 1946 British birth cohort. Abstract submitted for AAIC 2022 and accepted as oral presentation.</w:t>
            </w:r>
          </w:p>
          <w:p w14:paraId="200ED564" w14:textId="741D29FA" w:rsidR="008A313D" w:rsidRDefault="008A313D" w:rsidP="008A313D"/>
          <w:p w14:paraId="1DE0550F" w14:textId="0846DE03" w:rsidR="008A313D" w:rsidRPr="008A313D" w:rsidRDefault="008A313D" w:rsidP="008A313D">
            <w:r>
              <w:t xml:space="preserve">Paper based on the above abstract currently in progress. </w:t>
            </w:r>
          </w:p>
          <w:p w14:paraId="53CF80BA" w14:textId="364455CC" w:rsidR="00646697" w:rsidRDefault="00646697" w:rsidP="00F90CDC"/>
        </w:tc>
      </w:tr>
    </w:tbl>
    <w:p w14:paraId="48BCDF68" w14:textId="77777777" w:rsidR="003A53F9" w:rsidRDefault="003A53F9" w:rsidP="00995EFC">
      <w:pPr>
        <w:spacing w:before="120"/>
      </w:pPr>
    </w:p>
    <w:p w14:paraId="1A45D66B" w14:textId="0B53E95F" w:rsidR="003A53F9" w:rsidRPr="00C201AB" w:rsidRDefault="003A53F9" w:rsidP="00C201AB">
      <w:pPr>
        <w:jc w:val="center"/>
        <w:rPr>
          <w:rFonts w:cs="Calibri"/>
          <w:b/>
          <w:bCs/>
          <w:sz w:val="21"/>
          <w:szCs w:val="21"/>
        </w:rPr>
      </w:pPr>
      <w:r w:rsidRPr="00C201AB">
        <w:rPr>
          <w:rFonts w:cs="Calibri"/>
          <w:b/>
          <w:bCs/>
          <w:sz w:val="21"/>
          <w:szCs w:val="21"/>
        </w:rPr>
        <w:t>Methods</w:t>
      </w:r>
    </w:p>
    <w:p w14:paraId="64A7AF57" w14:textId="77777777" w:rsidR="00830527" w:rsidRDefault="000D0C2F" w:rsidP="003A53F9">
      <w:pPr>
        <w:jc w:val="both"/>
        <w:rPr>
          <w:rFonts w:cs="Calibri"/>
          <w:szCs w:val="20"/>
        </w:rPr>
      </w:pPr>
      <w:r>
        <w:rPr>
          <w:rFonts w:cs="Calibri"/>
          <w:szCs w:val="20"/>
        </w:rPr>
        <w:t xml:space="preserve">T1 MRI data from each time-point underwent correction for gradient non-linearity </w:t>
      </w:r>
      <w:r w:rsidR="00830527">
        <w:rPr>
          <w:rFonts w:cs="Calibri"/>
          <w:szCs w:val="20"/>
        </w:rPr>
        <w:fldChar w:fldCharType="begin" w:fldLock="1"/>
      </w:r>
      <w:r w:rsidR="00830527">
        <w:rPr>
          <w:rFonts w:cs="Calibri"/>
          <w:szCs w:val="20"/>
        </w:rPr>
        <w:instrText>ADDIN CSL_CITATION {"citationItems":[{"id":"ITEM-1","itemData":{"DOI":"10.1016/j.neuroimage.2005.09.046","ISSN":"10538119","PMID":"16300968","abstract":"Longitudinal and multi-site clinical studies create the imperative to characterize and correct technological sources of variance that limit image reproducibility in high-resolution structural MRI studies, thus facilitating precise, quantitative, platform-independent, multi-site evaluation. In this work, we investigated the effects that imaging gradient non-linearity have on reproducibility of multi-site human MRI. We applied an image distortion correction method based on spherical harmonics description of the gradients and verified the accuracy of the method using phantom data. The correction method was then applied to the brain image data from a group of subjects scanned twice at multiple sites having different 1.5 T platforms. Within-site and across-site variability of the image data was assessed by evaluating voxel-based image intensity reproducibility. The image intensity reproducibility of the human brain data was significantly improved with distortion correction, suggesting that this method may offer improved reproducibility in morphometry studies. We provide the source code for the gradient distortion algorithm together with the phantom data. © 2005 Elsevier Inc. All rights reserved.","author":[{"dropping-particle":"","family":"Jovicich","given":"Jorge","non-dropping-particle":"","parse-names":false,"suffix":""},{"dropping-particle":"","family":"Czanner","given":"Silvester","non-dropping-particle":"","parse-names":false,"suffix":""},{"dropping-particle":"","family":"Greve","given":"Douglas","non-dropping-particle":"","parse-names":false,"suffix":""},{"dropping-particle":"","family":"Haley","given":"Elizabeth","non-dropping-particle":"","parse-names":false,"suffix":""},{"dropping-particle":"","family":"Kouwe","given":"Andre","non-dropping-particle":"Van Der","parse-names":false,"suffix":""},{"dropping-particle":"","family":"Gollub","given":"Randy","non-dropping-particle":"","parse-names":false,"suffix":""},{"dropping-particle":"","family":"Kennedy","given":"David","non-dropping-particle":"","parse-names":false,"suffix":""},{"dropping-particle":"","family":"Schmitt","given":"Franz","non-dropping-particle":"","parse-names":false,"suffix":""},{"dropping-particle":"","family":"Brown","given":"Gregory","non-dropping-particle":"","parse-names":false,"suffix":""},{"dropping-particle":"","family":"MacFall","given":"James","non-dropping-particle":"","parse-names":false,"suffix":""},{"dropping-particle":"","family":"Fischl","given":"Bruce","non-dropping-particle":"","parse-names":false,"suffix":""},{"dropping-particle":"","family":"Dale","given":"Anders","non-dropping-particle":"","parse-names":false,"suffix":""}],"container-title":"NeuroImage","id":"ITEM-1","issue":"2","issued":{"date-parts":[["2006","4","1"]]},"page":"436-443","title":"Reliability in multi-site structural MRI studies: Effects of gradient non-linearity correction on phantom and human data","type":"article-journal","volume":"30"},"uris":["http://www.mendeley.com/documents/?uuid=716b05ef-9a4f-3ccf-938c-344d900cfa2f"]}],"mendeley":{"formattedCitation":"(Jovicich &lt;i&gt;et al.&lt;/i&gt;, 2006)","plainTextFormattedCitation":"(Jovicich et al., 2006)"},"properties":{"noteIndex":0},"schema":"https://github.com/citation-style-language/schema/raw/master/csl-citation.json"}</w:instrText>
      </w:r>
      <w:r w:rsidR="00830527">
        <w:rPr>
          <w:rFonts w:cs="Calibri"/>
          <w:szCs w:val="20"/>
        </w:rPr>
        <w:fldChar w:fldCharType="separate"/>
      </w:r>
      <w:r w:rsidR="00830527" w:rsidRPr="00830527">
        <w:rPr>
          <w:rFonts w:cs="Calibri"/>
          <w:noProof/>
          <w:szCs w:val="20"/>
        </w:rPr>
        <w:t xml:space="preserve">(Jovicich </w:t>
      </w:r>
      <w:r w:rsidR="00830527" w:rsidRPr="00830527">
        <w:rPr>
          <w:rFonts w:cs="Calibri"/>
          <w:i/>
          <w:noProof/>
          <w:szCs w:val="20"/>
        </w:rPr>
        <w:t>et al.</w:t>
      </w:r>
      <w:r w:rsidR="00830527" w:rsidRPr="00830527">
        <w:rPr>
          <w:rFonts w:cs="Calibri"/>
          <w:noProof/>
          <w:szCs w:val="20"/>
        </w:rPr>
        <w:t>, 2006)</w:t>
      </w:r>
      <w:r w:rsidR="00830527">
        <w:rPr>
          <w:rFonts w:cs="Calibri"/>
          <w:szCs w:val="20"/>
        </w:rPr>
        <w:fldChar w:fldCharType="end"/>
      </w:r>
      <w:r w:rsidR="00830527">
        <w:rPr>
          <w:rFonts w:cs="Calibri"/>
          <w:szCs w:val="20"/>
        </w:rPr>
        <w:t xml:space="preserve">, </w:t>
      </w:r>
      <w:r>
        <w:rPr>
          <w:rFonts w:cs="Calibri"/>
          <w:szCs w:val="20"/>
        </w:rPr>
        <w:t>and were manually checked by a trained team who assessed motion, anatomical coverage</w:t>
      </w:r>
      <w:r w:rsidR="00830527">
        <w:rPr>
          <w:rFonts w:cs="Calibri"/>
          <w:szCs w:val="20"/>
        </w:rPr>
        <w:t>,</w:t>
      </w:r>
      <w:r>
        <w:rPr>
          <w:rFonts w:cs="Calibri"/>
          <w:szCs w:val="20"/>
        </w:rPr>
        <w:t xml:space="preserve"> and other quality control issues.</w:t>
      </w:r>
      <w:r w:rsidR="00830527">
        <w:rPr>
          <w:rFonts w:cs="Calibri"/>
          <w:szCs w:val="20"/>
        </w:rPr>
        <w:t xml:space="preserve"> Scan-pairs were also reviewed to check for unacceptable differences in quality between scans.</w:t>
      </w:r>
      <w:r>
        <w:rPr>
          <w:rFonts w:cs="Calibri"/>
          <w:szCs w:val="20"/>
        </w:rPr>
        <w:t xml:space="preserve"> </w:t>
      </w:r>
    </w:p>
    <w:p w14:paraId="492184AF" w14:textId="2B140876" w:rsidR="003A53F9" w:rsidRPr="00C201AB" w:rsidRDefault="003A53F9" w:rsidP="003A53F9">
      <w:pPr>
        <w:jc w:val="both"/>
        <w:rPr>
          <w:szCs w:val="20"/>
        </w:rPr>
      </w:pPr>
      <w:r w:rsidRPr="00C201AB">
        <w:rPr>
          <w:rFonts w:cs="Calibri"/>
          <w:szCs w:val="20"/>
        </w:rPr>
        <w:t xml:space="preserve">Phase 1 T1 MRI data that passed cross-sectional quality control (n=468) and phase 2 T1 MRI data that passed cross-sectional and longitudinal quality control (n=356) were processed using Freesurfer 7.1.0 </w:t>
      </w:r>
      <w:r w:rsidRPr="00C201AB">
        <w:rPr>
          <w:szCs w:val="20"/>
        </w:rPr>
        <w:t>(</w:t>
      </w:r>
      <w:hyperlink r:id="rId6" w:tgtFrame="_blank" w:history="1">
        <w:r w:rsidRPr="00C201AB">
          <w:rPr>
            <w:color w:val="0000FF"/>
            <w:szCs w:val="20"/>
            <w:u w:val="single"/>
          </w:rPr>
          <w:t>surfer.nmr.mgh.harvard.edu</w:t>
        </w:r>
      </w:hyperlink>
      <w:r w:rsidRPr="00C201AB">
        <w:rPr>
          <w:szCs w:val="20"/>
        </w:rPr>
        <w:t>).</w:t>
      </w:r>
      <w:r w:rsidR="00830527">
        <w:rPr>
          <w:szCs w:val="20"/>
        </w:rPr>
        <w:t xml:space="preserve"> </w:t>
      </w:r>
      <w:r w:rsidRPr="00C201AB">
        <w:rPr>
          <w:szCs w:val="20"/>
        </w:rPr>
        <w:t xml:space="preserve">Images from </w:t>
      </w:r>
      <w:r w:rsidR="009F6053">
        <w:rPr>
          <w:szCs w:val="20"/>
        </w:rPr>
        <w:t>each</w:t>
      </w:r>
      <w:r w:rsidRPr="00C201AB">
        <w:rPr>
          <w:szCs w:val="20"/>
        </w:rPr>
        <w:t xml:space="preserve"> time-points first underwent cross-sectional processing, including motion correction, removal of the skull, spatial transforms, intensity normalisation, cortical surface reconstruction and parcellation </w:t>
      </w:r>
      <w:r w:rsidRPr="00C201AB">
        <w:rPr>
          <w:szCs w:val="20"/>
        </w:rPr>
        <w:fldChar w:fldCharType="begin" w:fldLock="1"/>
      </w:r>
      <w:r w:rsidR="00830527">
        <w:rPr>
          <w:szCs w:val="20"/>
        </w:rPr>
        <w:instrText>ADDIN CSL_CITATION {"citationItems":[{"id":"ITEM-1","itemData":{"DOI":"10.1006/NIMG.1998.0395","ISSN":"1053-8119","abstract":"Several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imaging.","author":[{"dropping-particle":"","family":"Dale","given":"Anders M.","non-dropping-particle":"","parse-names":false,"suffix":""},{"dropping-particle":"","family":"Fischl","given":"Bruce","non-dropping-particle":"","parse-names":false,"suffix":""},{"dropping-particle":"","family":"Sereno","given":"Martin I.","non-dropping-particle":"","parse-names":false,"suffix":""}],"container-title":"NeuroImage","id":"ITEM-1","issue":"2","issued":{"date-parts":[["1999","2","1"]]},"page":"179-194","publisher":"Academic Press","title":"Cortical Surface-Based Analysis: I. Segmentation and Surface Reconstruction","type":"article-journal","volume":"9"},"uris":["http://www.mendeley.com/documents/?uuid=2976813f-1a86-34d0-8be0-2f6d191cd6e0"]},{"id":"ITEM-2","itemData":{"DOI":"10.1006/NIMG.1998.0396","ISSN":"1053-8119","abstract":"The surface of the human cerebral cortex is a highly folded sheet with the majority of its surface area buried within folds. As such, it is a difficult domain for computational as well as visualization purposes. We have therefore designed a set of procedures for modifying the representation of the cortical surface to (i) inflate it so that activity buried inside sulci may be visualized, (ii) cut and flatten an entire hemisphere, and (iii) transform a hemisphere into a simple parameterizable surface such as a sphere for the purpose of establishing a surface-based coordinate system.","author":[{"dropping-particle":"","family":"Fischl","given":"Bruce","non-dropping-particle":"","parse-names":false,"suffix":""},{"dropping-particle":"","family":"Sereno","given":"Martin I.","non-dropping-particle":"","parse-names":false,"suffix":""},{"dropping-particle":"","family":"Dale","given":"Anders M.","non-dropping-particle":"","parse-names":false,"suffix":""}],"container-title":"NeuroImage","id":"ITEM-2","issue":"2","issued":{"date-parts":[["1999","2","1"]]},"page":"195-207","publisher":"Academic Press","title":"Cortical Surface-Based Analysis: II: Inflation, Flattening, and a Surface-Based Coordinate System","type":"article-journal","volume":"9"},"uris":["http://www.mendeley.com/documents/?uuid=698d3dca-bd28-330d-a96c-20383c3900fd"]},{"id":"ITEM-3","itemData":{"DOI":"10.1073/pnas.200033797","ISSN":"0027-8424","PMID":"10984517","abstract":"Accurate and automated methods for measuring the thickness of human cerebral cortex could provide powerful tools for diagnosing and studying a variety of neurodegenerative and psychiatric disorders. Manual methods for estimating cortical thickness from neuroimaging data are labor intensive, requiring several days of effort by a trained anatomist. Furthermore, the highly folded nature of the cortex is problematic for manual techniques, frequently resulting in measurement errors in regions in which the cortical surface is not perpendicular to any of the cardinal axes. As a consequence, it has been impractical to obtain accurate thickness estimates for the entire cortex in individual subjects, or group statistics for patient or control populations. Here, we present an automated method for accurately measuring the thickness of the cerebral cortex across the entire brain and for generating cross-subject statistics in a coordinate system based on cortical anatomy. The intersubject standard deviation of the thickness measures is shown to be less than 0.5 mm, implying the ability to detect focal atrophy in small populations or even individual subjects. The reliability and accuracy of this new method are assessed by within-subject test-retest studies, as well as by comparison of cross-subject regional thickness measures with published values.","author":[{"dropping-particle":"","family":"Fischl","given":"B.","non-dropping-particle":"","parse-names":false,"suffix":""},{"dropping-particle":"","family":"Dale","given":"A. M.","non-dropping-particle":"","parse-names":false,"suffix":""}],"container-title":"Proceedings of the National Academy of Sciences","id":"ITEM-3","issue":"20","issued":{"date-parts":[["2000","9","26"]]},"page":"11050-11055","title":"Measuring the thickness of the human cerebral cortex from magnetic resonance images","type":"article-journal","volume":"97"},"uris":["http://www.mendeley.com/documents/?uuid=dc8a8a54-98c9-3818-b3dd-313ab219fda3"]},{"id":"ITEM-4","itemData":{"DOI":"10.1016/j.neuroimage.2006.01.021","ISSN":"10538119","PMID":"16530430","abstract":"In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J.","non-dropping-particle":"","parse-names":false,"suffix":""}],"container-title":"NeuroImage","id":"ITEM-4","issue":"3","issued":{"date-parts":[["2006","7","1"]]},"page":"968-980","title":"An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interest","type":"article-journal","volume":"31"},"uris":["http://www.mendeley.com/documents/?uuid=8bf7828e-1474-3456-b0a0-541f4c73f3dd"]}],"mendeley":{"formattedCitation":"(Dale, Fischl and Sereno, 1999; Fischl, Sereno and Dale, 1999; Fischl and Dale, 2000; Desikan &lt;i&gt;et al.&lt;/i&gt;, 2006)","plainTextFormattedCitation":"(Dale, Fischl and Sereno, 1999; Fischl, Sereno and Dale, 1999; Fischl and Dale, 2000; Desikan et al., 2006)","previouslyFormattedCitation":"(Dale, Fischl and Sereno, 1999; Fischl, Sereno and Dale, 1999; Fischl and Dale, 2000; Desikan &lt;i&gt;et al.&lt;/i&gt;, 2006)"},"properties":{"noteIndex":0},"schema":"https://github.com/citation-style-language/schema/raw/master/csl-citation.json"}</w:instrText>
      </w:r>
      <w:r w:rsidRPr="00C201AB">
        <w:rPr>
          <w:szCs w:val="20"/>
        </w:rPr>
        <w:fldChar w:fldCharType="separate"/>
      </w:r>
      <w:r w:rsidR="00C201AB" w:rsidRPr="00C201AB">
        <w:rPr>
          <w:noProof/>
          <w:szCs w:val="20"/>
        </w:rPr>
        <w:t xml:space="preserve">(Dale, Fischl and Sereno, 1999; Fischl, Sereno and Dale, 1999; Fischl and Dale, 2000; Desikan </w:t>
      </w:r>
      <w:r w:rsidR="00C201AB" w:rsidRPr="00C201AB">
        <w:rPr>
          <w:i/>
          <w:noProof/>
          <w:szCs w:val="20"/>
        </w:rPr>
        <w:t>et al.</w:t>
      </w:r>
      <w:r w:rsidR="00C201AB" w:rsidRPr="00C201AB">
        <w:rPr>
          <w:noProof/>
          <w:szCs w:val="20"/>
        </w:rPr>
        <w:t>, 2006)</w:t>
      </w:r>
      <w:r w:rsidRPr="00C201AB">
        <w:rPr>
          <w:szCs w:val="20"/>
        </w:rPr>
        <w:fldChar w:fldCharType="end"/>
      </w:r>
      <w:r w:rsidRPr="00C201AB">
        <w:rPr>
          <w:szCs w:val="20"/>
        </w:rPr>
        <w:t xml:space="preserve">. Cross-sectionally processed images were then run through the longitudinal stream in Freesurfer </w:t>
      </w:r>
      <w:r w:rsidRPr="00C201AB">
        <w:rPr>
          <w:szCs w:val="20"/>
        </w:rPr>
        <w:fldChar w:fldCharType="begin" w:fldLock="1"/>
      </w:r>
      <w:r w:rsidR="00830527">
        <w:rPr>
          <w:szCs w:val="20"/>
        </w:rPr>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publisher":"NIH Public Access","title":"Within-subject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2012)","previouslyFormattedCitation":"(Reuter &lt;i&gt;et al.&lt;/i&gt;, 2012)"},"properties":{"noteIndex":0},"schema":"https://github.com/citation-style-language/schema/raw/master/csl-citation.json"}</w:instrText>
      </w:r>
      <w:r w:rsidRPr="00C201AB">
        <w:rPr>
          <w:szCs w:val="20"/>
        </w:rPr>
        <w:fldChar w:fldCharType="separate"/>
      </w:r>
      <w:r w:rsidR="00C201AB" w:rsidRPr="00C201AB">
        <w:rPr>
          <w:noProof/>
          <w:szCs w:val="20"/>
        </w:rPr>
        <w:t xml:space="preserve">(Reuter </w:t>
      </w:r>
      <w:r w:rsidR="00C201AB" w:rsidRPr="00C201AB">
        <w:rPr>
          <w:i/>
          <w:noProof/>
          <w:szCs w:val="20"/>
        </w:rPr>
        <w:t>et al.</w:t>
      </w:r>
      <w:r w:rsidR="00C201AB" w:rsidRPr="00C201AB">
        <w:rPr>
          <w:noProof/>
          <w:szCs w:val="20"/>
        </w:rPr>
        <w:t>, 2012)</w:t>
      </w:r>
      <w:r w:rsidRPr="00C201AB">
        <w:rPr>
          <w:szCs w:val="20"/>
        </w:rPr>
        <w:fldChar w:fldCharType="end"/>
      </w:r>
      <w:r w:rsidRPr="00C201AB">
        <w:rPr>
          <w:szCs w:val="20"/>
        </w:rPr>
        <w:t xml:space="preserve">. Specifically, an unbiased within-subject template was created based on data from both time-points using robust inverse, consistent registration </w:t>
      </w:r>
      <w:r w:rsidRPr="00C201AB">
        <w:rPr>
          <w:szCs w:val="20"/>
        </w:rPr>
        <w:fldChar w:fldCharType="begin" w:fldLock="1"/>
      </w:r>
      <w:r w:rsidR="00830527">
        <w:rPr>
          <w:szCs w:val="20"/>
        </w:rPr>
        <w:instrText>ADDIN CSL_CITATION {"citationItems":[{"id":"ITEM-1","itemData":{"DOI":"10.1016/j.neuroimage.2010.07.020","ISSN":"10538119","PMID":"20637289","abstract":"The registration of images is a task that is at the core of many applications in computer vision. In computational neuroimaging where the automated segmentation of brain structures is frequently used to quantify change, a highly accurate registration is necessary for motion correction of images taken in the same session, or across time in longitudinal studies where changes in the images can be expected. This paper, inspired by Nestares and Heeger (2000), presents a method based on robust statistics to register images in the presence of differences, such as jaw movement, differential MR distortions and true anatomical change. The approach we present guarantees inverse consistency (symmetry), can deal with different intensity scales and automatically estimates a sensitivity parameter to detect outlier regions in the images. The resulting registrations are highly accurate due to their ability to ignore outlier regions and show superior robustness with respect to noise, to intensity scaling and outliers when compared to state-of-the-art registration tools such as FLIRT (in FSL) or the coregistration tool in SPM. © 2010 Elsevier Inc.","author":[{"dropping-particle":"","family":"Reuter","given":"Martin","non-dropping-particle":"","parse-names":false,"suffix":""},{"dropping-particle":"","family":"Rosas","given":"H. Diana","non-dropping-particle":"","parse-names":false,"suffix":""},{"dropping-particle":"","family":"Fischl","given":"Bruce","non-dropping-particle":"","parse-names":false,"suffix":""}],"container-title":"NeuroImage","id":"ITEM-1","issue":"4","issued":{"date-parts":[["2010","12"]]},"page":"1181-1196","publisher":"Neuroimage","title":"Highly accurate inverse consistent registration: A robust approach","type":"article-journal","volume":"53"},"uris":["http://www.mendeley.com/documents/?uuid=d1a7990d-adae-3e15-955c-db609a53ada1"]},{"id":"ITEM-2","itemData":{"DOI":"10.1016/j.neuroimage.2011.02.076","ISSN":"10538119","PMID":"21376812","abstract":"Longitudinal image processing procedures frequently transfer or pool information across time within subject, with the dual goals of reducing the variability and increasing the accuracy of the derived measures. In this note, we discuss common difficulties in longitudinal image processing, focusing on the introduction of bias, and describe the approaches we have taken to avoid them in the FreeSurfer longitudinal processing stream. © 2011 Elsevier Inc.","author":[{"dropping-particle":"","family":"Reuter","given":"Martin","non-dropping-particle":"","parse-names":false,"suffix":""},{"dropping-particle":"","family":"Fischl","given":"Bruce","non-dropping-particle":"","parse-names":false,"suffix":""}],"container-title":"NeuroImage","id":"ITEM-2","issue":"1","issued":{"date-parts":[["2011","7","1"]]},"page":"19-21","publisher":"Academic Press","title":"Avoiding asymmetry-induced bias in longitudinal image processing","type":"article","volume":"57"},"uris":["http://www.mendeley.com/documents/?uuid=0abddfe2-5f3f-3947-8483-f812d52dcbb3"]}],"mendeley":{"formattedCitation":"(Reuter, Rosas and Fischl, 2010; Reuter and Fischl, 2011)","plainTextFormattedCitation":"(Reuter, Rosas and Fischl, 2010; Reuter and Fischl, 2011)","previouslyFormattedCitation":"(Reuter, Rosas and Fischl, 2010; Reuter and Fischl, 2011)"},"properties":{"noteIndex":0},"schema":"https://github.com/citation-style-language/schema/raw/master/csl-citation.json"}</w:instrText>
      </w:r>
      <w:r w:rsidRPr="00C201AB">
        <w:rPr>
          <w:szCs w:val="20"/>
        </w:rPr>
        <w:fldChar w:fldCharType="separate"/>
      </w:r>
      <w:r w:rsidR="00C201AB" w:rsidRPr="00C201AB">
        <w:rPr>
          <w:noProof/>
          <w:szCs w:val="20"/>
        </w:rPr>
        <w:t>(Reuter, Rosas and Fischl, 2010; Reuter and Fischl, 2011)</w:t>
      </w:r>
      <w:r w:rsidRPr="00C201AB">
        <w:rPr>
          <w:szCs w:val="20"/>
        </w:rPr>
        <w:fldChar w:fldCharType="end"/>
      </w:r>
      <w:r w:rsidRPr="00C201AB">
        <w:rPr>
          <w:szCs w:val="20"/>
        </w:rPr>
        <w:t xml:space="preserve">, and then several processing steps were initialised using common information from this template </w:t>
      </w:r>
      <w:r w:rsidRPr="00C201AB">
        <w:rPr>
          <w:szCs w:val="20"/>
        </w:rPr>
        <w:fldChar w:fldCharType="begin" w:fldLock="1"/>
      </w:r>
      <w:r w:rsidR="00830527">
        <w:rPr>
          <w:szCs w:val="20"/>
        </w:rPr>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publisher":"NIH Public Access","title":"Within-subject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2012)","previouslyFormattedCitation":"(Reuter &lt;i&gt;et al.&lt;/i&gt;, 2012)"},"properties":{"noteIndex":0},"schema":"https://github.com/citation-style-language/schema/raw/master/csl-citation.json"}</w:instrText>
      </w:r>
      <w:r w:rsidRPr="00C201AB">
        <w:rPr>
          <w:szCs w:val="20"/>
        </w:rPr>
        <w:fldChar w:fldCharType="separate"/>
      </w:r>
      <w:r w:rsidR="00C201AB" w:rsidRPr="00C201AB">
        <w:rPr>
          <w:noProof/>
          <w:szCs w:val="20"/>
        </w:rPr>
        <w:t xml:space="preserve">(Reuter </w:t>
      </w:r>
      <w:r w:rsidR="00C201AB" w:rsidRPr="00C201AB">
        <w:rPr>
          <w:i/>
          <w:noProof/>
          <w:szCs w:val="20"/>
        </w:rPr>
        <w:t>et al.</w:t>
      </w:r>
      <w:r w:rsidR="00C201AB" w:rsidRPr="00C201AB">
        <w:rPr>
          <w:noProof/>
          <w:szCs w:val="20"/>
        </w:rPr>
        <w:t>, 2012)</w:t>
      </w:r>
      <w:r w:rsidRPr="00C201AB">
        <w:rPr>
          <w:szCs w:val="20"/>
        </w:rPr>
        <w:fldChar w:fldCharType="end"/>
      </w:r>
      <w:r w:rsidRPr="00C201AB">
        <w:rPr>
          <w:szCs w:val="20"/>
        </w:rPr>
        <w:t>.</w:t>
      </w:r>
    </w:p>
    <w:p w14:paraId="67D0C639" w14:textId="77777777" w:rsidR="00C201AB" w:rsidRDefault="003A53F9" w:rsidP="003A53F9">
      <w:pPr>
        <w:spacing w:before="120"/>
        <w:jc w:val="both"/>
        <w:rPr>
          <w:rFonts w:cs="Calibri"/>
          <w:szCs w:val="20"/>
        </w:rPr>
      </w:pPr>
      <w:r w:rsidRPr="00C201AB">
        <w:rPr>
          <w:rFonts w:cs="Calibri"/>
          <w:szCs w:val="20"/>
        </w:rPr>
        <w:t xml:space="preserve">All cortical thickness segmentations were visually inspected for major errors. </w:t>
      </w:r>
    </w:p>
    <w:p w14:paraId="7F4B65D8" w14:textId="50548777" w:rsidR="00C201AB" w:rsidRDefault="003A53F9" w:rsidP="003A53F9">
      <w:pPr>
        <w:spacing w:before="120"/>
        <w:jc w:val="both"/>
        <w:rPr>
          <w:rFonts w:cs="Calibri"/>
          <w:szCs w:val="20"/>
        </w:rPr>
      </w:pPr>
      <w:r w:rsidRPr="00C201AB">
        <w:rPr>
          <w:rFonts w:cs="Calibri"/>
          <w:szCs w:val="20"/>
        </w:rPr>
        <w:t xml:space="preserve">Cortical thickness was assessed in two composite regions of interest that have previously been shown to be vulnerable in early AD: one comprised of middle temporal, inferior temporal, entorhinal and fusiform areas (ADsig Mayo) </w:t>
      </w:r>
      <w:r w:rsidRPr="00C201AB">
        <w:rPr>
          <w:rFonts w:cs="Calibri"/>
          <w:szCs w:val="20"/>
        </w:rPr>
        <w:fldChar w:fldCharType="begin" w:fldLock="1"/>
      </w:r>
      <w:r w:rsidR="00830527">
        <w:rPr>
          <w:rFonts w:cs="Calibri"/>
          <w:szCs w:val="20"/>
        </w:rPr>
        <w:instrText>ADDIN CSL_CITATION {"citationItems":[{"id":"ITEM-1","itemData":{"DOI":"10.1093/brain/awv283","ISSN":"14602156","PMID":"26428666","abstract":"We recently demonstrated that the frequencies of biomarker groups defined by the presence or absence of both amyloidosis (A+) and neurodegeneration (N+) changed dramatically by age in cognitively non-impaired subjects. Our present objectives were to assess the consequences of defining neurodegeneration in five different ways on the frequency of subjects classified as N+, on the demographic associations with N+, and on amyloidosis and neurodegeneration (A/N) biomarker group frequencies by age. This was a largely cross-sectional observational study of 1331 cognitively non-impaired subjects aged 50-89 drawn from a population-based study of cognitive ageing. We assessed demographic associations with N+, and A/N biomarker group frequencies by age where A+ was defined by amyloid PET and N+ was defined in five different ways: (i) abnormal adjusted hippocampal volume alone; (ii) abnormal Alzheimer's disease signature cortical thickness alone; (iii) abnormal fluorodeoxyglucose positron emission tomography alone; (iv) abnormal adjusted hippocampal volume or abnormal fluorodeoxyglucose positron emission tomography; and (v) abnormal Alzheimer's disease signature cortical thickness or abnormal fluorodeoxyglucose positron emission tomography. For each N+ definition, participants were assigned to one of four biomarker groups; A-N-, A+N-, A-N+, or A+N+. The three continuous individual neurodegeneration measures were moderately correlated (rs = 0.42 to 0.54) but when classified as normal or abnormal had only weak agreement (κ = 0.20 to 0.29). The adjusted hippocampal volume alone definition classified the fewest subjects as N+ while the Alzheimer's disease signature cortical thickness or abnormal fluorodeoxyglucose positron emission tomography definition classified the most as N+. Across all N+ definitions, N+ subjects tended to be older, more often male and APOE4 carriers, and performed less well on functional status and learning and memory than N- subjects. For all definitions of neurodegeneration, (i) the frequency of A-N- was 100% at age 50 and declined monotonically thereafter; (ii) the frequency of A+N- increased from age 50 to a maximum in the mid-70s and declined thereafter; and3 (iii) the frequency of A-N+ (suspected non-Alzheimer's pathophysiology) and of A+N+ increased monotonically beginning in the mid-50s and mid-60s, respectively. Overall, different neurodegeneration measures provide similar but not completely redundant information. Despite quantitative di…","author":[{"dropping-particle":"","family":"Jack","given":"Clifford R.","non-dropping-particle":"","parse-names":false,"suffix":""},{"dropping-particle":"","family":"Wiste","given":"Heather J.","non-dropping-particle":"","parse-names":false,"suffix":""},{"dropping-particle":"","family":"Weigand","given":"Stephen D.","non-dropping-particle":"","parse-names":false,"suffix":""},{"dropping-particle":"","family":"Knopman","given":"David S.","non-dropping-particle":"","parse-names":false,"suffix":""},{"dropping-particle":"","family":"Mielke","given":"Michelle M.","non-dropping-particle":"","parse-names":false,"suffix":""},{"dropping-particle":"","family":"Vemuri","given":"Prashanthi","non-dropping-particle":"","parse-names":false,"suffix":""},{"dropping-particle":"","family":"Lowe","given":"Val","non-dropping-particle":"","parse-names":false,"suffix":""},{"dropping-particle":"","family":"Senjem","given":"Matthew L.","non-dropping-particle":"","parse-names":false,"suffix":""},{"dropping-particle":"","family":"Gunter","given":"Jeffrey L.","non-dropping-particle":"","parse-names":false,"suffix":""},{"dropping-particle":"","family":"Reyes","given":"Denise","non-dropping-particle":"","parse-names":false,"suffix":""},{"dropping-particle":"","family":"Machulda","given":"Mary M.","non-dropping-particle":"","parse-names":false,"suffix":""},{"dropping-particle":"","family":"Roberts","given":"Rosebud","non-dropping-particle":"","parse-names":false,"suffix":""},{"dropping-particle":"","family":"Petersen","given":"Ronald C.","non-dropping-particle":"","parse-names":false,"suffix":""}],"container-title":"Brain","id":"ITEM-1","issue":"12","issued":{"date-parts":[["2015","12","1"]]},"page":"3747-3759","publisher":"Oxford University Press","title":"Different definitions of neurodegeneration produce similar amyloid/neurodegeneration biomarker group findings","type":"article-journal","volume":"138"},"uris":["http://www.mendeley.com/documents/?uuid=03efb343-e360-34d1-b8eb-47abe235c0c9"]}],"mendeley":{"formattedCitation":"(Jack &lt;i&gt;et al.&lt;/i&gt;, 2015)","plainTextFormattedCitation":"(Jack et al., 2015)","previouslyFormattedCitation":"(Jack &lt;i&gt;et al.&lt;/i&gt;, 2015)"},"properties":{"noteIndex":0},"schema":"https://github.com/citation-style-language/schema/raw/master/csl-citation.json"}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(Jack </w:t>
      </w:r>
      <w:r w:rsidR="00C201AB" w:rsidRPr="00C201AB">
        <w:rPr>
          <w:rFonts w:cs="Calibri"/>
          <w:i/>
          <w:noProof/>
          <w:szCs w:val="20"/>
        </w:rPr>
        <w:t>et al.</w:t>
      </w:r>
      <w:r w:rsidR="00C201AB" w:rsidRPr="00C201AB">
        <w:rPr>
          <w:rFonts w:cs="Calibri"/>
          <w:noProof/>
          <w:szCs w:val="20"/>
        </w:rPr>
        <w:t>, 2015)</w:t>
      </w:r>
      <w:r w:rsidRPr="00C201AB">
        <w:rPr>
          <w:rFonts w:cs="Calibri"/>
          <w:szCs w:val="20"/>
        </w:rPr>
        <w:fldChar w:fldCharType="end"/>
      </w:r>
      <w:r w:rsidRPr="00C201AB">
        <w:rPr>
          <w:rFonts w:cs="Calibri"/>
          <w:szCs w:val="20"/>
        </w:rPr>
        <w:t xml:space="preserve">; and one consisting of parahippocampal, inferior temporal, entorhinal, temporal pole, precuneus, supramarginal, superior and inferior parietal, superior frontal, parsopercularis, parstriangularis and parsorbitalis areas (ADsig Harvard) </w:t>
      </w:r>
      <w:r w:rsidRPr="00C201AB">
        <w:rPr>
          <w:rFonts w:cs="Calibri"/>
          <w:szCs w:val="20"/>
        </w:rPr>
        <w:fldChar w:fldCharType="begin" w:fldLock="1"/>
      </w:r>
      <w:r w:rsidR="00830527">
        <w:rPr>
          <w:rFonts w:cs="Calibri"/>
          <w:szCs w:val="20"/>
        </w:rPr>
        <w:instrText>ADDIN CSL_CITATION {"citationItems":[{"id":"ITEM-1","itemData":{"DOI":"10.1093/cercor/bhn113","ISSN":"10473211","PMID":"18632739","abstract":"Alzheimer's disease (AD) is associated with neurodegeneration in vulnerable limbic and heteromodal regions of the cerebral cortex, detectable in vivo using magnetic resonance imaging. It is not clear whether abnormalities of cortical anatomy in AD can be reliably measured across different subject samples, how closely they track symptoms, and whether they are detectable prior to symptoms. An exploratory map of cortical thinning in mild AD was used to define regions of interest that were applied in a hypothesis-driven fashion to other subject samples. Results demonstrate a reliably quantifiable in vivo signature of abnormal cortical anatomy in AD, which parallels known regional vulnerability to AD neuropathology. Thinning in vulnerable cortical regions relates to symptom severity even in the earliest stages of clinical symptoms. Furthermore, subtle thinning is present in asymptomatic older controls with brain amyloid binding as detected with amyloid imaging. The reliability and clinical validity of AD-related cortical thinning suggests potential utility as an imaging biomarker. This \"disease signature\" approach to cortical morphometry, in which disease effects are mapped across the cortical mantle and then used to define ROIs for hypothesis-driven analyses, may provide a powerful methodological framework for studies of neuropsychiatric diseases. © 2008 The Authors.","author":[{"dropping-particle":"","family":"Dickerson","given":"Bradford C.","non-dropping-particle":"","parse-names":false,"suffix":""},{"dropping-particle":"","family":"Bakkour","given":"Akram","non-dropping-particle":"","parse-names":false,"suffix":""},{"dropping-particle":"","family":"Salat","given":"David H.","non-dropping-particle":"","parse-names":false,"suffix":""},{"dropping-particle":"","family":"Feczko","given":"Eric","non-dropping-particle":"","parse-names":false,"suffix":""},{"dropping-particle":"","family":"Pacheco","given":"Jenni","non-dropping-particle":"","parse-names":false,"suffix":""},{"dropping-particle":"","family":"Greve","given":"Douglas N.","non-dropping-particle":"","parse-names":false,"suffix":""},{"dropping-particle":"","family":"Grodstein","given":"Fran","non-dropping-particle":"","parse-names":false,"suffix":""},{"dropping-particle":"","family":"Wright","given":"Christopher I.","non-dropping-particle":"","parse-names":false,"suffix":""},{"dropping-particle":"","family":"Blacker","given":"Deborah","non-dropping-particle":"","parse-names":false,"suffix":""},{"dropping-particle":"","family":"Rosas","given":"H. Diana","non-dropping-particle":"","parse-names":false,"suffix":""},{"dropping-particle":"","family":"Sperling","given":"Reisa A.","non-dropping-particle":"","parse-names":false,"suffix":""},{"dropping-particle":"","family":"Atri","given":"Alireza","non-dropping-particle":"","parse-names":false,"suffix":""},{"dropping-particle":"","family":"Growdon","given":"John H.","non-dropping-particle":"","parse-names":false,"suffix":""},{"dropping-particle":"","family":"Hyman","given":"Bradley T.","non-dropping-particle":"","parse-names":false,"suffix":""},{"dropping-particle":"","family":"Morris","given":"John C.","non-dropping-particle":"","parse-names":false,"suffix":""},{"dropping-particle":"","family":"Fischl","given":"Bruce","non-dropping-particle":"","parse-names":false,"suffix":""},{"dropping-particle":"","family":"Buckner","given":"Randy L.","non-dropping-particle":"","parse-names":false,"suffix":""}],"container-title":"Cerebral Cortex","id":"ITEM-1","issue":"3","issued":{"date-parts":[["2009","3"]]},"page":"497-510","title":"The cortical signature of Alzheimer's disease: Regionally specific cortical thinning relates to symptom severity in very mild to mild AD dementia and is detectable in asymptomatic amyloid-positive individuals","type":"article-journal","volume":"19"},"uris":["http://www.mendeley.com/documents/?uuid=6c33fcba-8e62-35d1-9c98-8c87c8f50598"]}],"mendeley":{"formattedCitation":"(Dickerson &lt;i&gt;et al.&lt;/i&gt;, 2009)","plainTextFormattedCitation":"(Dickerson et al., 2009)","previouslyFormattedCitation":"(Dickerson &lt;i&gt;et al.&lt;/i&gt;, 2009)"},"properties":{"noteIndex":0},"schema":"https://github.com/citation-style-language/schema/raw/master/csl-citation.json"}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(Dickerson </w:t>
      </w:r>
      <w:r w:rsidR="00C201AB" w:rsidRPr="00C201AB">
        <w:rPr>
          <w:rFonts w:cs="Calibri"/>
          <w:i/>
          <w:noProof/>
          <w:szCs w:val="20"/>
        </w:rPr>
        <w:t>et al.</w:t>
      </w:r>
      <w:r w:rsidR="00C201AB" w:rsidRPr="00C201AB">
        <w:rPr>
          <w:rFonts w:cs="Calibri"/>
          <w:noProof/>
          <w:szCs w:val="20"/>
        </w:rPr>
        <w:t>, 2009)</w:t>
      </w:r>
      <w:r w:rsidRPr="00C201AB">
        <w:rPr>
          <w:rFonts w:cs="Calibri"/>
          <w:szCs w:val="20"/>
        </w:rPr>
        <w:fldChar w:fldCharType="end"/>
      </w:r>
      <w:r w:rsidRPr="00C201AB">
        <w:rPr>
          <w:rFonts w:cs="Calibri"/>
          <w:szCs w:val="20"/>
        </w:rPr>
        <w:t xml:space="preserve">. </w:t>
      </w:r>
    </w:p>
    <w:p w14:paraId="38838911" w14:textId="0CB239D3" w:rsidR="00A70020" w:rsidRDefault="003A53F9" w:rsidP="003A53F9">
      <w:pPr>
        <w:spacing w:before="120"/>
        <w:jc w:val="both"/>
        <w:rPr>
          <w:rFonts w:cs="Calibri"/>
          <w:szCs w:val="20"/>
        </w:rPr>
      </w:pPr>
      <w:r w:rsidRPr="00C201AB">
        <w:rPr>
          <w:rFonts w:cs="Calibri"/>
          <w:szCs w:val="20"/>
        </w:rPr>
        <w:t xml:space="preserve">The regions were formed using </w:t>
      </w:r>
      <w:r w:rsidR="008D78CB" w:rsidRPr="00C201AB">
        <w:rPr>
          <w:rFonts w:cs="Calibri"/>
          <w:szCs w:val="20"/>
        </w:rPr>
        <w:t>Freesurfer’s</w:t>
      </w:r>
      <w:r w:rsidRPr="00C201AB">
        <w:rPr>
          <w:rFonts w:cs="Calibri"/>
          <w:szCs w:val="20"/>
        </w:rPr>
        <w:t xml:space="preserve"> </w:t>
      </w:r>
      <w:r w:rsidRPr="00C201AB">
        <w:rPr>
          <w:rFonts w:cs="Calibri"/>
          <w:i/>
          <w:iCs/>
          <w:szCs w:val="20"/>
        </w:rPr>
        <w:t>mri_mergelabels</w:t>
      </w:r>
      <w:r w:rsidRPr="00C201AB">
        <w:rPr>
          <w:rFonts w:cs="Calibri"/>
          <w:szCs w:val="20"/>
        </w:rPr>
        <w:t xml:space="preserve"> command to merge anatomical labels from the Desikan-Killian atlas </w:t>
      </w:r>
      <w:r w:rsidRPr="00C201AB">
        <w:rPr>
          <w:rFonts w:cs="Calibri"/>
          <w:szCs w:val="20"/>
        </w:rPr>
        <w:fldChar w:fldCharType="begin" w:fldLock="1"/>
      </w:r>
      <w:r w:rsidR="00830527">
        <w:rPr>
          <w:rFonts w:cs="Calibri"/>
          <w:szCs w:val="20"/>
        </w:rPr>
        <w:instrText>ADDIN CSL_CITATION {"citationItems":[{"id":"ITEM-1","itemData":{"DOI":"10.1016/j.neuroimage.2006.01.021","ISSN":"10538119","PMID":"16530430","abstract":"In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J.","non-dropping-particle":"","parse-names":false,"suffix":""}],"container-title":"NeuroImage","id":"ITEM-1","issue":"3","issued":{"date-parts":[["2006","7","1"]]},"page":"968-980","title":"An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interest","type":"article-journal","volume":"31"},"uris":["http://www.mendeley.com/documents/?uuid=8bf7828e-1474-3456-b0a0-541f4c73f3dd"]}],"mendeley":{"formattedCitation":"(Desikan &lt;i&gt;et al.&lt;/i&gt;, 2006)","plainTextFormattedCitation":"(Desikan et al., 2006)","previouslyFormattedCitation":"(Desikan &lt;i&gt;et al.&lt;/i&gt;, 2006)"},"properties":{"noteIndex":0},"schema":"https://github.com/citation-style-language/schema/raw/master/csl-citation.json"}</w:instrText>
      </w:r>
      <w:r w:rsidRPr="00C201AB">
        <w:rPr>
          <w:rFonts w:cs="Calibri"/>
          <w:szCs w:val="20"/>
        </w:rPr>
        <w:fldChar w:fldCharType="separate"/>
      </w:r>
      <w:r w:rsidR="00C201AB" w:rsidRPr="00C201AB">
        <w:rPr>
          <w:rFonts w:cs="Calibri"/>
          <w:noProof/>
          <w:szCs w:val="20"/>
        </w:rPr>
        <w:t xml:space="preserve">(Desikan </w:t>
      </w:r>
      <w:r w:rsidR="00C201AB" w:rsidRPr="00C201AB">
        <w:rPr>
          <w:rFonts w:cs="Calibri"/>
          <w:i/>
          <w:noProof/>
          <w:szCs w:val="20"/>
        </w:rPr>
        <w:t>et al.</w:t>
      </w:r>
      <w:r w:rsidR="00C201AB" w:rsidRPr="00C201AB">
        <w:rPr>
          <w:rFonts w:cs="Calibri"/>
          <w:noProof/>
          <w:szCs w:val="20"/>
        </w:rPr>
        <w:t>, 2006)</w:t>
      </w:r>
      <w:r w:rsidRPr="00C201AB">
        <w:rPr>
          <w:rFonts w:cs="Calibri"/>
          <w:szCs w:val="20"/>
        </w:rPr>
        <w:fldChar w:fldCharType="end"/>
      </w:r>
      <w:r w:rsidRPr="00C201AB">
        <w:rPr>
          <w:rFonts w:cs="Calibri"/>
          <w:szCs w:val="20"/>
        </w:rPr>
        <w:t xml:space="preserve">, and the </w:t>
      </w:r>
      <w:r w:rsidRPr="00C201AB">
        <w:rPr>
          <w:rFonts w:cs="Calibri"/>
          <w:i/>
          <w:iCs/>
          <w:szCs w:val="20"/>
        </w:rPr>
        <w:t xml:space="preserve">mris_label2annot </w:t>
      </w:r>
      <w:r w:rsidRPr="00C201AB">
        <w:rPr>
          <w:rFonts w:cs="Calibri"/>
          <w:szCs w:val="20"/>
        </w:rPr>
        <w:t xml:space="preserve">command to create a single annotation file. Cortical thickness values were then generated using </w:t>
      </w:r>
      <w:r w:rsidR="008D78CB" w:rsidRPr="00C201AB">
        <w:rPr>
          <w:rFonts w:cs="Calibri"/>
          <w:szCs w:val="20"/>
        </w:rPr>
        <w:t>Freesurfer’s</w:t>
      </w:r>
      <w:r w:rsidRPr="00C201AB">
        <w:rPr>
          <w:rFonts w:cs="Calibri"/>
          <w:szCs w:val="20"/>
        </w:rPr>
        <w:t xml:space="preserve"> </w:t>
      </w:r>
      <w:r w:rsidRPr="00C201AB">
        <w:rPr>
          <w:rFonts w:cs="Calibri"/>
          <w:i/>
          <w:iCs/>
          <w:szCs w:val="20"/>
        </w:rPr>
        <w:t>mris_anatomical_stats</w:t>
      </w:r>
      <w:r w:rsidRPr="00C201AB">
        <w:rPr>
          <w:rFonts w:cs="Calibri"/>
          <w:szCs w:val="20"/>
        </w:rPr>
        <w:t xml:space="preserve"> command and extracted using the </w:t>
      </w:r>
      <w:r w:rsidRPr="00C201AB">
        <w:rPr>
          <w:rFonts w:cs="Calibri"/>
          <w:i/>
          <w:iCs/>
          <w:szCs w:val="20"/>
        </w:rPr>
        <w:t>aparcstats2table</w:t>
      </w:r>
      <w:r w:rsidRPr="00C201AB">
        <w:rPr>
          <w:rFonts w:cs="Calibri"/>
          <w:szCs w:val="20"/>
        </w:rPr>
        <w:t xml:space="preserve"> command. </w:t>
      </w:r>
      <w:r w:rsidR="00C201AB" w:rsidRPr="00C201AB">
        <w:rPr>
          <w:rFonts w:cs="Calibri"/>
          <w:szCs w:val="20"/>
        </w:rPr>
        <w:t>T</w:t>
      </w:r>
      <w:r w:rsidRPr="00C201AB">
        <w:rPr>
          <w:rFonts w:cs="Calibri"/>
          <w:szCs w:val="20"/>
        </w:rPr>
        <w:t xml:space="preserve">he following formula was used to calculate surface </w:t>
      </w:r>
      <w:r w:rsidRPr="00C201AB">
        <w:rPr>
          <w:rFonts w:cs="Calibri"/>
          <w:szCs w:val="20"/>
        </w:rPr>
        <w:lastRenderedPageBreak/>
        <w:t>area weighted averages of left and right hemisphere</w:t>
      </w:r>
      <w:r w:rsidR="00C201AB">
        <w:rPr>
          <w:rFonts w:cs="Calibri"/>
          <w:szCs w:val="20"/>
        </w:rPr>
        <w:t xml:space="preserve"> values</w:t>
      </w:r>
      <w:r w:rsidRPr="00C201AB">
        <w:rPr>
          <w:rFonts w:cs="Calibri"/>
          <w:szCs w:val="20"/>
        </w:rPr>
        <w:t xml:space="preserve">: (left surface area </w:t>
      </w:r>
      <w:r w:rsidRPr="00C201AB">
        <w:rPr>
          <w:rFonts w:cs="Calibri"/>
          <w:szCs w:val="20"/>
        </w:rPr>
        <w:sym w:font="Symbol" w:char="F02A"/>
      </w:r>
      <w:r w:rsidRPr="00C201AB">
        <w:rPr>
          <w:rFonts w:cs="Calibri"/>
          <w:szCs w:val="20"/>
        </w:rPr>
        <w:t xml:space="preserve"> left thickness + right surface area </w:t>
      </w:r>
      <w:r w:rsidRPr="00C201AB">
        <w:rPr>
          <w:rFonts w:cs="Calibri"/>
          <w:szCs w:val="20"/>
        </w:rPr>
        <w:sym w:font="Symbol" w:char="F02A"/>
      </w:r>
      <w:r w:rsidRPr="00C201AB">
        <w:rPr>
          <w:rFonts w:cs="Calibri"/>
          <w:szCs w:val="20"/>
        </w:rPr>
        <w:t xml:space="preserve"> right thickness) / left + right surface area.</w:t>
      </w:r>
    </w:p>
    <w:p w14:paraId="2D74E0B2" w14:textId="138C5F8F" w:rsidR="007F6632" w:rsidRDefault="007F6632" w:rsidP="003A53F9">
      <w:pPr>
        <w:spacing w:before="120"/>
        <w:jc w:val="both"/>
        <w:rPr>
          <w:rFonts w:cs="Calibri"/>
          <w:szCs w:val="20"/>
        </w:rPr>
      </w:pPr>
      <w:r>
        <w:rPr>
          <w:rFonts w:cs="Calibri"/>
          <w:szCs w:val="20"/>
        </w:rPr>
        <w:t>Variables are coded as follows:</w:t>
      </w:r>
    </w:p>
    <w:p w14:paraId="7A80A5E4" w14:textId="77777777" w:rsidR="007F6632" w:rsidRDefault="007F6632" w:rsidP="007F6632">
      <w:pPr>
        <w:pStyle w:val="ListParagraph"/>
        <w:numPr>
          <w:ilvl w:val="0"/>
          <w:numId w:val="10"/>
        </w:numPr>
        <w:rPr>
          <w:szCs w:val="20"/>
        </w:rPr>
      </w:pPr>
      <w:r w:rsidRPr="007F6632">
        <w:rPr>
          <w:b/>
          <w:bCs/>
          <w:szCs w:val="20"/>
        </w:rPr>
        <w:t>lh_ADsigMayo_corticalthickness_I46P1</w:t>
      </w:r>
      <w:r w:rsidRPr="00747526">
        <w:rPr>
          <w:szCs w:val="20"/>
        </w:rPr>
        <w:t xml:space="preserve"> – left hemisphere AD</w:t>
      </w:r>
      <w:r>
        <w:rPr>
          <w:szCs w:val="20"/>
        </w:rPr>
        <w:t>sig Mayo</w:t>
      </w:r>
      <w:r w:rsidRPr="00747526">
        <w:rPr>
          <w:szCs w:val="20"/>
        </w:rPr>
        <w:t xml:space="preserve"> cortical thickness phase one</w:t>
      </w:r>
    </w:p>
    <w:p w14:paraId="346913CA" w14:textId="77777777" w:rsidR="007F6632" w:rsidRDefault="007F6632" w:rsidP="007F6632">
      <w:pPr>
        <w:pStyle w:val="ListParagraph"/>
        <w:numPr>
          <w:ilvl w:val="0"/>
          <w:numId w:val="10"/>
        </w:numPr>
        <w:rPr>
          <w:szCs w:val="20"/>
        </w:rPr>
      </w:pPr>
      <w:r w:rsidRPr="007F6632">
        <w:rPr>
          <w:b/>
          <w:bCs/>
          <w:szCs w:val="20"/>
        </w:rPr>
        <w:t>rh_ADsigMayo_corticalthickness_I46P1</w:t>
      </w:r>
      <w:r>
        <w:rPr>
          <w:szCs w:val="20"/>
        </w:rPr>
        <w:t xml:space="preserve"> </w:t>
      </w:r>
      <w:r w:rsidRPr="00747526">
        <w:rPr>
          <w:szCs w:val="20"/>
        </w:rPr>
        <w:t xml:space="preserve">– </w:t>
      </w:r>
      <w:r>
        <w:rPr>
          <w:szCs w:val="20"/>
        </w:rPr>
        <w:t xml:space="preserve">right </w:t>
      </w:r>
      <w:r w:rsidRPr="00747526">
        <w:rPr>
          <w:szCs w:val="20"/>
        </w:rPr>
        <w:t>hemisphere AD</w:t>
      </w:r>
      <w:r>
        <w:rPr>
          <w:szCs w:val="20"/>
        </w:rPr>
        <w:t>sig Mayo</w:t>
      </w:r>
      <w:r w:rsidRPr="00747526">
        <w:rPr>
          <w:szCs w:val="20"/>
        </w:rPr>
        <w:t xml:space="preserve"> cortical thickness phase one</w:t>
      </w:r>
    </w:p>
    <w:p w14:paraId="3E28FEE1" w14:textId="77777777" w:rsidR="007F6632" w:rsidRDefault="007F6632" w:rsidP="007F6632">
      <w:pPr>
        <w:pStyle w:val="ListParagraph"/>
        <w:numPr>
          <w:ilvl w:val="0"/>
          <w:numId w:val="10"/>
        </w:numPr>
        <w:rPr>
          <w:szCs w:val="20"/>
        </w:rPr>
      </w:pPr>
      <w:r w:rsidRPr="007F6632">
        <w:rPr>
          <w:b/>
          <w:bCs/>
          <w:szCs w:val="20"/>
        </w:rPr>
        <w:t xml:space="preserve">lh_ADsigHarvard_corticalthickness_I46P1 </w:t>
      </w:r>
      <w:r>
        <w:rPr>
          <w:szCs w:val="20"/>
        </w:rPr>
        <w:t xml:space="preserve">– </w:t>
      </w:r>
      <w:r w:rsidRPr="00747526">
        <w:rPr>
          <w:szCs w:val="20"/>
        </w:rPr>
        <w:t>left hemisphere AD</w:t>
      </w:r>
      <w:r>
        <w:rPr>
          <w:szCs w:val="20"/>
        </w:rPr>
        <w:t>sig Harvard</w:t>
      </w:r>
      <w:r w:rsidRPr="00747526">
        <w:rPr>
          <w:szCs w:val="20"/>
        </w:rPr>
        <w:t xml:space="preserve"> cortical thickness phase one</w:t>
      </w:r>
    </w:p>
    <w:p w14:paraId="45C6D70E" w14:textId="77777777" w:rsidR="007F6632" w:rsidRDefault="007F6632" w:rsidP="007F6632">
      <w:pPr>
        <w:pStyle w:val="ListParagraph"/>
        <w:numPr>
          <w:ilvl w:val="0"/>
          <w:numId w:val="10"/>
        </w:numPr>
        <w:rPr>
          <w:szCs w:val="20"/>
        </w:rPr>
      </w:pPr>
      <w:r w:rsidRPr="007F6632">
        <w:rPr>
          <w:b/>
          <w:bCs/>
          <w:szCs w:val="20"/>
        </w:rPr>
        <w:t>rh_ADsigHarvard_corticalthickness_I46P1</w:t>
      </w:r>
      <w:r>
        <w:rPr>
          <w:szCs w:val="20"/>
        </w:rPr>
        <w:t xml:space="preserve"> – right</w:t>
      </w:r>
      <w:r w:rsidRPr="00747526">
        <w:rPr>
          <w:szCs w:val="20"/>
        </w:rPr>
        <w:t xml:space="preserve"> hemisphere AD</w:t>
      </w:r>
      <w:r>
        <w:rPr>
          <w:szCs w:val="20"/>
        </w:rPr>
        <w:t>sig Harvard</w:t>
      </w:r>
      <w:r w:rsidRPr="00747526">
        <w:rPr>
          <w:szCs w:val="20"/>
        </w:rPr>
        <w:t xml:space="preserve"> cortical thickness phase one</w:t>
      </w:r>
    </w:p>
    <w:p w14:paraId="7834FB57" w14:textId="77777777" w:rsidR="007F6632" w:rsidRDefault="007F6632" w:rsidP="007F6632">
      <w:pPr>
        <w:pStyle w:val="ListParagraph"/>
        <w:numPr>
          <w:ilvl w:val="0"/>
          <w:numId w:val="10"/>
        </w:numPr>
        <w:rPr>
          <w:szCs w:val="20"/>
        </w:rPr>
      </w:pPr>
      <w:r w:rsidRPr="007F6632">
        <w:rPr>
          <w:b/>
          <w:bCs/>
          <w:szCs w:val="20"/>
        </w:rPr>
        <w:t>mean_ADsigMayo_corticalthickness_I46P1</w:t>
      </w:r>
      <w:r>
        <w:rPr>
          <w:szCs w:val="20"/>
        </w:rPr>
        <w:t xml:space="preserve"> – surface area weighted average of left and right hemisphere </w:t>
      </w:r>
      <w:r w:rsidRPr="00747526">
        <w:rPr>
          <w:szCs w:val="20"/>
        </w:rPr>
        <w:t>AD</w:t>
      </w:r>
      <w:r>
        <w:rPr>
          <w:szCs w:val="20"/>
        </w:rPr>
        <w:t>sig Mayo</w:t>
      </w:r>
      <w:r w:rsidRPr="00747526">
        <w:rPr>
          <w:szCs w:val="20"/>
        </w:rPr>
        <w:t xml:space="preserve"> cortical thickness phase one</w:t>
      </w:r>
    </w:p>
    <w:p w14:paraId="239B2ED8" w14:textId="77777777" w:rsidR="007F6632" w:rsidRDefault="007F6632" w:rsidP="007F6632">
      <w:pPr>
        <w:pStyle w:val="ListParagraph"/>
        <w:numPr>
          <w:ilvl w:val="0"/>
          <w:numId w:val="10"/>
        </w:numPr>
        <w:rPr>
          <w:szCs w:val="20"/>
        </w:rPr>
      </w:pPr>
      <w:r w:rsidRPr="007F6632">
        <w:rPr>
          <w:b/>
          <w:bCs/>
          <w:szCs w:val="20"/>
        </w:rPr>
        <w:t>mean_ADsigHarvard_corticalthickness_I46P1</w:t>
      </w:r>
      <w:r>
        <w:rPr>
          <w:szCs w:val="20"/>
        </w:rPr>
        <w:t xml:space="preserve"> – surface area weighted average of left and right hemisphere </w:t>
      </w:r>
      <w:r w:rsidRPr="00747526">
        <w:rPr>
          <w:szCs w:val="20"/>
        </w:rPr>
        <w:t>AD</w:t>
      </w:r>
      <w:r>
        <w:rPr>
          <w:szCs w:val="20"/>
        </w:rPr>
        <w:t>sig Harvard</w:t>
      </w:r>
      <w:r w:rsidRPr="00747526">
        <w:rPr>
          <w:szCs w:val="20"/>
        </w:rPr>
        <w:t xml:space="preserve"> cortical thickness phase one</w:t>
      </w:r>
    </w:p>
    <w:p w14:paraId="1360E039" w14:textId="77777777" w:rsidR="007F6632" w:rsidRDefault="007F6632" w:rsidP="007F6632">
      <w:pPr>
        <w:pStyle w:val="ListParagraph"/>
        <w:numPr>
          <w:ilvl w:val="0"/>
          <w:numId w:val="10"/>
        </w:numPr>
        <w:rPr>
          <w:szCs w:val="20"/>
        </w:rPr>
      </w:pPr>
      <w:r w:rsidRPr="007F6632">
        <w:rPr>
          <w:b/>
          <w:bCs/>
          <w:szCs w:val="20"/>
        </w:rPr>
        <w:t>lh_ADsigMayo_corticalthickness_I46P2</w:t>
      </w:r>
      <w:r>
        <w:rPr>
          <w:szCs w:val="20"/>
        </w:rPr>
        <w:t xml:space="preserve"> </w:t>
      </w:r>
      <w:r w:rsidRPr="00747526">
        <w:rPr>
          <w:szCs w:val="20"/>
        </w:rPr>
        <w:t>– left hemisphere AD</w:t>
      </w:r>
      <w:r>
        <w:rPr>
          <w:szCs w:val="20"/>
        </w:rPr>
        <w:t>sig Mayo</w:t>
      </w:r>
      <w:r w:rsidRPr="00747526">
        <w:rPr>
          <w:szCs w:val="20"/>
        </w:rPr>
        <w:t xml:space="preserve"> cortical thickness phase </w:t>
      </w:r>
      <w:r>
        <w:rPr>
          <w:szCs w:val="20"/>
        </w:rPr>
        <w:t>two</w:t>
      </w:r>
    </w:p>
    <w:p w14:paraId="0686B6B0" w14:textId="77777777" w:rsidR="007F6632" w:rsidRDefault="007F6632" w:rsidP="007F6632">
      <w:pPr>
        <w:pStyle w:val="ListParagraph"/>
        <w:numPr>
          <w:ilvl w:val="0"/>
          <w:numId w:val="10"/>
        </w:numPr>
        <w:rPr>
          <w:szCs w:val="20"/>
        </w:rPr>
      </w:pPr>
      <w:r w:rsidRPr="007F6632">
        <w:rPr>
          <w:b/>
          <w:bCs/>
          <w:szCs w:val="20"/>
        </w:rPr>
        <w:t>rh_ADsigMayo_corticalthickness_I46P2</w:t>
      </w:r>
      <w:r>
        <w:rPr>
          <w:szCs w:val="20"/>
        </w:rPr>
        <w:t xml:space="preserve"> </w:t>
      </w:r>
      <w:r w:rsidRPr="00747526">
        <w:rPr>
          <w:szCs w:val="20"/>
        </w:rPr>
        <w:t xml:space="preserve">– </w:t>
      </w:r>
      <w:r>
        <w:rPr>
          <w:szCs w:val="20"/>
        </w:rPr>
        <w:t xml:space="preserve">right </w:t>
      </w:r>
      <w:r w:rsidRPr="00747526">
        <w:rPr>
          <w:szCs w:val="20"/>
        </w:rPr>
        <w:t>hemisphere AD</w:t>
      </w:r>
      <w:r>
        <w:rPr>
          <w:szCs w:val="20"/>
        </w:rPr>
        <w:t>sig Mayo</w:t>
      </w:r>
      <w:r w:rsidRPr="00747526">
        <w:rPr>
          <w:szCs w:val="20"/>
        </w:rPr>
        <w:t xml:space="preserve"> cortical thickness phase </w:t>
      </w:r>
      <w:r>
        <w:rPr>
          <w:szCs w:val="20"/>
        </w:rPr>
        <w:t>two</w:t>
      </w:r>
    </w:p>
    <w:p w14:paraId="36D972E5" w14:textId="1986406E" w:rsidR="007F6632" w:rsidRDefault="007F6632" w:rsidP="007F6632">
      <w:pPr>
        <w:pStyle w:val="ListParagraph"/>
        <w:numPr>
          <w:ilvl w:val="0"/>
          <w:numId w:val="10"/>
        </w:numPr>
        <w:rPr>
          <w:szCs w:val="20"/>
        </w:rPr>
      </w:pPr>
      <w:r w:rsidRPr="007F6632">
        <w:rPr>
          <w:b/>
          <w:bCs/>
          <w:szCs w:val="20"/>
        </w:rPr>
        <w:t>lh_ADsigHarvard_corticalthickness_I46P2</w:t>
      </w:r>
      <w:r>
        <w:rPr>
          <w:szCs w:val="20"/>
        </w:rPr>
        <w:t xml:space="preserve"> – </w:t>
      </w:r>
      <w:r w:rsidRPr="00747526">
        <w:rPr>
          <w:szCs w:val="20"/>
        </w:rPr>
        <w:t>left hemisphere AD</w:t>
      </w:r>
      <w:r>
        <w:rPr>
          <w:szCs w:val="20"/>
        </w:rPr>
        <w:t>sig Harvard</w:t>
      </w:r>
      <w:r w:rsidRPr="00747526">
        <w:rPr>
          <w:szCs w:val="20"/>
        </w:rPr>
        <w:t xml:space="preserve"> cortical thickness phase </w:t>
      </w:r>
      <w:r>
        <w:rPr>
          <w:szCs w:val="20"/>
        </w:rPr>
        <w:t>two</w:t>
      </w:r>
    </w:p>
    <w:p w14:paraId="1BBDE24B" w14:textId="63C2B969" w:rsidR="007F6632" w:rsidRDefault="007F6632" w:rsidP="007F6632">
      <w:pPr>
        <w:pStyle w:val="ListParagraph"/>
        <w:numPr>
          <w:ilvl w:val="0"/>
          <w:numId w:val="10"/>
        </w:numPr>
        <w:rPr>
          <w:szCs w:val="20"/>
        </w:rPr>
      </w:pPr>
      <w:r w:rsidRPr="007F6632">
        <w:rPr>
          <w:b/>
          <w:bCs/>
          <w:szCs w:val="20"/>
        </w:rPr>
        <w:t>rh_ADsigHarvard_corticalthickness_I46P2</w:t>
      </w:r>
      <w:r>
        <w:rPr>
          <w:szCs w:val="20"/>
        </w:rPr>
        <w:t xml:space="preserve"> – right</w:t>
      </w:r>
      <w:r w:rsidRPr="00747526">
        <w:rPr>
          <w:szCs w:val="20"/>
        </w:rPr>
        <w:t xml:space="preserve"> hemisphere AD</w:t>
      </w:r>
      <w:r>
        <w:rPr>
          <w:szCs w:val="20"/>
        </w:rPr>
        <w:t>sig Harvard</w:t>
      </w:r>
      <w:r w:rsidRPr="00747526">
        <w:rPr>
          <w:szCs w:val="20"/>
        </w:rPr>
        <w:t xml:space="preserve"> cortical thickness phase </w:t>
      </w:r>
      <w:r>
        <w:rPr>
          <w:szCs w:val="20"/>
        </w:rPr>
        <w:t>two</w:t>
      </w:r>
    </w:p>
    <w:p w14:paraId="3391EF5E" w14:textId="15DA9F32" w:rsidR="007F6632" w:rsidRDefault="007F6632" w:rsidP="007F6632">
      <w:pPr>
        <w:pStyle w:val="ListParagraph"/>
        <w:numPr>
          <w:ilvl w:val="0"/>
          <w:numId w:val="10"/>
        </w:numPr>
        <w:rPr>
          <w:szCs w:val="20"/>
        </w:rPr>
      </w:pPr>
      <w:r w:rsidRPr="007F6632">
        <w:rPr>
          <w:b/>
          <w:bCs/>
          <w:szCs w:val="20"/>
        </w:rPr>
        <w:t>mean_ADsigMayo_corticalthickness_I46P2</w:t>
      </w:r>
      <w:r>
        <w:rPr>
          <w:szCs w:val="20"/>
        </w:rPr>
        <w:t xml:space="preserve"> – surface area weighted average of left and right hemisphere </w:t>
      </w:r>
      <w:r w:rsidRPr="00747526">
        <w:rPr>
          <w:szCs w:val="20"/>
        </w:rPr>
        <w:t>AD</w:t>
      </w:r>
      <w:r>
        <w:rPr>
          <w:szCs w:val="20"/>
        </w:rPr>
        <w:t>sig Mayo</w:t>
      </w:r>
      <w:r w:rsidRPr="00747526">
        <w:rPr>
          <w:szCs w:val="20"/>
        </w:rPr>
        <w:t xml:space="preserve"> cortical thickness phase </w:t>
      </w:r>
      <w:r>
        <w:rPr>
          <w:szCs w:val="20"/>
        </w:rPr>
        <w:t>two</w:t>
      </w:r>
    </w:p>
    <w:p w14:paraId="5AB375BB" w14:textId="5453E26F" w:rsidR="007F6632" w:rsidRPr="007F6632" w:rsidRDefault="007F6632" w:rsidP="007F6632">
      <w:pPr>
        <w:pStyle w:val="ListParagraph"/>
        <w:numPr>
          <w:ilvl w:val="0"/>
          <w:numId w:val="10"/>
        </w:numPr>
        <w:spacing w:after="0" w:line="240" w:lineRule="auto"/>
        <w:rPr>
          <w:szCs w:val="20"/>
        </w:rPr>
      </w:pPr>
      <w:r w:rsidRPr="007F6632">
        <w:rPr>
          <w:b/>
          <w:bCs/>
          <w:szCs w:val="20"/>
        </w:rPr>
        <w:t>mean_ADsigHarvard_corticalthickness_I46P2</w:t>
      </w:r>
      <w:r>
        <w:rPr>
          <w:szCs w:val="20"/>
        </w:rPr>
        <w:t xml:space="preserve"> – surface area weighted average of left and right hemisphere </w:t>
      </w:r>
      <w:r w:rsidRPr="00747526">
        <w:rPr>
          <w:szCs w:val="20"/>
        </w:rPr>
        <w:t>AD</w:t>
      </w:r>
      <w:r>
        <w:rPr>
          <w:szCs w:val="20"/>
        </w:rPr>
        <w:t>sig Harvard</w:t>
      </w:r>
      <w:r w:rsidRPr="00747526">
        <w:rPr>
          <w:szCs w:val="20"/>
        </w:rPr>
        <w:t xml:space="preserve"> cortical thickness phase </w:t>
      </w:r>
      <w:r>
        <w:rPr>
          <w:szCs w:val="20"/>
        </w:rPr>
        <w:t>two</w:t>
      </w:r>
    </w:p>
    <w:p w14:paraId="1AFE9175" w14:textId="2C60F97E" w:rsidR="003A53F9" w:rsidRDefault="003A53F9" w:rsidP="003A53F9">
      <w:pPr>
        <w:spacing w:before="120"/>
        <w:jc w:val="both"/>
        <w:rPr>
          <w:rFonts w:cs="Calibri"/>
          <w:szCs w:val="20"/>
        </w:rPr>
      </w:pPr>
    </w:p>
    <w:p w14:paraId="1F502633" w14:textId="758F9CEB" w:rsidR="007013C8" w:rsidRDefault="007013C8" w:rsidP="003A53F9">
      <w:pPr>
        <w:spacing w:before="120"/>
        <w:jc w:val="both"/>
        <w:rPr>
          <w:rFonts w:cs="Calibri"/>
          <w:szCs w:val="20"/>
        </w:rPr>
      </w:pPr>
      <w:r>
        <w:rPr>
          <w:rFonts w:cs="Calibri"/>
          <w:szCs w:val="20"/>
        </w:rPr>
        <w:t>This work was led by Sarah Keuss (</w:t>
      </w:r>
      <w:hyperlink r:id="rId7" w:history="1">
        <w:r w:rsidR="009F6053" w:rsidRPr="00CB389C">
          <w:rPr>
            <w:rStyle w:val="Hyperlink"/>
            <w:rFonts w:cs="Calibri"/>
            <w:szCs w:val="20"/>
          </w:rPr>
          <w:t>s.keuss@ucl.ac.uk</w:t>
        </w:r>
      </w:hyperlink>
      <w:r>
        <w:rPr>
          <w:rFonts w:cs="Calibri"/>
          <w:szCs w:val="20"/>
        </w:rPr>
        <w:t>)</w:t>
      </w:r>
      <w:r w:rsidR="009F6053">
        <w:rPr>
          <w:rFonts w:cs="Calibri"/>
          <w:szCs w:val="20"/>
        </w:rPr>
        <w:t xml:space="preserve"> and </w:t>
      </w:r>
      <w:r>
        <w:rPr>
          <w:rFonts w:cs="Calibri"/>
          <w:szCs w:val="20"/>
        </w:rPr>
        <w:t>Will Coath (</w:t>
      </w:r>
      <w:hyperlink r:id="rId8" w:history="1">
        <w:r w:rsidR="009F6053" w:rsidRPr="00CB389C">
          <w:rPr>
            <w:rStyle w:val="Hyperlink"/>
            <w:rFonts w:cs="Calibri"/>
            <w:szCs w:val="20"/>
          </w:rPr>
          <w:t>w.coath@ucl.ac.uk</w:t>
        </w:r>
      </w:hyperlink>
      <w:r w:rsidR="004C3F06">
        <w:rPr>
          <w:rFonts w:cs="Calibri"/>
          <w:szCs w:val="20"/>
        </w:rPr>
        <w:t>)</w:t>
      </w:r>
      <w:r w:rsidR="009F6053">
        <w:rPr>
          <w:rFonts w:cs="Calibri"/>
          <w:szCs w:val="20"/>
        </w:rPr>
        <w:t xml:space="preserve"> with</w:t>
      </w:r>
      <w:r>
        <w:rPr>
          <w:rFonts w:cs="Calibri"/>
          <w:szCs w:val="20"/>
        </w:rPr>
        <w:t xml:space="preserve"> senior guidance from Dave Cash</w:t>
      </w:r>
      <w:r w:rsidR="004C3F06">
        <w:rPr>
          <w:rFonts w:cs="Calibri"/>
          <w:szCs w:val="20"/>
        </w:rPr>
        <w:t xml:space="preserve"> (</w:t>
      </w:r>
      <w:hyperlink r:id="rId9" w:history="1">
        <w:r w:rsidR="009F6053" w:rsidRPr="00CB389C">
          <w:rPr>
            <w:rStyle w:val="Hyperlink"/>
            <w:rFonts w:cs="Calibri"/>
            <w:szCs w:val="20"/>
          </w:rPr>
          <w:t>d.cash@ucl.ac.uk</w:t>
        </w:r>
      </w:hyperlink>
      <w:r w:rsidR="004C3F06">
        <w:rPr>
          <w:rFonts w:cs="Calibri"/>
          <w:szCs w:val="20"/>
        </w:rPr>
        <w:t>)</w:t>
      </w:r>
      <w:r>
        <w:rPr>
          <w:rFonts w:cs="Calibri"/>
          <w:szCs w:val="20"/>
        </w:rPr>
        <w:t xml:space="preserve">. </w:t>
      </w:r>
    </w:p>
    <w:p w14:paraId="2200C8A8" w14:textId="77777777" w:rsidR="007013C8" w:rsidRDefault="007013C8" w:rsidP="003A53F9">
      <w:pPr>
        <w:spacing w:before="120"/>
        <w:jc w:val="both"/>
        <w:rPr>
          <w:rFonts w:cs="Calibri"/>
          <w:szCs w:val="20"/>
        </w:rPr>
      </w:pPr>
    </w:p>
    <w:p w14:paraId="0013E5F1" w14:textId="22F27A76" w:rsidR="00C201AB" w:rsidRPr="00C201AB" w:rsidRDefault="00C201AB" w:rsidP="00C201AB">
      <w:pPr>
        <w:spacing w:before="120"/>
        <w:jc w:val="center"/>
        <w:rPr>
          <w:rFonts w:cs="Calibri"/>
          <w:b/>
          <w:bCs/>
          <w:sz w:val="21"/>
          <w:szCs w:val="21"/>
        </w:rPr>
      </w:pPr>
      <w:r w:rsidRPr="00C201AB">
        <w:rPr>
          <w:rFonts w:cs="Calibri"/>
          <w:b/>
          <w:bCs/>
          <w:sz w:val="21"/>
          <w:szCs w:val="21"/>
        </w:rPr>
        <w:t>R</w:t>
      </w:r>
      <w:r>
        <w:rPr>
          <w:rFonts w:cs="Calibri"/>
          <w:b/>
          <w:bCs/>
          <w:sz w:val="21"/>
          <w:szCs w:val="21"/>
        </w:rPr>
        <w:t>e</w:t>
      </w:r>
      <w:r w:rsidRPr="00C201AB">
        <w:rPr>
          <w:rFonts w:cs="Calibri"/>
          <w:b/>
          <w:bCs/>
          <w:sz w:val="21"/>
          <w:szCs w:val="21"/>
        </w:rPr>
        <w:t>ferences</w:t>
      </w:r>
    </w:p>
    <w:p w14:paraId="3FD61C06" w14:textId="38556951" w:rsidR="00830527" w:rsidRPr="00830527" w:rsidRDefault="00C201AB" w:rsidP="00830527">
      <w:pPr>
        <w:widowControl w:val="0"/>
        <w:autoSpaceDE w:val="0"/>
        <w:autoSpaceDN w:val="0"/>
        <w:adjustRightInd w:val="0"/>
        <w:spacing w:before="120" w:line="240" w:lineRule="auto"/>
        <w:rPr>
          <w:rFonts w:cs="Times New Roman"/>
          <w:noProof/>
        </w:rPr>
      </w:pPr>
      <w:r>
        <w:rPr>
          <w:szCs w:val="20"/>
        </w:rPr>
        <w:fldChar w:fldCharType="begin" w:fldLock="1"/>
      </w:r>
      <w:r>
        <w:rPr>
          <w:szCs w:val="20"/>
        </w:rPr>
        <w:instrText xml:space="preserve">ADDIN Mendeley Bibliography CSL_BIBLIOGRAPHY </w:instrText>
      </w:r>
      <w:r>
        <w:rPr>
          <w:szCs w:val="20"/>
        </w:rPr>
        <w:fldChar w:fldCharType="separate"/>
      </w:r>
      <w:r w:rsidR="00830527" w:rsidRPr="00830527">
        <w:rPr>
          <w:rFonts w:cs="Times New Roman"/>
          <w:noProof/>
        </w:rPr>
        <w:t xml:space="preserve">Dale, A. M., Fischl, B. and Sereno, M. I. (1999) ‘Cortical Surface-Based Analysis: I. Segmentation and Surface Reconstruction’, </w:t>
      </w:r>
      <w:r w:rsidR="00830527" w:rsidRPr="00830527">
        <w:rPr>
          <w:rFonts w:cs="Times New Roman"/>
          <w:i/>
          <w:iCs/>
          <w:noProof/>
        </w:rPr>
        <w:t>NeuroImage</w:t>
      </w:r>
      <w:r w:rsidR="00830527" w:rsidRPr="00830527">
        <w:rPr>
          <w:rFonts w:cs="Times New Roman"/>
          <w:noProof/>
        </w:rPr>
        <w:t>. Academic Press, 9(2), pp. 179–194. doi: 10.1006/NIMG.1998.0395.</w:t>
      </w:r>
    </w:p>
    <w:p w14:paraId="13FDFB28"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Desikan, R. S. </w:t>
      </w:r>
      <w:r w:rsidRPr="00830527">
        <w:rPr>
          <w:rFonts w:cs="Times New Roman"/>
          <w:i/>
          <w:iCs/>
          <w:noProof/>
        </w:rPr>
        <w:t>et al.</w:t>
      </w:r>
      <w:r w:rsidRPr="00830527">
        <w:rPr>
          <w:rFonts w:cs="Times New Roman"/>
          <w:noProof/>
        </w:rPr>
        <w:t xml:space="preserve"> (2006) ‘An automated labeling system for subdividing the human cerebral cortex on MRI scans into gyral based regions of interest’, </w:t>
      </w:r>
      <w:r w:rsidRPr="00830527">
        <w:rPr>
          <w:rFonts w:cs="Times New Roman"/>
          <w:i/>
          <w:iCs/>
          <w:noProof/>
        </w:rPr>
        <w:t>NeuroImage</w:t>
      </w:r>
      <w:r w:rsidRPr="00830527">
        <w:rPr>
          <w:rFonts w:cs="Times New Roman"/>
          <w:noProof/>
        </w:rPr>
        <w:t>, 31(3), pp. 968–980. doi: 10.1016/j.neuroimage.2006.01.021.</w:t>
      </w:r>
    </w:p>
    <w:p w14:paraId="1198F35E"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Dickerson, B. C. </w:t>
      </w:r>
      <w:r w:rsidRPr="00830527">
        <w:rPr>
          <w:rFonts w:cs="Times New Roman"/>
          <w:i/>
          <w:iCs/>
          <w:noProof/>
        </w:rPr>
        <w:t>et al.</w:t>
      </w:r>
      <w:r w:rsidRPr="00830527">
        <w:rPr>
          <w:rFonts w:cs="Times New Roman"/>
          <w:noProof/>
        </w:rPr>
        <w:t xml:space="preserve"> (2009) ‘The cortical signature of Alzheimer’s disease: Regionally specific cortical thinning relates to symptom severity in very mild to mild AD dementia and is detectable in asymptomatic amyloid-positive individuals’, </w:t>
      </w:r>
      <w:r w:rsidRPr="00830527">
        <w:rPr>
          <w:rFonts w:cs="Times New Roman"/>
          <w:i/>
          <w:iCs/>
          <w:noProof/>
        </w:rPr>
        <w:t>Cerebral Cortex</w:t>
      </w:r>
      <w:r w:rsidRPr="00830527">
        <w:rPr>
          <w:rFonts w:cs="Times New Roman"/>
          <w:noProof/>
        </w:rPr>
        <w:t>, 19(3), pp. 497–510. doi: 10.1093/cercor/bhn113.</w:t>
      </w:r>
    </w:p>
    <w:p w14:paraId="33BD1BB7"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Fischl, B. and Dale, A. M. (2000) ‘Measuring the thickness of the human cerebral cortex from magnetic resonance images’, </w:t>
      </w:r>
      <w:r w:rsidRPr="00830527">
        <w:rPr>
          <w:rFonts w:cs="Times New Roman"/>
          <w:i/>
          <w:iCs/>
          <w:noProof/>
        </w:rPr>
        <w:t>Proceedings of the National Academy of Sciences</w:t>
      </w:r>
      <w:r w:rsidRPr="00830527">
        <w:rPr>
          <w:rFonts w:cs="Times New Roman"/>
          <w:noProof/>
        </w:rPr>
        <w:t>, 97(20), pp. 11050–11055. doi: 10.1073/pnas.200033797.</w:t>
      </w:r>
    </w:p>
    <w:p w14:paraId="78DD08A7"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lastRenderedPageBreak/>
        <w:t xml:space="preserve">Fischl, B., Sereno, M. I. and Dale, A. M. (1999) ‘Cortical Surface-Based Analysis: II: Inflation, Flattening, and a Surface-Based Coordinate System’, </w:t>
      </w:r>
      <w:r w:rsidRPr="00830527">
        <w:rPr>
          <w:rFonts w:cs="Times New Roman"/>
          <w:i/>
          <w:iCs/>
          <w:noProof/>
        </w:rPr>
        <w:t>NeuroImage</w:t>
      </w:r>
      <w:r w:rsidRPr="00830527">
        <w:rPr>
          <w:rFonts w:cs="Times New Roman"/>
          <w:noProof/>
        </w:rPr>
        <w:t>. Academic Press, 9(2), pp. 195–207. doi: 10.1006/NIMG.1998.0396.</w:t>
      </w:r>
    </w:p>
    <w:p w14:paraId="52A1F251"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Jack, C. R. </w:t>
      </w:r>
      <w:r w:rsidRPr="00830527">
        <w:rPr>
          <w:rFonts w:cs="Times New Roman"/>
          <w:i/>
          <w:iCs/>
          <w:noProof/>
        </w:rPr>
        <w:t>et al.</w:t>
      </w:r>
      <w:r w:rsidRPr="00830527">
        <w:rPr>
          <w:rFonts w:cs="Times New Roman"/>
          <w:noProof/>
        </w:rPr>
        <w:t xml:space="preserve"> (2015) ‘Different definitions of neurodegeneration produce similar amyloid/neurodegeneration biomarker group findings’, </w:t>
      </w:r>
      <w:r w:rsidRPr="00830527">
        <w:rPr>
          <w:rFonts w:cs="Times New Roman"/>
          <w:i/>
          <w:iCs/>
          <w:noProof/>
        </w:rPr>
        <w:t>Brain</w:t>
      </w:r>
      <w:r w:rsidRPr="00830527">
        <w:rPr>
          <w:rFonts w:cs="Times New Roman"/>
          <w:noProof/>
        </w:rPr>
        <w:t>. Oxford University Press, 138(12), pp. 3747–3759. doi: 10.1093/brain/awv283.</w:t>
      </w:r>
    </w:p>
    <w:p w14:paraId="29D9ECD0"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Jovicich, J. </w:t>
      </w:r>
      <w:r w:rsidRPr="00830527">
        <w:rPr>
          <w:rFonts w:cs="Times New Roman"/>
          <w:i/>
          <w:iCs/>
          <w:noProof/>
        </w:rPr>
        <w:t>et al.</w:t>
      </w:r>
      <w:r w:rsidRPr="00830527">
        <w:rPr>
          <w:rFonts w:cs="Times New Roman"/>
          <w:noProof/>
        </w:rPr>
        <w:t xml:space="preserve"> (2006) ‘Reliability in multi-site structural MRI studies: Effects of gradient non-linearity correction on phantom and human data’, </w:t>
      </w:r>
      <w:r w:rsidRPr="00830527">
        <w:rPr>
          <w:rFonts w:cs="Times New Roman"/>
          <w:i/>
          <w:iCs/>
          <w:noProof/>
        </w:rPr>
        <w:t>NeuroImage</w:t>
      </w:r>
      <w:r w:rsidRPr="00830527">
        <w:rPr>
          <w:rFonts w:cs="Times New Roman"/>
          <w:noProof/>
        </w:rPr>
        <w:t>, 30(2), pp. 436–443. doi: 10.1016/j.neuroimage.2005.09.046.</w:t>
      </w:r>
    </w:p>
    <w:p w14:paraId="285EA3CE"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Reuter, M. </w:t>
      </w:r>
      <w:r w:rsidRPr="00830527">
        <w:rPr>
          <w:rFonts w:cs="Times New Roman"/>
          <w:i/>
          <w:iCs/>
          <w:noProof/>
        </w:rPr>
        <w:t>et al.</w:t>
      </w:r>
      <w:r w:rsidRPr="00830527">
        <w:rPr>
          <w:rFonts w:cs="Times New Roman"/>
          <w:noProof/>
        </w:rPr>
        <w:t xml:space="preserve"> (2012) ‘Within-subject template estimation for unbiased longitudinal image analysis.’, </w:t>
      </w:r>
      <w:r w:rsidRPr="00830527">
        <w:rPr>
          <w:rFonts w:cs="Times New Roman"/>
          <w:i/>
          <w:iCs/>
          <w:noProof/>
        </w:rPr>
        <w:t>NeuroImage</w:t>
      </w:r>
      <w:r w:rsidRPr="00830527">
        <w:rPr>
          <w:rFonts w:cs="Times New Roman"/>
          <w:noProof/>
        </w:rPr>
        <w:t>. NIH Public Access, 61(4), pp. 1402–18. doi: 10.1016/j.neuroimage.2012.02.084.</w:t>
      </w:r>
    </w:p>
    <w:p w14:paraId="51BEF12C" w14:textId="77777777" w:rsidR="00830527" w:rsidRPr="00830527" w:rsidRDefault="00830527" w:rsidP="00830527">
      <w:pPr>
        <w:widowControl w:val="0"/>
        <w:autoSpaceDE w:val="0"/>
        <w:autoSpaceDN w:val="0"/>
        <w:adjustRightInd w:val="0"/>
        <w:spacing w:before="120" w:line="240" w:lineRule="auto"/>
        <w:rPr>
          <w:rFonts w:cs="Times New Roman"/>
          <w:noProof/>
        </w:rPr>
      </w:pPr>
      <w:r w:rsidRPr="00830527">
        <w:rPr>
          <w:rFonts w:cs="Times New Roman"/>
          <w:noProof/>
        </w:rPr>
        <w:t xml:space="preserve">Reuter, M. and Fischl, B. (2011) ‘Avoiding asymmetry-induced bias in longitudinal image processing’, </w:t>
      </w:r>
      <w:r w:rsidRPr="00830527">
        <w:rPr>
          <w:rFonts w:cs="Times New Roman"/>
          <w:i/>
          <w:iCs/>
          <w:noProof/>
        </w:rPr>
        <w:t>NeuroImage</w:t>
      </w:r>
      <w:r w:rsidRPr="00830527">
        <w:rPr>
          <w:rFonts w:cs="Times New Roman"/>
          <w:noProof/>
        </w:rPr>
        <w:t>. Academic Press, pp. 19–21. doi: 10.1016/j.neuroimage.2011.02.076.</w:t>
      </w:r>
    </w:p>
    <w:p w14:paraId="25370EEF" w14:textId="77777777" w:rsidR="00830527" w:rsidRPr="00830527" w:rsidRDefault="00830527" w:rsidP="00830527">
      <w:pPr>
        <w:widowControl w:val="0"/>
        <w:autoSpaceDE w:val="0"/>
        <w:autoSpaceDN w:val="0"/>
        <w:adjustRightInd w:val="0"/>
        <w:spacing w:before="120" w:line="240" w:lineRule="auto"/>
        <w:rPr>
          <w:noProof/>
        </w:rPr>
      </w:pPr>
      <w:r w:rsidRPr="00830527">
        <w:rPr>
          <w:rFonts w:cs="Times New Roman"/>
          <w:noProof/>
        </w:rPr>
        <w:t xml:space="preserve">Reuter, M., Rosas, H. D. and Fischl, B. (2010) ‘Highly accurate inverse consistent registration: A robust approach’, </w:t>
      </w:r>
      <w:r w:rsidRPr="00830527">
        <w:rPr>
          <w:rFonts w:cs="Times New Roman"/>
          <w:i/>
          <w:iCs/>
          <w:noProof/>
        </w:rPr>
        <w:t>NeuroImage</w:t>
      </w:r>
      <w:r w:rsidRPr="00830527">
        <w:rPr>
          <w:rFonts w:cs="Times New Roman"/>
          <w:noProof/>
        </w:rPr>
        <w:t>. Neuroimage, 53(4), pp. 1181–1196. doi: 10.1016/j.neuroimage.2010.07.020.</w:t>
      </w:r>
    </w:p>
    <w:p w14:paraId="47468F8A" w14:textId="4C44BA85" w:rsidR="003A53F9" w:rsidRPr="00C201AB" w:rsidRDefault="00C201AB" w:rsidP="00830527">
      <w:pPr>
        <w:widowControl w:val="0"/>
        <w:autoSpaceDE w:val="0"/>
        <w:autoSpaceDN w:val="0"/>
        <w:adjustRightInd w:val="0"/>
        <w:spacing w:before="120" w:line="240" w:lineRule="auto"/>
        <w:rPr>
          <w:szCs w:val="20"/>
        </w:rPr>
      </w:pPr>
      <w:r>
        <w:rPr>
          <w:szCs w:val="20"/>
        </w:rPr>
        <w:fldChar w:fldCharType="end"/>
      </w:r>
    </w:p>
    <w:sectPr w:rsidR="003A53F9" w:rsidRPr="00C201AB"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B6F"/>
    <w:multiLevelType w:val="hybridMultilevel"/>
    <w:tmpl w:val="8B84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F75E9"/>
    <w:multiLevelType w:val="hybridMultilevel"/>
    <w:tmpl w:val="6C321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E15DBB"/>
    <w:multiLevelType w:val="hybridMultilevel"/>
    <w:tmpl w:val="3EFA6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BA53C2"/>
    <w:multiLevelType w:val="hybridMultilevel"/>
    <w:tmpl w:val="B7967772"/>
    <w:lvl w:ilvl="0" w:tplc="9162D548">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3A7CF6"/>
    <w:multiLevelType w:val="hybridMultilevel"/>
    <w:tmpl w:val="7EA05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2C1342"/>
    <w:multiLevelType w:val="hybridMultilevel"/>
    <w:tmpl w:val="E564D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BF4980"/>
    <w:multiLevelType w:val="hybridMultilevel"/>
    <w:tmpl w:val="96FE048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BC60A8"/>
    <w:multiLevelType w:val="hybridMultilevel"/>
    <w:tmpl w:val="AE243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9"/>
  </w:num>
  <w:num w:numId="4">
    <w:abstractNumId w:val="8"/>
  </w:num>
  <w:num w:numId="5">
    <w:abstractNumId w:val="5"/>
  </w:num>
  <w:num w:numId="6">
    <w:abstractNumId w:val="0"/>
  </w:num>
  <w:num w:numId="7">
    <w:abstractNumId w:val="6"/>
  </w:num>
  <w:num w:numId="8">
    <w:abstractNumId w:val="1"/>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02CAA"/>
    <w:rsid w:val="0001612E"/>
    <w:rsid w:val="00040766"/>
    <w:rsid w:val="0004731E"/>
    <w:rsid w:val="000567F2"/>
    <w:rsid w:val="000706A5"/>
    <w:rsid w:val="000963CE"/>
    <w:rsid w:val="000B5AE7"/>
    <w:rsid w:val="000C2B18"/>
    <w:rsid w:val="000D0C2F"/>
    <w:rsid w:val="000E7437"/>
    <w:rsid w:val="000F182E"/>
    <w:rsid w:val="000F1AC5"/>
    <w:rsid w:val="0010022A"/>
    <w:rsid w:val="0018795D"/>
    <w:rsid w:val="001A61DB"/>
    <w:rsid w:val="001B7CB2"/>
    <w:rsid w:val="001C469B"/>
    <w:rsid w:val="001C788E"/>
    <w:rsid w:val="001D50F7"/>
    <w:rsid w:val="00227219"/>
    <w:rsid w:val="00237780"/>
    <w:rsid w:val="003A53F9"/>
    <w:rsid w:val="003C02B3"/>
    <w:rsid w:val="003E1F29"/>
    <w:rsid w:val="004552BA"/>
    <w:rsid w:val="004C3F06"/>
    <w:rsid w:val="004F6D81"/>
    <w:rsid w:val="00510C34"/>
    <w:rsid w:val="00561313"/>
    <w:rsid w:val="005C3556"/>
    <w:rsid w:val="005E7D21"/>
    <w:rsid w:val="00646697"/>
    <w:rsid w:val="006741EE"/>
    <w:rsid w:val="00675FE5"/>
    <w:rsid w:val="006E340B"/>
    <w:rsid w:val="006E454C"/>
    <w:rsid w:val="006E5DE4"/>
    <w:rsid w:val="007013C8"/>
    <w:rsid w:val="00747526"/>
    <w:rsid w:val="007E15B9"/>
    <w:rsid w:val="007E5903"/>
    <w:rsid w:val="007F6632"/>
    <w:rsid w:val="00830527"/>
    <w:rsid w:val="00833238"/>
    <w:rsid w:val="00857C7E"/>
    <w:rsid w:val="008A313D"/>
    <w:rsid w:val="008C6002"/>
    <w:rsid w:val="008D78CB"/>
    <w:rsid w:val="008D7B69"/>
    <w:rsid w:val="008E49C9"/>
    <w:rsid w:val="00907888"/>
    <w:rsid w:val="00934FE3"/>
    <w:rsid w:val="00995EFC"/>
    <w:rsid w:val="009B3FDB"/>
    <w:rsid w:val="009D52B2"/>
    <w:rsid w:val="009F6053"/>
    <w:rsid w:val="00A0582D"/>
    <w:rsid w:val="00A25719"/>
    <w:rsid w:val="00A64181"/>
    <w:rsid w:val="00A70020"/>
    <w:rsid w:val="00A758F6"/>
    <w:rsid w:val="00A828F9"/>
    <w:rsid w:val="00A865C5"/>
    <w:rsid w:val="00B15F38"/>
    <w:rsid w:val="00B42370"/>
    <w:rsid w:val="00BA5901"/>
    <w:rsid w:val="00BB5796"/>
    <w:rsid w:val="00BC19D3"/>
    <w:rsid w:val="00BD6E3F"/>
    <w:rsid w:val="00BE2EBC"/>
    <w:rsid w:val="00BF07F3"/>
    <w:rsid w:val="00C074EC"/>
    <w:rsid w:val="00C201AB"/>
    <w:rsid w:val="00C8222C"/>
    <w:rsid w:val="00C92100"/>
    <w:rsid w:val="00D44D9F"/>
    <w:rsid w:val="00D70C72"/>
    <w:rsid w:val="00D817E6"/>
    <w:rsid w:val="00E0012F"/>
    <w:rsid w:val="00EB47A5"/>
    <w:rsid w:val="00EC04DA"/>
    <w:rsid w:val="00EE3278"/>
    <w:rsid w:val="00EF4390"/>
    <w:rsid w:val="00F5173C"/>
    <w:rsid w:val="00F86B41"/>
    <w:rsid w:val="00F90CDC"/>
    <w:rsid w:val="00F96FEA"/>
    <w:rsid w:val="00FB5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5B8D"/>
  <w15:docId w15:val="{AEE35AD7-D3F6-41AA-87BD-ADCCA63D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customStyle="1" w:styleId="ListParagraphChar">
    <w:name w:val="List Paragraph Char"/>
    <w:basedOn w:val="DefaultParagraphFont"/>
    <w:link w:val="ListParagraph"/>
    <w:uiPriority w:val="34"/>
    <w:rsid w:val="00995EFC"/>
    <w:rPr>
      <w:rFonts w:ascii="Verdana" w:hAnsi="Verdana"/>
      <w:sz w:val="20"/>
    </w:rPr>
  </w:style>
  <w:style w:type="paragraph" w:styleId="CommentText">
    <w:name w:val="annotation text"/>
    <w:basedOn w:val="Normal"/>
    <w:link w:val="CommentTextChar"/>
    <w:semiHidden/>
    <w:rsid w:val="007E5903"/>
    <w:pPr>
      <w:spacing w:after="0" w:line="240" w:lineRule="auto"/>
    </w:pPr>
    <w:rPr>
      <w:rFonts w:ascii="Times New Roman" w:eastAsia="Times New Roman" w:hAnsi="Times New Roman" w:cs="Times New Roman"/>
      <w:szCs w:val="20"/>
      <w:lang w:val="en-US"/>
    </w:rPr>
  </w:style>
  <w:style w:type="character" w:customStyle="1" w:styleId="CommentTextChar">
    <w:name w:val="Comment Text Char"/>
    <w:basedOn w:val="DefaultParagraphFont"/>
    <w:link w:val="CommentText"/>
    <w:semiHidden/>
    <w:rsid w:val="007E5903"/>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EC04DA"/>
    <w:rPr>
      <w:color w:val="0000FF"/>
      <w:u w:val="single"/>
    </w:rPr>
  </w:style>
  <w:style w:type="character" w:customStyle="1" w:styleId="apple-converted-space">
    <w:name w:val="apple-converted-space"/>
    <w:basedOn w:val="DefaultParagraphFont"/>
    <w:rsid w:val="00EC04DA"/>
  </w:style>
  <w:style w:type="character" w:styleId="UnresolvedMention">
    <w:name w:val="Unresolved Mention"/>
    <w:basedOn w:val="DefaultParagraphFont"/>
    <w:uiPriority w:val="99"/>
    <w:semiHidden/>
    <w:unhideWhenUsed/>
    <w:rsid w:val="009F6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11885">
      <w:bodyDiv w:val="1"/>
      <w:marLeft w:val="0"/>
      <w:marRight w:val="0"/>
      <w:marTop w:val="0"/>
      <w:marBottom w:val="0"/>
      <w:divBdr>
        <w:top w:val="none" w:sz="0" w:space="0" w:color="auto"/>
        <w:left w:val="none" w:sz="0" w:space="0" w:color="auto"/>
        <w:bottom w:val="none" w:sz="0" w:space="0" w:color="auto"/>
        <w:right w:val="none" w:sz="0" w:space="0" w:color="auto"/>
      </w:divBdr>
    </w:div>
    <w:div w:id="669873045">
      <w:bodyDiv w:val="1"/>
      <w:marLeft w:val="0"/>
      <w:marRight w:val="0"/>
      <w:marTop w:val="0"/>
      <w:marBottom w:val="0"/>
      <w:divBdr>
        <w:top w:val="none" w:sz="0" w:space="0" w:color="auto"/>
        <w:left w:val="none" w:sz="0" w:space="0" w:color="auto"/>
        <w:bottom w:val="none" w:sz="0" w:space="0" w:color="auto"/>
        <w:right w:val="none" w:sz="0" w:space="0" w:color="auto"/>
      </w:divBdr>
    </w:div>
    <w:div w:id="1133402334">
      <w:bodyDiv w:val="1"/>
      <w:marLeft w:val="0"/>
      <w:marRight w:val="0"/>
      <w:marTop w:val="0"/>
      <w:marBottom w:val="0"/>
      <w:divBdr>
        <w:top w:val="none" w:sz="0" w:space="0" w:color="auto"/>
        <w:left w:val="none" w:sz="0" w:space="0" w:color="auto"/>
        <w:bottom w:val="none" w:sz="0" w:space="0" w:color="auto"/>
        <w:right w:val="none" w:sz="0" w:space="0" w:color="auto"/>
      </w:divBdr>
    </w:div>
    <w:div w:id="1797218061">
      <w:bodyDiv w:val="1"/>
      <w:marLeft w:val="0"/>
      <w:marRight w:val="0"/>
      <w:marTop w:val="0"/>
      <w:marBottom w:val="0"/>
      <w:divBdr>
        <w:top w:val="none" w:sz="0" w:space="0" w:color="auto"/>
        <w:left w:val="none" w:sz="0" w:space="0" w:color="auto"/>
        <w:bottom w:val="none" w:sz="0" w:space="0" w:color="auto"/>
        <w:right w:val="none" w:sz="0" w:space="0" w:color="auto"/>
      </w:divBdr>
    </w:div>
    <w:div w:id="192036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coath@ucl.ac.uk" TargetMode="External"/><Relationship Id="rId3" Type="http://schemas.openxmlformats.org/officeDocument/2006/relationships/styles" Target="styles.xml"/><Relationship Id="rId7" Type="http://schemas.openxmlformats.org/officeDocument/2006/relationships/hyperlink" Target="mailto:s.keuss@ucl.ac.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rfer.nmr.mgh.harvard.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cash@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D1E80-7F03-1A43-A04D-98050DD44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6256</Words>
  <Characters>35662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41835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2022-10-24T09:59:00Z</dcterms:created>
  <dcterms:modified xsi:type="dcterms:W3CDTF">2025-02-28T13:23:00Z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9e849720-5c51-3a9a-b220-9e570388c36f</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