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18A67" w14:textId="0D52D09F" w:rsidR="00226920" w:rsidRDefault="00226920" w:rsidP="00226920">
      <w:pPr>
        <w:pStyle w:val="Heading1"/>
      </w:pPr>
      <w:r>
        <w:t xml:space="preserve">Documentation - </w:t>
      </w:r>
      <w:r w:rsidRPr="005F665D">
        <w:t>I46</w:t>
      </w:r>
      <w:r>
        <w:t>P2</w:t>
      </w:r>
      <w:r w:rsidRPr="005F665D">
        <w:t>_simoaBloods</w:t>
      </w:r>
      <w:r>
        <w:t xml:space="preserve"> – Insight46 phase </w:t>
      </w:r>
      <w:r>
        <w:t>2</w:t>
      </w:r>
    </w:p>
    <w:p w14:paraId="14DD4B44"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3BCB75CD" w14:textId="77777777" w:rsidTr="00BA5901">
        <w:trPr>
          <w:jc w:val="center"/>
        </w:trPr>
        <w:tc>
          <w:tcPr>
            <w:tcW w:w="3510" w:type="dxa"/>
          </w:tcPr>
          <w:p w14:paraId="089D1B17"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6379" w:type="dxa"/>
          </w:tcPr>
          <w:p w14:paraId="0E24FB5A" w14:textId="5D2A8692" w:rsidR="00BA5901" w:rsidRDefault="00C81D38" w:rsidP="00F90CDC">
            <w:r>
              <w:t>Ashvini Keshavan</w:t>
            </w:r>
          </w:p>
        </w:tc>
      </w:tr>
      <w:tr w:rsidR="00BA5901" w14:paraId="4921D631" w14:textId="77777777" w:rsidTr="00C71A21">
        <w:trPr>
          <w:trHeight w:val="453"/>
          <w:jc w:val="center"/>
        </w:trPr>
        <w:tc>
          <w:tcPr>
            <w:tcW w:w="3510" w:type="dxa"/>
          </w:tcPr>
          <w:p w14:paraId="31E5C70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7124E7C" w14:textId="77777777" w:rsidR="00F90CDC" w:rsidRPr="00F90CDC" w:rsidRDefault="00F90CDC" w:rsidP="00F90CDC">
            <w:pPr>
              <w:rPr>
                <w:b/>
                <w:vertAlign w:val="superscript"/>
              </w:rPr>
            </w:pPr>
            <w:r w:rsidRPr="00F90CDC">
              <w:rPr>
                <w:b/>
                <w:vertAlign w:val="superscript"/>
              </w:rPr>
              <w:t>(may be more than one)</w:t>
            </w:r>
          </w:p>
          <w:p w14:paraId="7459C230" w14:textId="77777777" w:rsidR="00F90CDC" w:rsidRPr="00F90CDC" w:rsidRDefault="00F90CDC" w:rsidP="00F90CDC">
            <w:pPr>
              <w:rPr>
                <w:b/>
                <w:vertAlign w:val="superscript"/>
              </w:rPr>
            </w:pPr>
          </w:p>
        </w:tc>
        <w:tc>
          <w:tcPr>
            <w:tcW w:w="6379" w:type="dxa"/>
          </w:tcPr>
          <w:p w14:paraId="327B8ECB" w14:textId="10BFD53E" w:rsidR="00BA5901" w:rsidRDefault="00C81D38" w:rsidP="00F90CDC">
            <w:r>
              <w:t xml:space="preserve">Simoa blood biomarkers tested </w:t>
            </w:r>
            <w:r w:rsidR="00CA2CB5">
              <w:t>the Quanterix Neuro</w:t>
            </w:r>
            <w:r w:rsidR="004A3948">
              <w:t xml:space="preserve">logy </w:t>
            </w:r>
            <w:r w:rsidR="00CA2CB5">
              <w:t>4</w:t>
            </w:r>
            <w:r w:rsidR="004A3948">
              <w:t>-</w:t>
            </w:r>
            <w:r w:rsidR="00CA2CB5">
              <w:t>P</w:t>
            </w:r>
            <w:r w:rsidR="004A3948">
              <w:t>l</w:t>
            </w:r>
            <w:r w:rsidR="00CA2CB5">
              <w:t>ex</w:t>
            </w:r>
            <w:r w:rsidR="004A3948">
              <w:t xml:space="preserve"> </w:t>
            </w:r>
            <w:r w:rsidR="00CA2CB5">
              <w:t xml:space="preserve">E </w:t>
            </w:r>
            <w:r w:rsidR="004A3948">
              <w:t xml:space="preserve">and ptau181V2 assays </w:t>
            </w:r>
            <w:r>
              <w:t xml:space="preserve">on phase 1 </w:t>
            </w:r>
            <w:r w:rsidR="004A3948">
              <w:t xml:space="preserve">and 2 </w:t>
            </w:r>
            <w:r>
              <w:t>plasma samples</w:t>
            </w:r>
            <w:r w:rsidR="004A3948">
              <w:t>, and phase 2 CSF samples</w:t>
            </w:r>
            <w:r>
              <w:t xml:space="preserve"> from the </w:t>
            </w:r>
            <w:r w:rsidR="00CA2CB5">
              <w:t>Insight 46 study</w:t>
            </w:r>
          </w:p>
        </w:tc>
      </w:tr>
    </w:tbl>
    <w:p w14:paraId="2885E2A6" w14:textId="77777777" w:rsidR="006562C0" w:rsidRDefault="006562C0" w:rsidP="00F90CDC">
      <w:pPr>
        <w:rPr>
          <w:b/>
          <w:bCs/>
        </w:rPr>
      </w:pPr>
    </w:p>
    <w:p w14:paraId="025C5837" w14:textId="5A1D139A" w:rsidR="00C835CE" w:rsidRDefault="00C835CE" w:rsidP="00F90CDC">
      <w:pPr>
        <w:rPr>
          <w:b/>
          <w:bCs/>
        </w:rPr>
      </w:pPr>
      <w:r w:rsidRPr="00C835CE">
        <w:rPr>
          <w:b/>
          <w:bCs/>
        </w:rPr>
        <w:t>Methods</w:t>
      </w:r>
    </w:p>
    <w:p w14:paraId="59A685BD" w14:textId="43E36578" w:rsidR="007E499F" w:rsidRPr="007E499F" w:rsidRDefault="007E499F" w:rsidP="00F90CDC">
      <w:pPr>
        <w:rPr>
          <w:u w:val="single"/>
        </w:rPr>
      </w:pPr>
      <w:r w:rsidRPr="007E499F">
        <w:rPr>
          <w:u w:val="single"/>
        </w:rPr>
        <w:t>General note</w:t>
      </w:r>
    </w:p>
    <w:p w14:paraId="5DF4A62D" w14:textId="77777777" w:rsidR="007E499F" w:rsidRDefault="007E499F" w:rsidP="007E499F">
      <w:pPr>
        <w:spacing w:after="0" w:line="240" w:lineRule="auto"/>
      </w:pPr>
      <w:r>
        <w:t>All measurements were conducted by the same researcher (Dr Ashvini Keshavan) on the same two automated HD-X analysers (Quanterix) at the UK DRI laboratory at UCL.</w:t>
      </w:r>
    </w:p>
    <w:p w14:paraId="0D980416" w14:textId="77777777" w:rsidR="007E499F" w:rsidRDefault="007E499F" w:rsidP="007E499F">
      <w:pPr>
        <w:spacing w:after="0" w:line="240" w:lineRule="auto"/>
      </w:pPr>
    </w:p>
    <w:p w14:paraId="1BE17D83" w14:textId="77777777" w:rsidR="007E499F" w:rsidRDefault="007E499F" w:rsidP="007E499F">
      <w:pPr>
        <w:spacing w:after="0" w:line="240" w:lineRule="auto"/>
      </w:pPr>
      <w:r>
        <w:t>For these blood biomarker variables, the code -99 indicates that no aliquot was available for testing so no quantification was performed.</w:t>
      </w:r>
    </w:p>
    <w:p w14:paraId="3498C2F0" w14:textId="77777777" w:rsidR="007E499F" w:rsidRDefault="007E499F" w:rsidP="007E499F">
      <w:pPr>
        <w:spacing w:after="0" w:line="240" w:lineRule="auto"/>
      </w:pPr>
    </w:p>
    <w:p w14:paraId="640CE687" w14:textId="09A4381E" w:rsidR="007E499F" w:rsidRDefault="007E499F" w:rsidP="007E499F">
      <w:pPr>
        <w:spacing w:after="0" w:line="240" w:lineRule="auto"/>
      </w:pPr>
      <w:r>
        <w:t>It is recommended that prior to making a request for any of these variables, researchers discuss the plan with Dr Ashvini Keshavan.</w:t>
      </w:r>
    </w:p>
    <w:p w14:paraId="053AD898" w14:textId="77777777" w:rsidR="007E499F" w:rsidRDefault="007E499F" w:rsidP="007E499F">
      <w:pPr>
        <w:spacing w:after="0" w:line="240" w:lineRule="auto"/>
      </w:pPr>
    </w:p>
    <w:p w14:paraId="6E17BC40" w14:textId="452E1C57" w:rsidR="007E499F" w:rsidRDefault="007E499F" w:rsidP="007E499F">
      <w:pPr>
        <w:spacing w:after="0" w:line="240" w:lineRule="auto"/>
        <w:rPr>
          <w:u w:val="single"/>
        </w:rPr>
      </w:pPr>
      <w:r w:rsidRPr="007E499F">
        <w:rPr>
          <w:u w:val="single"/>
        </w:rPr>
        <w:t>Age variable derivation</w:t>
      </w:r>
    </w:p>
    <w:p w14:paraId="08C734BB" w14:textId="77777777" w:rsidR="007E499F" w:rsidRDefault="007E499F" w:rsidP="007E499F">
      <w:pPr>
        <w:spacing w:after="0" w:line="240" w:lineRule="auto"/>
        <w:rPr>
          <w:u w:val="single"/>
        </w:rPr>
      </w:pPr>
    </w:p>
    <w:p w14:paraId="46D60F0F" w14:textId="0E011C19" w:rsidR="007E499F" w:rsidRDefault="007E499F" w:rsidP="007E499F">
      <w:pPr>
        <w:spacing w:after="0" w:line="240" w:lineRule="auto"/>
      </w:pPr>
      <w:r w:rsidRPr="007E499F">
        <w:t>Each of the three age variables</w:t>
      </w:r>
      <w:r>
        <w:t xml:space="preserve"> (Age_at_blood_p1, Age_at_blood_p2 and </w:t>
      </w:r>
      <w:r w:rsidR="003A30B8">
        <w:t>Age_at_CSF_p2) was derived by subtracting the participant date of birth from the date of sampling and then dividing the resulting value in days by 365.25 to obtain the age at sampling in years:</w:t>
      </w:r>
    </w:p>
    <w:p w14:paraId="145393FB" w14:textId="77777777" w:rsidR="003A30B8" w:rsidRDefault="003A30B8" w:rsidP="007E499F">
      <w:pPr>
        <w:spacing w:after="0" w:line="240" w:lineRule="auto"/>
      </w:pPr>
    </w:p>
    <w:p w14:paraId="49F145E3" w14:textId="1551139C" w:rsidR="003A30B8" w:rsidRDefault="003A30B8" w:rsidP="007E499F">
      <w:pPr>
        <w:spacing w:after="0" w:line="240" w:lineRule="auto"/>
      </w:pPr>
      <w:r>
        <w:t>Age_at_blood_p1 = (visit_date_p1 – dob)/365.25</w:t>
      </w:r>
    </w:p>
    <w:p w14:paraId="186A003F" w14:textId="6A316C6E" w:rsidR="003A30B8" w:rsidRDefault="003A30B8" w:rsidP="007E499F">
      <w:pPr>
        <w:spacing w:after="0" w:line="240" w:lineRule="auto"/>
      </w:pPr>
      <w:r>
        <w:t>Age_at_blood_p2 = (Date_blood_p2 – dob)/365.25</w:t>
      </w:r>
    </w:p>
    <w:p w14:paraId="14F2A1EF" w14:textId="0410B3D7" w:rsidR="003A30B8" w:rsidRDefault="003A30B8" w:rsidP="003A30B8">
      <w:pPr>
        <w:spacing w:after="0" w:line="240" w:lineRule="auto"/>
      </w:pPr>
      <w:r>
        <w:t>Age_at_CSF_p2 = (Date_CSF_p2 – dob)/365.25</w:t>
      </w:r>
    </w:p>
    <w:p w14:paraId="43EF3522" w14:textId="77777777" w:rsidR="003A30B8" w:rsidRPr="007E499F" w:rsidRDefault="003A30B8" w:rsidP="007E499F">
      <w:pPr>
        <w:spacing w:after="0" w:line="240" w:lineRule="auto"/>
      </w:pPr>
    </w:p>
    <w:p w14:paraId="16F70090" w14:textId="77777777" w:rsidR="007E499F" w:rsidRPr="007E499F" w:rsidRDefault="007E499F" w:rsidP="007E499F">
      <w:pPr>
        <w:spacing w:after="0" w:line="240" w:lineRule="auto"/>
      </w:pPr>
    </w:p>
    <w:p w14:paraId="7D3B8773" w14:textId="02588B6E" w:rsidR="00C835CE" w:rsidRDefault="00C835CE" w:rsidP="0030292B">
      <w:pPr>
        <w:spacing w:after="0" w:line="240" w:lineRule="auto"/>
        <w:rPr>
          <w:u w:val="single"/>
        </w:rPr>
      </w:pPr>
      <w:r w:rsidRPr="00C835CE">
        <w:rPr>
          <w:u w:val="single"/>
        </w:rPr>
        <w:t>EDTA plasma – samples from phases 1 and 2</w:t>
      </w:r>
    </w:p>
    <w:p w14:paraId="744531F1" w14:textId="77777777" w:rsidR="007E499F" w:rsidRPr="00C835CE" w:rsidRDefault="007E499F" w:rsidP="0030292B">
      <w:pPr>
        <w:spacing w:after="0" w:line="240" w:lineRule="auto"/>
        <w:rPr>
          <w:u w:val="single"/>
        </w:rPr>
      </w:pPr>
    </w:p>
    <w:p w14:paraId="239954C6" w14:textId="2B4FFE61" w:rsidR="00C835CE" w:rsidRDefault="002F00A4" w:rsidP="0030292B">
      <w:pPr>
        <w:spacing w:after="0" w:line="240" w:lineRule="auto"/>
      </w:pPr>
      <w:r w:rsidRPr="002F00A4">
        <w:t xml:space="preserve">EDTA plasma was obtained from non-fasted participants at Insight 46 Phase 1 </w:t>
      </w:r>
      <w:r w:rsidR="006B0041">
        <w:t xml:space="preserve">and phase 2 </w:t>
      </w:r>
      <w:r w:rsidRPr="002F00A4">
        <w:t>as previously described</w:t>
      </w:r>
      <w:r>
        <w:t xml:space="preserve"> (Keshavan et al. </w:t>
      </w:r>
      <w:r w:rsidRPr="003E080F">
        <w:rPr>
          <w:i/>
          <w:iCs/>
        </w:rPr>
        <w:t>Brain</w:t>
      </w:r>
      <w:r w:rsidRPr="002F00A4">
        <w:t xml:space="preserve"> </w:t>
      </w:r>
      <w:r>
        <w:t>2021</w:t>
      </w:r>
      <w:r w:rsidR="006B0041">
        <w:t>;</w:t>
      </w:r>
      <w:r>
        <w:t xml:space="preserve"> 144</w:t>
      </w:r>
      <w:r w:rsidR="006B0041">
        <w:t>:</w:t>
      </w:r>
      <w:r>
        <w:t xml:space="preserve"> 434-449)</w:t>
      </w:r>
      <w:r w:rsidR="00C835CE">
        <w:t>.</w:t>
      </w:r>
    </w:p>
    <w:p w14:paraId="1A268EBC" w14:textId="77777777" w:rsidR="00C835CE" w:rsidRDefault="00C835CE" w:rsidP="0030292B">
      <w:pPr>
        <w:spacing w:after="0" w:line="240" w:lineRule="auto"/>
      </w:pPr>
    </w:p>
    <w:p w14:paraId="444AA889" w14:textId="5FA9F88F" w:rsidR="00C835CE" w:rsidRDefault="002F00A4" w:rsidP="0030292B">
      <w:pPr>
        <w:spacing w:after="0" w:line="240" w:lineRule="auto"/>
      </w:pPr>
      <w:r>
        <w:t>Prior to analysis, a single 500 μL aliquot of plasma for each individual was thawed directly to room temperature over 1 hour and vortexed for 2 seconds to ensure thorough mixing.</w:t>
      </w:r>
      <w:r w:rsidR="00E13484" w:rsidRPr="00E13484">
        <w:t xml:space="preserve"> </w:t>
      </w:r>
      <w:r w:rsidR="004A3948">
        <w:t>3</w:t>
      </w:r>
      <w:r w:rsidR="00E13484">
        <w:t xml:space="preserve">00 μL was pipetted into a 1.5 ml </w:t>
      </w:r>
      <w:r w:rsidR="00C835CE">
        <w:t xml:space="preserve">low-bind </w:t>
      </w:r>
      <w:r w:rsidR="00E13484">
        <w:t xml:space="preserve">polypropylene centrifuge tube and centrifuged at 10 000 g for 10 minutes, as per the kit manufacturer’s recommendation; the remaining </w:t>
      </w:r>
      <w:r w:rsidR="004A3948">
        <w:t>2</w:t>
      </w:r>
      <w:r w:rsidR="00E13484">
        <w:t xml:space="preserve">00 μL </w:t>
      </w:r>
      <w:r w:rsidR="00C4340A">
        <w:t xml:space="preserve">in the original cryovial </w:t>
      </w:r>
      <w:r w:rsidR="00E13484">
        <w:t xml:space="preserve">was replaced into -80 ºC. After the </w:t>
      </w:r>
      <w:r w:rsidR="004A3948">
        <w:t>3</w:t>
      </w:r>
      <w:r w:rsidR="00E13484">
        <w:t xml:space="preserve">00 μL was centrifuged, 130 μL of the supernatant was pipetted onto </w:t>
      </w:r>
      <w:r w:rsidR="004A3948">
        <w:t>a</w:t>
      </w:r>
      <w:r w:rsidR="00E13484">
        <w:t xml:space="preserve"> plate for analysis</w:t>
      </w:r>
      <w:r w:rsidR="004A3948">
        <w:t xml:space="preserve"> using the </w:t>
      </w:r>
      <w:r w:rsidR="004A3948" w:rsidRPr="002F00A4">
        <w:t>Neuro 4-Plex E</w:t>
      </w:r>
      <w:r w:rsidR="004A3948">
        <w:t xml:space="preserve"> assay</w:t>
      </w:r>
      <w:r w:rsidR="004A3948" w:rsidRPr="002F00A4">
        <w:t xml:space="preserve"> </w:t>
      </w:r>
      <w:r w:rsidR="004A3948">
        <w:t>(</w:t>
      </w:r>
      <w:r w:rsidR="004A3948" w:rsidRPr="002F00A4">
        <w:t>Quanterix</w:t>
      </w:r>
      <w:r w:rsidR="004A3948">
        <w:t>) on a Simoa HD-X platform</w:t>
      </w:r>
      <w:r w:rsidR="00E13484">
        <w:t xml:space="preserve">. </w:t>
      </w:r>
      <w:r w:rsidR="00C835CE">
        <w:t>Another 130 μL of the supernatant was pipetted onto a separate plate for analysis using the ptau181V2 assay</w:t>
      </w:r>
      <w:r w:rsidR="00C835CE" w:rsidRPr="002F00A4">
        <w:t xml:space="preserve"> </w:t>
      </w:r>
      <w:r w:rsidR="00C835CE">
        <w:t>(</w:t>
      </w:r>
      <w:r w:rsidR="00C835CE" w:rsidRPr="002F00A4">
        <w:t>Quanterix</w:t>
      </w:r>
      <w:r w:rsidR="00C835CE">
        <w:t>) on a different Simoa HD-X platform.</w:t>
      </w:r>
      <w:r w:rsidR="00C835CE" w:rsidRPr="004A3948">
        <w:t xml:space="preserve"> </w:t>
      </w:r>
    </w:p>
    <w:p w14:paraId="0139015D" w14:textId="77777777" w:rsidR="00C835CE" w:rsidRDefault="00C835CE" w:rsidP="0030292B">
      <w:pPr>
        <w:spacing w:after="0" w:line="240" w:lineRule="auto"/>
      </w:pPr>
    </w:p>
    <w:p w14:paraId="3056A0F6" w14:textId="66512540" w:rsidR="006B0041" w:rsidRDefault="006B0041" w:rsidP="0030292B">
      <w:pPr>
        <w:spacing w:after="0" w:line="240" w:lineRule="auto"/>
      </w:pPr>
      <w:r>
        <w:t>C</w:t>
      </w:r>
      <w:r w:rsidR="002F00A4" w:rsidRPr="002F00A4">
        <w:t>oncentrations of neurofilament light-chain (NfL),</w:t>
      </w:r>
      <w:r w:rsidR="002F00A4">
        <w:t xml:space="preserve"> glial fibrillary acidic </w:t>
      </w:r>
      <w:r w:rsidR="002F00A4" w:rsidRPr="006B0041">
        <w:rPr>
          <w:szCs w:val="20"/>
        </w:rPr>
        <w:t>protein (GFAP), amyloid beta 40 (</w:t>
      </w:r>
      <w:r w:rsidR="002F00A4" w:rsidRPr="006B0041">
        <w:rPr>
          <w:rFonts w:cs="Calibri"/>
          <w:szCs w:val="20"/>
          <w:shd w:val="clear" w:color="auto" w:fill="FFFFFF"/>
        </w:rPr>
        <w:t>Aβ40) and amyloid beta 42 (Aβ42)</w:t>
      </w:r>
      <w:r w:rsidR="002F00A4" w:rsidRPr="006B0041">
        <w:rPr>
          <w:szCs w:val="20"/>
        </w:rPr>
        <w:t xml:space="preserve">, were quantified </w:t>
      </w:r>
      <w:r w:rsidR="004A3948" w:rsidRPr="006B0041">
        <w:rPr>
          <w:szCs w:val="20"/>
        </w:rPr>
        <w:t xml:space="preserve">by </w:t>
      </w:r>
      <w:r w:rsidR="00C835CE">
        <w:rPr>
          <w:szCs w:val="20"/>
        </w:rPr>
        <w:t>the Neuro 4-Plex E</w:t>
      </w:r>
      <w:r w:rsidR="004A3948">
        <w:t xml:space="preserve"> multiplex assay</w:t>
      </w:r>
      <w:r w:rsidR="00C835CE">
        <w:t xml:space="preserve">, and concentration of tau phosphorylated at serine 181 (p-tau181) </w:t>
      </w:r>
      <w:r w:rsidR="00C835CE">
        <w:lastRenderedPageBreak/>
        <w:t>were quantified by the ptau181V2 assay,</w:t>
      </w:r>
      <w:r w:rsidR="004A3948">
        <w:t xml:space="preserve"> </w:t>
      </w:r>
      <w:r w:rsidR="002F00A4" w:rsidRPr="002F00A4">
        <w:t>from Phase 1</w:t>
      </w:r>
      <w:r>
        <w:t xml:space="preserve"> and 2 plasma</w:t>
      </w:r>
      <w:r w:rsidR="002F00A4" w:rsidRPr="002F00A4">
        <w:t xml:space="preserve"> samples in singlicate</w:t>
      </w:r>
      <w:r w:rsidR="004A3948">
        <w:t xml:space="preserve">, </w:t>
      </w:r>
      <w:r w:rsidR="002F00A4" w:rsidRPr="002F00A4">
        <w:t>according to the manufacturer’s instructions</w:t>
      </w:r>
      <w:r w:rsidR="00E13484">
        <w:t>, with 4x in-line dilution</w:t>
      </w:r>
      <w:r w:rsidR="002F00A4" w:rsidRPr="002F00A4">
        <w:t xml:space="preserve">. </w:t>
      </w:r>
    </w:p>
    <w:p w14:paraId="2141AE2B" w14:textId="77777777" w:rsidR="006B0041" w:rsidRDefault="006B0041" w:rsidP="0030292B">
      <w:pPr>
        <w:spacing w:after="0" w:line="240" w:lineRule="auto"/>
      </w:pPr>
    </w:p>
    <w:p w14:paraId="0770EE4D" w14:textId="209DA4E8" w:rsidR="00C835CE" w:rsidRDefault="00C835CE" w:rsidP="0030292B">
      <w:pPr>
        <w:spacing w:after="0" w:line="240" w:lineRule="auto"/>
        <w:rPr>
          <w:u w:val="single"/>
        </w:rPr>
      </w:pPr>
      <w:r w:rsidRPr="00C65BDD">
        <w:rPr>
          <w:u w:val="single"/>
        </w:rPr>
        <w:t>CSF –</w:t>
      </w:r>
      <w:r w:rsidR="003723E3">
        <w:rPr>
          <w:u w:val="single"/>
        </w:rPr>
        <w:t xml:space="preserve"> </w:t>
      </w:r>
      <w:r w:rsidRPr="00C65BDD">
        <w:rPr>
          <w:u w:val="single"/>
        </w:rPr>
        <w:t>samples</w:t>
      </w:r>
      <w:r w:rsidR="003723E3">
        <w:rPr>
          <w:u w:val="single"/>
        </w:rPr>
        <w:t xml:space="preserve"> from phase 2</w:t>
      </w:r>
    </w:p>
    <w:p w14:paraId="34F7FE0D" w14:textId="77777777" w:rsidR="007E499F" w:rsidRPr="00C65BDD" w:rsidRDefault="007E499F" w:rsidP="0030292B">
      <w:pPr>
        <w:spacing w:after="0" w:line="240" w:lineRule="auto"/>
        <w:rPr>
          <w:u w:val="single"/>
        </w:rPr>
      </w:pPr>
    </w:p>
    <w:p w14:paraId="44F3936F" w14:textId="6BC7BD7A" w:rsidR="00C835CE" w:rsidRDefault="00C835CE" w:rsidP="0030292B">
      <w:pPr>
        <w:spacing w:after="0" w:line="240" w:lineRule="auto"/>
      </w:pPr>
      <w:r>
        <w:t xml:space="preserve">CSF was obtained </w:t>
      </w:r>
      <w:r w:rsidR="003723E3">
        <w:t xml:space="preserve">from non-fasted participants </w:t>
      </w:r>
      <w:r>
        <w:t xml:space="preserve">as previously described (Keshavan et al. </w:t>
      </w:r>
      <w:r w:rsidRPr="003E080F">
        <w:rPr>
          <w:i/>
          <w:iCs/>
        </w:rPr>
        <w:t>Alz Dem (Amst.)</w:t>
      </w:r>
      <w:r>
        <w:t xml:space="preserve"> </w:t>
      </w:r>
      <w:r w:rsidRPr="006B0041">
        <w:t>2021; 13:</w:t>
      </w:r>
      <w:r>
        <w:t xml:space="preserve"> </w:t>
      </w:r>
      <w:r w:rsidRPr="006B0041">
        <w:t>e12131</w:t>
      </w:r>
      <w:r>
        <w:t>)</w:t>
      </w:r>
      <w:r w:rsidRPr="006B0041">
        <w:t xml:space="preserve"> </w:t>
      </w:r>
      <w:r w:rsidRPr="002F00A4">
        <w:t>and stored at –80</w:t>
      </w:r>
      <w:r w:rsidRPr="002F00A4">
        <w:rPr>
          <w:rFonts w:ascii="Arial" w:hAnsi="Arial" w:cs="Arial"/>
        </w:rPr>
        <w:t> </w:t>
      </w:r>
      <w:r w:rsidRPr="002F00A4">
        <w:t xml:space="preserve">C within 60 min of sampling. </w:t>
      </w:r>
    </w:p>
    <w:p w14:paraId="2877F75C" w14:textId="77777777" w:rsidR="00C835CE" w:rsidRDefault="00C835CE" w:rsidP="0030292B">
      <w:pPr>
        <w:spacing w:after="0" w:line="240" w:lineRule="auto"/>
      </w:pPr>
    </w:p>
    <w:p w14:paraId="5D142268" w14:textId="2EC81018" w:rsidR="00C835CE" w:rsidRDefault="00C835CE" w:rsidP="0030292B">
      <w:pPr>
        <w:spacing w:after="0" w:line="240" w:lineRule="auto"/>
      </w:pPr>
      <w:r>
        <w:t>Prior to analysis, a single 500 μL aliquot of CSF for each individual was thawed directly to room temperature over 1 hour and vortexed for 2 seconds to ensure thorough mixing.</w:t>
      </w:r>
      <w:r w:rsidR="00C65BDD">
        <w:t xml:space="preserve"> For N4PE with 400x at bench dilution, 40 μL of CSF</w:t>
      </w:r>
      <w:r w:rsidR="00C65BDD" w:rsidRPr="00C65BDD">
        <w:t xml:space="preserve"> </w:t>
      </w:r>
      <w:r w:rsidR="00C65BDD">
        <w:t xml:space="preserve">was pipetted into a 1.5 ml low-bind polypropylene centrifuge tube containing 360 μL of N4PE sample diluent and vortexed. 250 μL of the diluted sample was pipetted onto a plate for analysis using the </w:t>
      </w:r>
      <w:r w:rsidR="00C65BDD" w:rsidRPr="002F00A4">
        <w:t>Neuro 4-Plex E</w:t>
      </w:r>
      <w:r w:rsidR="00C65BDD">
        <w:t xml:space="preserve"> assay</w:t>
      </w:r>
      <w:r w:rsidR="00C65BDD" w:rsidRPr="002F00A4">
        <w:t xml:space="preserve"> </w:t>
      </w:r>
      <w:r w:rsidR="00C65BDD">
        <w:t>(</w:t>
      </w:r>
      <w:r w:rsidR="00C65BDD" w:rsidRPr="002F00A4">
        <w:t>Quanterix</w:t>
      </w:r>
      <w:r w:rsidR="00C65BDD">
        <w:t>) on a Simoa HD-X platform. For ptau181V2 with 10x at bench dilution, 30 μL of CSF</w:t>
      </w:r>
      <w:r w:rsidR="00C65BDD" w:rsidRPr="00C65BDD">
        <w:t xml:space="preserve"> </w:t>
      </w:r>
      <w:r w:rsidR="00C65BDD">
        <w:t>was pipetted into a 1.5 ml low-bind polypropylene centrifuge tube containing 270 μL of ptau181V2 sample diluent and vortexed. 200 μL of the diluted sample was pipetted onto a plate for analysis using the ptau181V2 assay (Quanterix) on a different Simoa HD-X platform. Where possible, paired plasma and CSF from the same individuals were analysed on the same plates.</w:t>
      </w:r>
    </w:p>
    <w:p w14:paraId="7B65A27A" w14:textId="77777777" w:rsidR="00C835CE" w:rsidRDefault="00C835CE" w:rsidP="0030292B">
      <w:pPr>
        <w:spacing w:after="0" w:line="240" w:lineRule="auto"/>
      </w:pPr>
    </w:p>
    <w:p w14:paraId="06BEFC23" w14:textId="0448E429" w:rsidR="00C835CE" w:rsidRPr="00C835CE" w:rsidRDefault="00C835CE" w:rsidP="0030292B">
      <w:pPr>
        <w:spacing w:after="0" w:line="240" w:lineRule="auto"/>
        <w:rPr>
          <w:u w:val="single"/>
        </w:rPr>
      </w:pPr>
      <w:r w:rsidRPr="00C835CE">
        <w:rPr>
          <w:u w:val="single"/>
        </w:rPr>
        <w:t>Repeat measurements and freeze-thaw cycles</w:t>
      </w:r>
    </w:p>
    <w:p w14:paraId="5AB9CEE3" w14:textId="055D74BF" w:rsidR="00C4340A" w:rsidRDefault="004A3948" w:rsidP="0030292B">
      <w:pPr>
        <w:spacing w:after="0" w:line="240" w:lineRule="auto"/>
      </w:pPr>
      <w:r>
        <w:t>If the initial quantification</w:t>
      </w:r>
      <w:r w:rsidR="00C4340A">
        <w:t xml:space="preserve"> failed for a plasma sample, the same aliquot (with remaining approximately 200 μL having undergone one prior freeze-thaw cycle) was thawed again over 1 hour to room temperature and centrifuged in the original cryovial at 10 000 g for 10 minutes, then 130 μL of the supernatant was pipetted onto a plate for analysis</w:t>
      </w:r>
      <w:r w:rsidR="00B123C1">
        <w:t xml:space="preserve"> using the N4PE or ptau181v2</w:t>
      </w:r>
      <w:r w:rsidR="00C4340A">
        <w:t xml:space="preserve"> as above. </w:t>
      </w:r>
    </w:p>
    <w:p w14:paraId="30573836" w14:textId="77777777" w:rsidR="003723E3" w:rsidRDefault="003723E3" w:rsidP="0030292B">
      <w:pPr>
        <w:spacing w:after="0" w:line="240" w:lineRule="auto"/>
      </w:pPr>
    </w:p>
    <w:p w14:paraId="2C0B596E" w14:textId="59FDC667" w:rsidR="003723E3" w:rsidRDefault="003723E3" w:rsidP="0030292B">
      <w:pPr>
        <w:spacing w:after="0" w:line="240" w:lineRule="auto"/>
      </w:pPr>
      <w:r>
        <w:t>If the initial quantification of a CSF sample failed, the same original CSF aliquot (with remaining approximately 430 μL of CSF having undergone one previous freeze-thaw cycle) was thawed again over 1 hour to room temperature, vortexed for 2 seconds and the required volume for the N4PE or ptau181V2 assay pipetted out for on-bench dilution as per the procedure described above.</w:t>
      </w:r>
    </w:p>
    <w:p w14:paraId="30C42683" w14:textId="77777777" w:rsidR="0030292B" w:rsidRDefault="0030292B" w:rsidP="0030292B">
      <w:pPr>
        <w:spacing w:after="0" w:line="240" w:lineRule="auto"/>
      </w:pPr>
    </w:p>
    <w:p w14:paraId="223E82A7" w14:textId="171FC0CC" w:rsidR="00D50501" w:rsidRDefault="00D50501" w:rsidP="0030292B">
      <w:pPr>
        <w:spacing w:after="0" w:line="240" w:lineRule="auto"/>
      </w:pPr>
      <w:r>
        <w:t xml:space="preserve">By this method, </w:t>
      </w:r>
      <w:r w:rsidR="00B123C1">
        <w:t xml:space="preserve">12 </w:t>
      </w:r>
      <w:r w:rsidR="003723E3">
        <w:t>plasma</w:t>
      </w:r>
      <w:r w:rsidR="00B123C1">
        <w:t xml:space="preserve"> samples from phase 1, 12 plasma </w:t>
      </w:r>
      <w:r>
        <w:t>samples</w:t>
      </w:r>
      <w:r w:rsidR="00B123C1">
        <w:t xml:space="preserve"> from phase 2 and 2 CSF samples</w:t>
      </w:r>
      <w:r>
        <w:t xml:space="preserve"> </w:t>
      </w:r>
      <w:r w:rsidR="00B123C1">
        <w:t xml:space="preserve">from phase 2 </w:t>
      </w:r>
      <w:r>
        <w:t xml:space="preserve">analysed </w:t>
      </w:r>
      <w:r w:rsidR="0030292B">
        <w:t>using the N4PE assay</w:t>
      </w:r>
      <w:r>
        <w:t xml:space="preserve"> underwent</w:t>
      </w:r>
      <w:r w:rsidR="0030292B">
        <w:t xml:space="preserve"> </w:t>
      </w:r>
      <w:r w:rsidR="00B123C1">
        <w:t>two</w:t>
      </w:r>
      <w:r>
        <w:t xml:space="preserve"> freeze-thaw cycle</w:t>
      </w:r>
      <w:r w:rsidR="00B123C1">
        <w:t>s.</w:t>
      </w:r>
      <w:r>
        <w:t xml:space="preserve"> </w:t>
      </w:r>
      <w:r w:rsidR="00B123C1">
        <w:t>18</w:t>
      </w:r>
      <w:r>
        <w:t xml:space="preserve"> </w:t>
      </w:r>
      <w:r w:rsidR="004A2142">
        <w:t xml:space="preserve">plasma </w:t>
      </w:r>
      <w:r>
        <w:t>samples</w:t>
      </w:r>
      <w:r w:rsidR="00B123C1">
        <w:t xml:space="preserve"> from phase 1, 3 plasma samples from phase 2</w:t>
      </w:r>
      <w:r>
        <w:t xml:space="preserve"> </w:t>
      </w:r>
      <w:r w:rsidR="004A2142">
        <w:t xml:space="preserve">and </w:t>
      </w:r>
      <w:r w:rsidR="00B123C1">
        <w:t>1</w:t>
      </w:r>
      <w:r w:rsidR="004A2142">
        <w:t xml:space="preserve"> CSF sample</w:t>
      </w:r>
      <w:r w:rsidR="00B123C1">
        <w:t xml:space="preserve"> from phase 2</w:t>
      </w:r>
      <w:r w:rsidR="004A2142">
        <w:t xml:space="preserve"> </w:t>
      </w:r>
      <w:r>
        <w:t xml:space="preserve">analysed </w:t>
      </w:r>
      <w:r w:rsidR="0030292B">
        <w:t>using the ptau181V2 assay</w:t>
      </w:r>
      <w:r w:rsidR="00B123C1">
        <w:t xml:space="preserve"> underwent two freeze-thaw cycles</w:t>
      </w:r>
      <w:r>
        <w:t>. This procedure was</w:t>
      </w:r>
      <w:r w:rsidR="0030292B">
        <w:t xml:space="preserve"> </w:t>
      </w:r>
      <w:r>
        <w:t>deemed to be acceptable based on the evidence that up to four freeze-thaw</w:t>
      </w:r>
      <w:r w:rsidR="0030292B">
        <w:t xml:space="preserve"> </w:t>
      </w:r>
      <w:r>
        <w:t xml:space="preserve">cycles do not affect </w:t>
      </w:r>
      <w:r w:rsidR="00B123C1">
        <w:t xml:space="preserve">either the N4PE-measured biomarker concentrations or </w:t>
      </w:r>
      <w:r>
        <w:t xml:space="preserve">plasma </w:t>
      </w:r>
      <w:r w:rsidR="003E080F">
        <w:t xml:space="preserve">p-tau181 </w:t>
      </w:r>
      <w:r w:rsidR="004A2142">
        <w:t>concentrations</w:t>
      </w:r>
      <w:r w:rsidR="003E080F">
        <w:t xml:space="preserve"> on a different plasma p-tau181 assay on the MSD platform (Verberk et al. </w:t>
      </w:r>
      <w:r w:rsidR="003E080F" w:rsidRPr="003E080F">
        <w:rPr>
          <w:i/>
          <w:iCs/>
        </w:rPr>
        <w:t>Alz Dem</w:t>
      </w:r>
      <w:r w:rsidR="003E080F">
        <w:t xml:space="preserve"> 2021</w:t>
      </w:r>
      <w:r w:rsidR="003E080F" w:rsidRPr="003E080F">
        <w:t>;18(8):1484–1497</w:t>
      </w:r>
      <w:r w:rsidR="004A2142">
        <w:t>) and up to three freeze-thaw cycles do not affect measured CSF p-tau181</w:t>
      </w:r>
      <w:r w:rsidR="003723E3">
        <w:t xml:space="preserve"> or </w:t>
      </w:r>
      <w:r w:rsidR="003723E3" w:rsidRPr="006B0041">
        <w:rPr>
          <w:rFonts w:cs="Calibri"/>
          <w:szCs w:val="20"/>
          <w:shd w:val="clear" w:color="auto" w:fill="FFFFFF"/>
        </w:rPr>
        <w:t>Aβ42</w:t>
      </w:r>
      <w:r w:rsidR="004A2142">
        <w:t xml:space="preserve"> concentrations on a different assay </w:t>
      </w:r>
      <w:r w:rsidR="003723E3">
        <w:t xml:space="preserve">platform </w:t>
      </w:r>
      <w:r w:rsidR="004A2142">
        <w:t>(Innotest ELISA; Zimmermann et al. JAD 2011; 25: 739-745)</w:t>
      </w:r>
      <w:r w:rsidR="00B123C1">
        <w:t>.</w:t>
      </w:r>
    </w:p>
    <w:p w14:paraId="24242545" w14:textId="19B69CBD" w:rsidR="00D50501" w:rsidRDefault="00D50501" w:rsidP="0030292B">
      <w:pPr>
        <w:spacing w:after="0" w:line="240" w:lineRule="auto"/>
      </w:pPr>
    </w:p>
    <w:p w14:paraId="627D6CE5" w14:textId="6787C9A7" w:rsidR="00C835CE" w:rsidRDefault="00C835CE" w:rsidP="0030292B">
      <w:pPr>
        <w:spacing w:after="0" w:line="240" w:lineRule="auto"/>
        <w:rPr>
          <w:u w:val="single"/>
        </w:rPr>
      </w:pPr>
      <w:r w:rsidRPr="003723E3">
        <w:rPr>
          <w:u w:val="single"/>
        </w:rPr>
        <w:t>Control variation</w:t>
      </w:r>
    </w:p>
    <w:p w14:paraId="4F1B6619" w14:textId="77777777" w:rsidR="007E499F" w:rsidRPr="003723E3" w:rsidRDefault="007E499F" w:rsidP="0030292B">
      <w:pPr>
        <w:spacing w:after="0" w:line="240" w:lineRule="auto"/>
        <w:rPr>
          <w:u w:val="single"/>
        </w:rPr>
      </w:pPr>
    </w:p>
    <w:p w14:paraId="4A331020" w14:textId="1BF1ED37" w:rsidR="004A2142" w:rsidRDefault="00D50501" w:rsidP="002321B8">
      <w:pPr>
        <w:spacing w:after="0" w:line="240" w:lineRule="auto"/>
      </w:pPr>
      <w:r>
        <w:t xml:space="preserve">For each </w:t>
      </w:r>
      <w:r w:rsidR="002321B8">
        <w:t>assay</w:t>
      </w:r>
      <w:r>
        <w:t xml:space="preserve">, all </w:t>
      </w:r>
      <w:r w:rsidR="002321B8">
        <w:t>samples</w:t>
      </w:r>
      <w:r>
        <w:t xml:space="preserve"> were </w:t>
      </w:r>
      <w:r w:rsidR="002321B8">
        <w:t>tested</w:t>
      </w:r>
      <w:r>
        <w:t xml:space="preserve"> using the same batch of reagents</w:t>
      </w:r>
      <w:r w:rsidR="004A3948">
        <w:t xml:space="preserve">. </w:t>
      </w:r>
      <w:r>
        <w:t>Every plate was analysed according to its own calibrators (</w:t>
      </w:r>
      <w:r w:rsidR="002321B8">
        <w:t>provided with the kits)</w:t>
      </w:r>
      <w:r>
        <w:t>.</w:t>
      </w:r>
      <w:r w:rsidR="002321B8">
        <w:t xml:space="preserve"> Five pooled plasma controls </w:t>
      </w:r>
      <w:r w:rsidR="002321B8" w:rsidRPr="002321B8">
        <w:t>(made from remnants of samples provided kindly by Prof Henrik Zetterberg at the University of Gothenburg</w:t>
      </w:r>
      <w:r w:rsidR="00C614CE">
        <w:t xml:space="preserve"> and pooled according to their plasma NfL ranges)</w:t>
      </w:r>
      <w:r w:rsidR="002321B8" w:rsidRPr="002321B8">
        <w:t xml:space="preserve"> and two run validation controls provided with the kits were also assayed with every run. Plate acceptance criteria were set as at least 4 of 7 controls being within 1 standard deviation of the mean value, and all 14 plates (across 9 runs) met these criteria. Control mean values and coefficients of variation </w:t>
      </w:r>
      <w:r w:rsidR="002321B8">
        <w:t xml:space="preserve">(CV) </w:t>
      </w:r>
      <w:r w:rsidR="002321B8" w:rsidRPr="002321B8">
        <w:t>were as follows: </w:t>
      </w:r>
    </w:p>
    <w:p w14:paraId="4727F868" w14:textId="77777777" w:rsidR="002321B8" w:rsidRDefault="002321B8" w:rsidP="002321B8">
      <w:pPr>
        <w:spacing w:after="0" w:line="240" w:lineRule="auto"/>
      </w:pPr>
    </w:p>
    <w:tbl>
      <w:tblPr>
        <w:tblW w:w="85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34"/>
        <w:gridCol w:w="892"/>
        <w:gridCol w:w="567"/>
        <w:gridCol w:w="892"/>
        <w:gridCol w:w="567"/>
        <w:gridCol w:w="955"/>
        <w:gridCol w:w="567"/>
        <w:gridCol w:w="787"/>
        <w:gridCol w:w="567"/>
        <w:gridCol w:w="1093"/>
        <w:gridCol w:w="567"/>
      </w:tblGrid>
      <w:tr w:rsidR="00346818" w:rsidRPr="002321B8" w14:paraId="15F1A6C0" w14:textId="43CC2044"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6EB039" w14:textId="40488DEA" w:rsidR="00346818" w:rsidRPr="002321B8" w:rsidRDefault="00346818" w:rsidP="003723E3">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lastRenderedPageBreak/>
              <w:t>Control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6B4DBB" w14:textId="3A7925F2" w:rsidR="00346818" w:rsidRPr="002321B8" w:rsidRDefault="00346818" w:rsidP="003723E3">
            <w:pPr>
              <w:spacing w:after="0" w:line="240" w:lineRule="auto"/>
              <w:jc w:val="center"/>
              <w:textAlignment w:val="baseline"/>
              <w:rPr>
                <w:rFonts w:eastAsia="Times New Roman" w:cs="Segoe UI"/>
                <w:szCs w:val="20"/>
                <w:lang w:eastAsia="en-GB"/>
              </w:rPr>
            </w:pPr>
            <w:r w:rsidRPr="002321B8">
              <w:rPr>
                <w:rFonts w:eastAsia="Times New Roman" w:cs="Calibri Light"/>
                <w:szCs w:val="20"/>
                <w:lang w:eastAsia="en-GB"/>
              </w:rPr>
              <w:t>Mean NfL (pg/ml)</w:t>
            </w:r>
            <w:r w:rsidRPr="002321B8">
              <w:rPr>
                <w:rFonts w:eastAsia="Times New Roman" w:cs="Calibri Light"/>
                <w:szCs w:val="20"/>
                <w:lang w:val="en-US" w:eastAsia="en-GB"/>
              </w:rPr>
              <w:t>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1BC4C" w14:textId="54B189E2" w:rsidR="00346818" w:rsidRPr="002321B8" w:rsidRDefault="00346818" w:rsidP="003723E3">
            <w:pPr>
              <w:spacing w:after="0" w:line="240" w:lineRule="auto"/>
              <w:jc w:val="center"/>
              <w:textAlignment w:val="baseline"/>
              <w:rPr>
                <w:rFonts w:eastAsia="Times New Roman" w:cs="Segoe UI"/>
                <w:szCs w:val="20"/>
                <w:lang w:eastAsia="en-GB"/>
              </w:rPr>
            </w:pPr>
            <w:r>
              <w:rPr>
                <w:rFonts w:eastAsia="Times New Roman" w:cs="Calibri Light"/>
                <w:szCs w:val="20"/>
                <w:lang w:val="en-US" w:eastAsia="en-GB"/>
              </w:rPr>
              <w:t>CV</w:t>
            </w:r>
            <w:r w:rsidRPr="002321B8">
              <w:rPr>
                <w:rFonts w:eastAsia="Times New Roman" w:cs="Calibri Light"/>
                <w:szCs w:val="20"/>
                <w:lang w:val="en-US" w:eastAsia="en-GB"/>
              </w:rPr>
              <w:t xml:space="preserve"> (%) </w:t>
            </w:r>
          </w:p>
        </w:tc>
        <w:tc>
          <w:tcPr>
            <w:tcW w:w="892" w:type="dxa"/>
            <w:tcBorders>
              <w:top w:val="single" w:sz="6" w:space="0" w:color="000000"/>
              <w:left w:val="single" w:sz="6" w:space="0" w:color="000000"/>
              <w:bottom w:val="single" w:sz="6" w:space="0" w:color="000000"/>
              <w:right w:val="single" w:sz="6" w:space="0" w:color="000000"/>
            </w:tcBorders>
            <w:vAlign w:val="center"/>
          </w:tcPr>
          <w:p w14:paraId="2F20AB3A" w14:textId="3A037C31" w:rsidR="00346818" w:rsidRPr="002321B8" w:rsidRDefault="00346818" w:rsidP="003723E3">
            <w:pPr>
              <w:spacing w:after="0" w:line="240" w:lineRule="auto"/>
              <w:jc w:val="center"/>
              <w:textAlignment w:val="baseline"/>
              <w:rPr>
                <w:rFonts w:eastAsia="Times New Roman" w:cs="Calibri Light"/>
                <w:szCs w:val="20"/>
                <w:lang w:val="en-US" w:eastAsia="en-GB"/>
              </w:rPr>
            </w:pPr>
            <w:r w:rsidRPr="002321B8">
              <w:rPr>
                <w:rFonts w:eastAsia="Times New Roman" w:cs="Calibri Light"/>
                <w:szCs w:val="20"/>
                <w:lang w:eastAsia="en-GB"/>
              </w:rPr>
              <w:t xml:space="preserve">Mean </w:t>
            </w:r>
            <w:r>
              <w:rPr>
                <w:rFonts w:eastAsia="Times New Roman" w:cs="Calibri Light"/>
                <w:szCs w:val="20"/>
                <w:lang w:eastAsia="en-GB"/>
              </w:rPr>
              <w:t>GFAP</w:t>
            </w:r>
            <w:r w:rsidRPr="002321B8">
              <w:rPr>
                <w:rFonts w:eastAsia="Times New Roman" w:cs="Calibri Light"/>
                <w:szCs w:val="20"/>
                <w:lang w:eastAsia="en-GB"/>
              </w:rPr>
              <w:t xml:space="preserve"> (pg/ml)</w:t>
            </w:r>
            <w:r w:rsidRPr="002321B8">
              <w:rPr>
                <w:rFonts w:eastAsia="Times New Roman" w:cs="Calibri Light"/>
                <w:szCs w:val="20"/>
                <w:lang w:val="en-US" w:eastAsia="en-GB"/>
              </w:rPr>
              <w:t> </w:t>
            </w:r>
          </w:p>
        </w:tc>
        <w:tc>
          <w:tcPr>
            <w:tcW w:w="567" w:type="dxa"/>
            <w:tcBorders>
              <w:top w:val="single" w:sz="6" w:space="0" w:color="000000"/>
              <w:left w:val="single" w:sz="6" w:space="0" w:color="000000"/>
              <w:bottom w:val="single" w:sz="6" w:space="0" w:color="000000"/>
              <w:right w:val="single" w:sz="6" w:space="0" w:color="000000"/>
            </w:tcBorders>
            <w:vAlign w:val="center"/>
          </w:tcPr>
          <w:p w14:paraId="13558FD6" w14:textId="32C03C84"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w:t>
            </w:r>
            <w:r w:rsidRPr="002321B8">
              <w:rPr>
                <w:rFonts w:eastAsia="Times New Roman" w:cs="Calibri Light"/>
                <w:szCs w:val="20"/>
                <w:lang w:val="en-US" w:eastAsia="en-GB"/>
              </w:rPr>
              <w:t xml:space="preserve"> (%) </w:t>
            </w:r>
          </w:p>
        </w:tc>
        <w:tc>
          <w:tcPr>
            <w:tcW w:w="955" w:type="dxa"/>
            <w:tcBorders>
              <w:top w:val="single" w:sz="6" w:space="0" w:color="000000"/>
              <w:left w:val="single" w:sz="6" w:space="0" w:color="000000"/>
              <w:bottom w:val="single" w:sz="6" w:space="0" w:color="000000"/>
              <w:right w:val="single" w:sz="6" w:space="0" w:color="000000"/>
            </w:tcBorders>
            <w:vAlign w:val="center"/>
          </w:tcPr>
          <w:p w14:paraId="680EBBBE" w14:textId="13DE7031" w:rsidR="00346818" w:rsidRPr="002321B8" w:rsidRDefault="00346818" w:rsidP="003723E3">
            <w:pPr>
              <w:spacing w:after="0" w:line="240" w:lineRule="auto"/>
              <w:jc w:val="center"/>
              <w:textAlignment w:val="baseline"/>
              <w:rPr>
                <w:rFonts w:eastAsia="Times New Roman" w:cs="Calibri Light"/>
                <w:szCs w:val="20"/>
                <w:lang w:val="en-US" w:eastAsia="en-GB"/>
              </w:rPr>
            </w:pPr>
            <w:r w:rsidRPr="002321B8">
              <w:rPr>
                <w:rFonts w:eastAsia="Times New Roman" w:cs="Calibri Light"/>
                <w:szCs w:val="20"/>
                <w:lang w:eastAsia="en-GB"/>
              </w:rPr>
              <w:t xml:space="preserve">Mean </w:t>
            </w:r>
            <w:r>
              <w:rPr>
                <w:rFonts w:eastAsia="Times New Roman" w:cs="Calibri Light"/>
                <w:szCs w:val="20"/>
                <w:lang w:eastAsia="en-GB"/>
              </w:rPr>
              <w:t xml:space="preserve">Ab40 </w:t>
            </w:r>
            <w:r w:rsidRPr="002321B8">
              <w:rPr>
                <w:rFonts w:eastAsia="Times New Roman" w:cs="Calibri Light"/>
                <w:szCs w:val="20"/>
                <w:lang w:eastAsia="en-GB"/>
              </w:rPr>
              <w:t>(pg/ml)</w:t>
            </w:r>
            <w:r w:rsidRPr="002321B8">
              <w:rPr>
                <w:rFonts w:eastAsia="Times New Roman" w:cs="Calibri Light"/>
                <w:szCs w:val="20"/>
                <w:lang w:val="en-US" w:eastAsia="en-GB"/>
              </w:rPr>
              <w:t> </w:t>
            </w:r>
          </w:p>
        </w:tc>
        <w:tc>
          <w:tcPr>
            <w:tcW w:w="567" w:type="dxa"/>
            <w:tcBorders>
              <w:top w:val="single" w:sz="6" w:space="0" w:color="000000"/>
              <w:left w:val="single" w:sz="6" w:space="0" w:color="000000"/>
              <w:bottom w:val="single" w:sz="6" w:space="0" w:color="000000"/>
              <w:right w:val="single" w:sz="6" w:space="0" w:color="000000"/>
            </w:tcBorders>
            <w:vAlign w:val="center"/>
          </w:tcPr>
          <w:p w14:paraId="18456083" w14:textId="5782D247"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w:t>
            </w:r>
            <w:r w:rsidRPr="002321B8">
              <w:rPr>
                <w:rFonts w:eastAsia="Times New Roman" w:cs="Calibri Light"/>
                <w:szCs w:val="20"/>
                <w:lang w:val="en-US" w:eastAsia="en-GB"/>
              </w:rPr>
              <w:t xml:space="preserve"> (%) </w:t>
            </w:r>
          </w:p>
        </w:tc>
        <w:tc>
          <w:tcPr>
            <w:tcW w:w="787" w:type="dxa"/>
            <w:tcBorders>
              <w:top w:val="single" w:sz="6" w:space="0" w:color="000000"/>
              <w:left w:val="single" w:sz="6" w:space="0" w:color="000000"/>
              <w:bottom w:val="single" w:sz="6" w:space="0" w:color="000000"/>
              <w:right w:val="single" w:sz="6" w:space="0" w:color="000000"/>
            </w:tcBorders>
            <w:vAlign w:val="center"/>
          </w:tcPr>
          <w:p w14:paraId="56B4974C" w14:textId="149D7638"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Mean Ab42 (pg/ml)</w:t>
            </w:r>
          </w:p>
        </w:tc>
        <w:tc>
          <w:tcPr>
            <w:tcW w:w="567" w:type="dxa"/>
            <w:tcBorders>
              <w:top w:val="single" w:sz="6" w:space="0" w:color="000000"/>
              <w:left w:val="single" w:sz="6" w:space="0" w:color="000000"/>
              <w:bottom w:val="single" w:sz="6" w:space="0" w:color="000000"/>
              <w:right w:val="single" w:sz="6" w:space="0" w:color="000000"/>
            </w:tcBorders>
            <w:vAlign w:val="center"/>
          </w:tcPr>
          <w:p w14:paraId="691D2722" w14:textId="15AEDEB9" w:rsidR="00346818" w:rsidRPr="002321B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 (%)</w:t>
            </w:r>
          </w:p>
        </w:tc>
        <w:tc>
          <w:tcPr>
            <w:tcW w:w="1093" w:type="dxa"/>
            <w:tcBorders>
              <w:top w:val="single" w:sz="6" w:space="0" w:color="000000"/>
              <w:left w:val="single" w:sz="6" w:space="0" w:color="000000"/>
              <w:bottom w:val="single" w:sz="6" w:space="0" w:color="000000"/>
              <w:right w:val="single" w:sz="6" w:space="0" w:color="000000"/>
            </w:tcBorders>
            <w:vAlign w:val="center"/>
          </w:tcPr>
          <w:p w14:paraId="08FEB58F" w14:textId="1F088B5C" w:rsidR="0034681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Mean ptau181v2 (pg/ml)</w:t>
            </w:r>
          </w:p>
        </w:tc>
        <w:tc>
          <w:tcPr>
            <w:tcW w:w="567" w:type="dxa"/>
            <w:tcBorders>
              <w:top w:val="single" w:sz="6" w:space="0" w:color="000000"/>
              <w:left w:val="single" w:sz="6" w:space="0" w:color="000000"/>
              <w:bottom w:val="single" w:sz="6" w:space="0" w:color="000000"/>
              <w:right w:val="single" w:sz="6" w:space="0" w:color="000000"/>
            </w:tcBorders>
            <w:vAlign w:val="center"/>
          </w:tcPr>
          <w:p w14:paraId="2E87F529" w14:textId="453F6492" w:rsidR="00346818" w:rsidRDefault="00346818" w:rsidP="003723E3">
            <w:pPr>
              <w:spacing w:after="0" w:line="240" w:lineRule="auto"/>
              <w:jc w:val="center"/>
              <w:textAlignment w:val="baseline"/>
              <w:rPr>
                <w:rFonts w:eastAsia="Times New Roman" w:cs="Calibri Light"/>
                <w:szCs w:val="20"/>
                <w:lang w:val="en-US" w:eastAsia="en-GB"/>
              </w:rPr>
            </w:pPr>
            <w:r>
              <w:rPr>
                <w:rFonts w:eastAsia="Times New Roman" w:cs="Calibri Light"/>
                <w:szCs w:val="20"/>
                <w:lang w:val="en-US" w:eastAsia="en-GB"/>
              </w:rPr>
              <w:t>CV (%)</w:t>
            </w:r>
          </w:p>
        </w:tc>
      </w:tr>
      <w:tr w:rsidR="00C06C62" w:rsidRPr="002321B8" w14:paraId="085BBBDE" w14:textId="30D4E0F0"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7296BFE1"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1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4C1A6B" w14:textId="470B0CE1"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14.6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9E4221" w14:textId="0DF9DCA6"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21.9 </w:t>
            </w:r>
          </w:p>
        </w:tc>
        <w:tc>
          <w:tcPr>
            <w:tcW w:w="892" w:type="dxa"/>
            <w:tcBorders>
              <w:top w:val="single" w:sz="6" w:space="0" w:color="000000"/>
              <w:left w:val="single" w:sz="6" w:space="0" w:color="000000"/>
              <w:bottom w:val="single" w:sz="6" w:space="0" w:color="000000"/>
              <w:right w:val="single" w:sz="6" w:space="0" w:color="000000"/>
            </w:tcBorders>
            <w:vAlign w:val="center"/>
          </w:tcPr>
          <w:p w14:paraId="2CA707DE" w14:textId="6CE6B92D"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107</w:t>
            </w:r>
          </w:p>
        </w:tc>
        <w:tc>
          <w:tcPr>
            <w:tcW w:w="567" w:type="dxa"/>
            <w:tcBorders>
              <w:top w:val="single" w:sz="6" w:space="0" w:color="000000"/>
              <w:left w:val="single" w:sz="6" w:space="0" w:color="000000"/>
              <w:bottom w:val="single" w:sz="6" w:space="0" w:color="000000"/>
              <w:right w:val="single" w:sz="6" w:space="0" w:color="000000"/>
            </w:tcBorders>
            <w:vAlign w:val="center"/>
          </w:tcPr>
          <w:p w14:paraId="1EE58E97" w14:textId="7EB2426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32.0</w:t>
            </w:r>
          </w:p>
        </w:tc>
        <w:tc>
          <w:tcPr>
            <w:tcW w:w="955" w:type="dxa"/>
            <w:tcBorders>
              <w:top w:val="single" w:sz="6" w:space="0" w:color="000000"/>
              <w:left w:val="single" w:sz="6" w:space="0" w:color="000000"/>
              <w:bottom w:val="single" w:sz="6" w:space="0" w:color="000000"/>
              <w:right w:val="single" w:sz="6" w:space="0" w:color="000000"/>
            </w:tcBorders>
            <w:vAlign w:val="center"/>
          </w:tcPr>
          <w:p w14:paraId="293799AD" w14:textId="3F131D4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4.8</w:t>
            </w:r>
          </w:p>
        </w:tc>
        <w:tc>
          <w:tcPr>
            <w:tcW w:w="567" w:type="dxa"/>
            <w:tcBorders>
              <w:top w:val="single" w:sz="6" w:space="0" w:color="000000"/>
              <w:left w:val="single" w:sz="6" w:space="0" w:color="000000"/>
              <w:bottom w:val="single" w:sz="6" w:space="0" w:color="000000"/>
              <w:right w:val="single" w:sz="6" w:space="0" w:color="000000"/>
            </w:tcBorders>
            <w:vAlign w:val="center"/>
          </w:tcPr>
          <w:p w14:paraId="550F4FD9" w14:textId="584B198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23.4</w:t>
            </w:r>
          </w:p>
        </w:tc>
        <w:tc>
          <w:tcPr>
            <w:tcW w:w="787" w:type="dxa"/>
            <w:tcBorders>
              <w:top w:val="single" w:sz="6" w:space="0" w:color="000000"/>
              <w:left w:val="single" w:sz="6" w:space="0" w:color="000000"/>
              <w:bottom w:val="single" w:sz="6" w:space="0" w:color="000000"/>
              <w:right w:val="single" w:sz="6" w:space="0" w:color="000000"/>
            </w:tcBorders>
            <w:vAlign w:val="center"/>
          </w:tcPr>
          <w:p w14:paraId="436FB8BD" w14:textId="109565EC"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67.6</w:t>
            </w:r>
          </w:p>
        </w:tc>
        <w:tc>
          <w:tcPr>
            <w:tcW w:w="567" w:type="dxa"/>
            <w:tcBorders>
              <w:top w:val="single" w:sz="6" w:space="0" w:color="000000"/>
              <w:left w:val="single" w:sz="6" w:space="0" w:color="000000"/>
              <w:bottom w:val="single" w:sz="6" w:space="0" w:color="000000"/>
              <w:right w:val="single" w:sz="6" w:space="0" w:color="000000"/>
            </w:tcBorders>
            <w:vAlign w:val="center"/>
          </w:tcPr>
          <w:p w14:paraId="300EF597" w14:textId="488B0ECB"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37.4</w:t>
            </w:r>
          </w:p>
        </w:tc>
        <w:tc>
          <w:tcPr>
            <w:tcW w:w="1093" w:type="dxa"/>
            <w:tcBorders>
              <w:top w:val="single" w:sz="6" w:space="0" w:color="000000"/>
              <w:left w:val="single" w:sz="6" w:space="0" w:color="000000"/>
              <w:bottom w:val="single" w:sz="6" w:space="0" w:color="000000"/>
              <w:right w:val="single" w:sz="6" w:space="0" w:color="000000"/>
            </w:tcBorders>
            <w:vAlign w:val="center"/>
          </w:tcPr>
          <w:p w14:paraId="71C6361E" w14:textId="4A16A17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2.1</w:t>
            </w:r>
          </w:p>
        </w:tc>
        <w:tc>
          <w:tcPr>
            <w:tcW w:w="567" w:type="dxa"/>
            <w:tcBorders>
              <w:top w:val="single" w:sz="6" w:space="0" w:color="000000"/>
              <w:left w:val="single" w:sz="6" w:space="0" w:color="000000"/>
              <w:bottom w:val="single" w:sz="6" w:space="0" w:color="000000"/>
              <w:right w:val="single" w:sz="6" w:space="0" w:color="000000"/>
            </w:tcBorders>
            <w:vAlign w:val="center"/>
          </w:tcPr>
          <w:p w14:paraId="5C17226B" w14:textId="2462CF5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10.9</w:t>
            </w:r>
          </w:p>
        </w:tc>
      </w:tr>
      <w:tr w:rsidR="00C06C62" w:rsidRPr="002321B8" w14:paraId="72C938B2" w14:textId="7E9056EE"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4242D8E3"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2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8760DF" w14:textId="459275AA"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29.0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C0DC5" w14:textId="1EB8DECA"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6.5 </w:t>
            </w:r>
          </w:p>
        </w:tc>
        <w:tc>
          <w:tcPr>
            <w:tcW w:w="892" w:type="dxa"/>
            <w:tcBorders>
              <w:top w:val="single" w:sz="6" w:space="0" w:color="000000"/>
              <w:left w:val="single" w:sz="6" w:space="0" w:color="000000"/>
              <w:bottom w:val="single" w:sz="6" w:space="0" w:color="000000"/>
              <w:right w:val="single" w:sz="6" w:space="0" w:color="000000"/>
            </w:tcBorders>
            <w:vAlign w:val="center"/>
          </w:tcPr>
          <w:p w14:paraId="66CC6A45" w14:textId="16D8997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102</w:t>
            </w:r>
          </w:p>
        </w:tc>
        <w:tc>
          <w:tcPr>
            <w:tcW w:w="567" w:type="dxa"/>
            <w:tcBorders>
              <w:top w:val="single" w:sz="6" w:space="0" w:color="000000"/>
              <w:left w:val="single" w:sz="6" w:space="0" w:color="000000"/>
              <w:bottom w:val="single" w:sz="6" w:space="0" w:color="000000"/>
              <w:right w:val="single" w:sz="6" w:space="0" w:color="000000"/>
            </w:tcBorders>
            <w:vAlign w:val="center"/>
          </w:tcPr>
          <w:p w14:paraId="4B15BA40" w14:textId="17ABAA17"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10.9</w:t>
            </w:r>
          </w:p>
        </w:tc>
        <w:tc>
          <w:tcPr>
            <w:tcW w:w="955" w:type="dxa"/>
            <w:tcBorders>
              <w:top w:val="single" w:sz="6" w:space="0" w:color="000000"/>
              <w:left w:val="single" w:sz="6" w:space="0" w:color="000000"/>
              <w:bottom w:val="single" w:sz="6" w:space="0" w:color="000000"/>
              <w:right w:val="single" w:sz="6" w:space="0" w:color="000000"/>
            </w:tcBorders>
            <w:vAlign w:val="center"/>
          </w:tcPr>
          <w:p w14:paraId="3E6F1F56" w14:textId="2D7211B0"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3.8</w:t>
            </w:r>
          </w:p>
        </w:tc>
        <w:tc>
          <w:tcPr>
            <w:tcW w:w="567" w:type="dxa"/>
            <w:tcBorders>
              <w:top w:val="single" w:sz="6" w:space="0" w:color="000000"/>
              <w:left w:val="single" w:sz="6" w:space="0" w:color="000000"/>
              <w:bottom w:val="single" w:sz="6" w:space="0" w:color="000000"/>
              <w:right w:val="single" w:sz="6" w:space="0" w:color="000000"/>
            </w:tcBorders>
            <w:vAlign w:val="center"/>
          </w:tcPr>
          <w:p w14:paraId="48120600" w14:textId="541F6EC7"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9.4</w:t>
            </w:r>
          </w:p>
        </w:tc>
        <w:tc>
          <w:tcPr>
            <w:tcW w:w="787" w:type="dxa"/>
            <w:tcBorders>
              <w:top w:val="single" w:sz="6" w:space="0" w:color="000000"/>
              <w:left w:val="single" w:sz="6" w:space="0" w:color="000000"/>
              <w:bottom w:val="single" w:sz="6" w:space="0" w:color="000000"/>
              <w:right w:val="single" w:sz="6" w:space="0" w:color="000000"/>
            </w:tcBorders>
            <w:vAlign w:val="center"/>
          </w:tcPr>
          <w:p w14:paraId="4AB54522" w14:textId="5E393AC2"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51.7</w:t>
            </w:r>
          </w:p>
        </w:tc>
        <w:tc>
          <w:tcPr>
            <w:tcW w:w="567" w:type="dxa"/>
            <w:tcBorders>
              <w:top w:val="single" w:sz="6" w:space="0" w:color="000000"/>
              <w:left w:val="single" w:sz="6" w:space="0" w:color="000000"/>
              <w:bottom w:val="single" w:sz="6" w:space="0" w:color="000000"/>
              <w:right w:val="single" w:sz="6" w:space="0" w:color="000000"/>
            </w:tcBorders>
            <w:vAlign w:val="center"/>
          </w:tcPr>
          <w:p w14:paraId="2729F9C0" w14:textId="19C355D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8.5</w:t>
            </w:r>
          </w:p>
        </w:tc>
        <w:tc>
          <w:tcPr>
            <w:tcW w:w="1093" w:type="dxa"/>
            <w:tcBorders>
              <w:top w:val="single" w:sz="6" w:space="0" w:color="000000"/>
              <w:left w:val="single" w:sz="6" w:space="0" w:color="000000"/>
              <w:bottom w:val="single" w:sz="6" w:space="0" w:color="000000"/>
              <w:right w:val="single" w:sz="6" w:space="0" w:color="000000"/>
            </w:tcBorders>
            <w:vAlign w:val="center"/>
          </w:tcPr>
          <w:p w14:paraId="0263F687" w14:textId="34CB67B3"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2.7</w:t>
            </w:r>
          </w:p>
        </w:tc>
        <w:tc>
          <w:tcPr>
            <w:tcW w:w="567" w:type="dxa"/>
            <w:tcBorders>
              <w:top w:val="single" w:sz="6" w:space="0" w:color="000000"/>
              <w:left w:val="single" w:sz="6" w:space="0" w:color="000000"/>
              <w:bottom w:val="single" w:sz="6" w:space="0" w:color="000000"/>
              <w:right w:val="single" w:sz="6" w:space="0" w:color="000000"/>
            </w:tcBorders>
            <w:vAlign w:val="center"/>
          </w:tcPr>
          <w:p w14:paraId="4FF55B81" w14:textId="7DB8B33C"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10.1</w:t>
            </w:r>
          </w:p>
        </w:tc>
      </w:tr>
      <w:tr w:rsidR="00C06C62" w:rsidRPr="002321B8" w14:paraId="57641588" w14:textId="12C44221"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2C9107B7"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3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E1C57B" w14:textId="3547B1AB"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49.1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61DCE5" w14:textId="1A77AF23"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9.3 </w:t>
            </w:r>
          </w:p>
        </w:tc>
        <w:tc>
          <w:tcPr>
            <w:tcW w:w="892" w:type="dxa"/>
            <w:tcBorders>
              <w:top w:val="single" w:sz="6" w:space="0" w:color="000000"/>
              <w:left w:val="single" w:sz="6" w:space="0" w:color="000000"/>
              <w:bottom w:val="single" w:sz="6" w:space="0" w:color="000000"/>
              <w:right w:val="single" w:sz="6" w:space="0" w:color="000000"/>
            </w:tcBorders>
            <w:vAlign w:val="center"/>
          </w:tcPr>
          <w:p w14:paraId="08FFD652" w14:textId="5326799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190</w:t>
            </w:r>
          </w:p>
        </w:tc>
        <w:tc>
          <w:tcPr>
            <w:tcW w:w="567" w:type="dxa"/>
            <w:tcBorders>
              <w:top w:val="single" w:sz="6" w:space="0" w:color="000000"/>
              <w:left w:val="single" w:sz="6" w:space="0" w:color="000000"/>
              <w:bottom w:val="single" w:sz="6" w:space="0" w:color="000000"/>
              <w:right w:val="single" w:sz="6" w:space="0" w:color="000000"/>
            </w:tcBorders>
            <w:vAlign w:val="center"/>
          </w:tcPr>
          <w:p w14:paraId="59CDAE00" w14:textId="2FA9014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15.3</w:t>
            </w:r>
          </w:p>
        </w:tc>
        <w:tc>
          <w:tcPr>
            <w:tcW w:w="955" w:type="dxa"/>
            <w:tcBorders>
              <w:top w:val="single" w:sz="6" w:space="0" w:color="000000"/>
              <w:left w:val="single" w:sz="6" w:space="0" w:color="000000"/>
              <w:bottom w:val="single" w:sz="6" w:space="0" w:color="000000"/>
              <w:right w:val="single" w:sz="6" w:space="0" w:color="000000"/>
            </w:tcBorders>
            <w:vAlign w:val="center"/>
          </w:tcPr>
          <w:p w14:paraId="366BCBBA" w14:textId="3D6715F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3.7</w:t>
            </w:r>
          </w:p>
        </w:tc>
        <w:tc>
          <w:tcPr>
            <w:tcW w:w="567" w:type="dxa"/>
            <w:tcBorders>
              <w:top w:val="single" w:sz="6" w:space="0" w:color="000000"/>
              <w:left w:val="single" w:sz="6" w:space="0" w:color="000000"/>
              <w:bottom w:val="single" w:sz="6" w:space="0" w:color="000000"/>
              <w:right w:val="single" w:sz="6" w:space="0" w:color="000000"/>
            </w:tcBorders>
            <w:vAlign w:val="center"/>
          </w:tcPr>
          <w:p w14:paraId="60736407" w14:textId="54E9ADE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16.8</w:t>
            </w:r>
          </w:p>
        </w:tc>
        <w:tc>
          <w:tcPr>
            <w:tcW w:w="787" w:type="dxa"/>
            <w:tcBorders>
              <w:top w:val="single" w:sz="6" w:space="0" w:color="000000"/>
              <w:left w:val="single" w:sz="6" w:space="0" w:color="000000"/>
              <w:bottom w:val="single" w:sz="6" w:space="0" w:color="000000"/>
              <w:right w:val="single" w:sz="6" w:space="0" w:color="000000"/>
            </w:tcBorders>
            <w:vAlign w:val="center"/>
          </w:tcPr>
          <w:p w14:paraId="2A131D20" w14:textId="55EA5B8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60.8</w:t>
            </w:r>
          </w:p>
        </w:tc>
        <w:tc>
          <w:tcPr>
            <w:tcW w:w="567" w:type="dxa"/>
            <w:tcBorders>
              <w:top w:val="single" w:sz="6" w:space="0" w:color="000000"/>
              <w:left w:val="single" w:sz="6" w:space="0" w:color="000000"/>
              <w:bottom w:val="single" w:sz="6" w:space="0" w:color="000000"/>
              <w:right w:val="single" w:sz="6" w:space="0" w:color="000000"/>
            </w:tcBorders>
            <w:vAlign w:val="center"/>
          </w:tcPr>
          <w:p w14:paraId="3A511A02" w14:textId="7D3915E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10.6</w:t>
            </w:r>
          </w:p>
        </w:tc>
        <w:tc>
          <w:tcPr>
            <w:tcW w:w="1093" w:type="dxa"/>
            <w:tcBorders>
              <w:top w:val="single" w:sz="6" w:space="0" w:color="000000"/>
              <w:left w:val="single" w:sz="6" w:space="0" w:color="000000"/>
              <w:bottom w:val="single" w:sz="6" w:space="0" w:color="000000"/>
              <w:right w:val="single" w:sz="6" w:space="0" w:color="000000"/>
            </w:tcBorders>
            <w:vAlign w:val="center"/>
          </w:tcPr>
          <w:p w14:paraId="0E29A370" w14:textId="2D72698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2.6</w:t>
            </w:r>
          </w:p>
        </w:tc>
        <w:tc>
          <w:tcPr>
            <w:tcW w:w="567" w:type="dxa"/>
            <w:tcBorders>
              <w:top w:val="single" w:sz="6" w:space="0" w:color="000000"/>
              <w:left w:val="single" w:sz="6" w:space="0" w:color="000000"/>
              <w:bottom w:val="single" w:sz="6" w:space="0" w:color="000000"/>
              <w:right w:val="single" w:sz="6" w:space="0" w:color="000000"/>
            </w:tcBorders>
            <w:vAlign w:val="center"/>
          </w:tcPr>
          <w:p w14:paraId="6E6FC30C" w14:textId="31C1105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7.0</w:t>
            </w:r>
          </w:p>
        </w:tc>
      </w:tr>
      <w:tr w:rsidR="00C06C62" w:rsidRPr="002321B8" w14:paraId="5EBE80D9" w14:textId="509A8883"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359AE22A"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4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34458" w14:textId="7C868629"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69.1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C1AAB3" w14:textId="4FD5D8CA"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7.5 </w:t>
            </w:r>
          </w:p>
        </w:tc>
        <w:tc>
          <w:tcPr>
            <w:tcW w:w="892" w:type="dxa"/>
            <w:tcBorders>
              <w:top w:val="single" w:sz="6" w:space="0" w:color="000000"/>
              <w:left w:val="single" w:sz="6" w:space="0" w:color="000000"/>
              <w:bottom w:val="single" w:sz="6" w:space="0" w:color="000000"/>
              <w:right w:val="single" w:sz="6" w:space="0" w:color="000000"/>
            </w:tcBorders>
            <w:vAlign w:val="center"/>
          </w:tcPr>
          <w:p w14:paraId="08AA929F" w14:textId="6C6AADA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157</w:t>
            </w:r>
          </w:p>
        </w:tc>
        <w:tc>
          <w:tcPr>
            <w:tcW w:w="567" w:type="dxa"/>
            <w:tcBorders>
              <w:top w:val="single" w:sz="6" w:space="0" w:color="000000"/>
              <w:left w:val="single" w:sz="6" w:space="0" w:color="000000"/>
              <w:bottom w:val="single" w:sz="6" w:space="0" w:color="000000"/>
              <w:right w:val="single" w:sz="6" w:space="0" w:color="000000"/>
            </w:tcBorders>
            <w:vAlign w:val="center"/>
          </w:tcPr>
          <w:p w14:paraId="12C7900B" w14:textId="01A3FC1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12.1</w:t>
            </w:r>
          </w:p>
        </w:tc>
        <w:tc>
          <w:tcPr>
            <w:tcW w:w="955" w:type="dxa"/>
            <w:tcBorders>
              <w:top w:val="single" w:sz="6" w:space="0" w:color="000000"/>
              <w:left w:val="single" w:sz="6" w:space="0" w:color="000000"/>
              <w:bottom w:val="single" w:sz="6" w:space="0" w:color="000000"/>
              <w:right w:val="single" w:sz="6" w:space="0" w:color="000000"/>
            </w:tcBorders>
            <w:vAlign w:val="center"/>
          </w:tcPr>
          <w:p w14:paraId="08EA1A0F" w14:textId="052B8C3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3.8</w:t>
            </w:r>
          </w:p>
        </w:tc>
        <w:tc>
          <w:tcPr>
            <w:tcW w:w="567" w:type="dxa"/>
            <w:tcBorders>
              <w:top w:val="single" w:sz="6" w:space="0" w:color="000000"/>
              <w:left w:val="single" w:sz="6" w:space="0" w:color="000000"/>
              <w:bottom w:val="single" w:sz="6" w:space="0" w:color="000000"/>
              <w:right w:val="single" w:sz="6" w:space="0" w:color="000000"/>
            </w:tcBorders>
            <w:vAlign w:val="center"/>
          </w:tcPr>
          <w:p w14:paraId="17F66680" w14:textId="23C10FB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10.2</w:t>
            </w:r>
          </w:p>
        </w:tc>
        <w:tc>
          <w:tcPr>
            <w:tcW w:w="787" w:type="dxa"/>
            <w:tcBorders>
              <w:top w:val="single" w:sz="6" w:space="0" w:color="000000"/>
              <w:left w:val="single" w:sz="6" w:space="0" w:color="000000"/>
              <w:bottom w:val="single" w:sz="6" w:space="0" w:color="000000"/>
              <w:right w:val="single" w:sz="6" w:space="0" w:color="000000"/>
            </w:tcBorders>
            <w:vAlign w:val="center"/>
          </w:tcPr>
          <w:p w14:paraId="7391F727" w14:textId="305300A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48.4</w:t>
            </w:r>
          </w:p>
        </w:tc>
        <w:tc>
          <w:tcPr>
            <w:tcW w:w="567" w:type="dxa"/>
            <w:tcBorders>
              <w:top w:val="single" w:sz="6" w:space="0" w:color="000000"/>
              <w:left w:val="single" w:sz="6" w:space="0" w:color="000000"/>
              <w:bottom w:val="single" w:sz="6" w:space="0" w:color="000000"/>
              <w:right w:val="single" w:sz="6" w:space="0" w:color="000000"/>
            </w:tcBorders>
            <w:vAlign w:val="center"/>
          </w:tcPr>
          <w:p w14:paraId="41C39492" w14:textId="120AA6C0"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10.4</w:t>
            </w:r>
          </w:p>
        </w:tc>
        <w:tc>
          <w:tcPr>
            <w:tcW w:w="1093" w:type="dxa"/>
            <w:tcBorders>
              <w:top w:val="single" w:sz="6" w:space="0" w:color="000000"/>
              <w:left w:val="single" w:sz="6" w:space="0" w:color="000000"/>
              <w:bottom w:val="single" w:sz="6" w:space="0" w:color="000000"/>
              <w:right w:val="single" w:sz="6" w:space="0" w:color="000000"/>
            </w:tcBorders>
            <w:vAlign w:val="center"/>
          </w:tcPr>
          <w:p w14:paraId="5373EBAC" w14:textId="3FFCDD4D"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2.5</w:t>
            </w:r>
          </w:p>
        </w:tc>
        <w:tc>
          <w:tcPr>
            <w:tcW w:w="567" w:type="dxa"/>
            <w:tcBorders>
              <w:top w:val="single" w:sz="6" w:space="0" w:color="000000"/>
              <w:left w:val="single" w:sz="6" w:space="0" w:color="000000"/>
              <w:bottom w:val="single" w:sz="6" w:space="0" w:color="000000"/>
              <w:right w:val="single" w:sz="6" w:space="0" w:color="000000"/>
            </w:tcBorders>
            <w:vAlign w:val="center"/>
          </w:tcPr>
          <w:p w14:paraId="2124F669" w14:textId="569BAF2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13.8</w:t>
            </w:r>
          </w:p>
        </w:tc>
      </w:tr>
      <w:tr w:rsidR="00C06C62" w:rsidRPr="002321B8" w14:paraId="69F20C7F" w14:textId="220DD437"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4D61ED48"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Pooled plasma 5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D8C4F0" w14:textId="59EAAE00"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1054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080699" w14:textId="1B221011"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27.</w:t>
            </w:r>
            <w:r w:rsidRPr="00C06C62">
              <w:rPr>
                <w:rFonts w:eastAsia="Times New Roman" w:cs="Calibri Light"/>
                <w:szCs w:val="20"/>
                <w:lang w:val="en-US" w:eastAsia="en-GB"/>
              </w:rPr>
              <w:t>6</w:t>
            </w:r>
            <w:r w:rsidRPr="002321B8">
              <w:rPr>
                <w:rFonts w:eastAsia="Times New Roman" w:cs="Calibri Light"/>
                <w:szCs w:val="20"/>
                <w:lang w:val="en-US" w:eastAsia="en-GB"/>
              </w:rPr>
              <w:t> </w:t>
            </w:r>
          </w:p>
        </w:tc>
        <w:tc>
          <w:tcPr>
            <w:tcW w:w="892" w:type="dxa"/>
            <w:tcBorders>
              <w:top w:val="single" w:sz="6" w:space="0" w:color="000000"/>
              <w:left w:val="single" w:sz="6" w:space="0" w:color="000000"/>
              <w:bottom w:val="single" w:sz="6" w:space="0" w:color="000000"/>
              <w:right w:val="single" w:sz="6" w:space="0" w:color="000000"/>
            </w:tcBorders>
            <w:vAlign w:val="center"/>
          </w:tcPr>
          <w:p w14:paraId="13DC0085" w14:textId="5E9DD990"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229</w:t>
            </w:r>
          </w:p>
        </w:tc>
        <w:tc>
          <w:tcPr>
            <w:tcW w:w="567" w:type="dxa"/>
            <w:tcBorders>
              <w:top w:val="single" w:sz="6" w:space="0" w:color="000000"/>
              <w:left w:val="single" w:sz="6" w:space="0" w:color="000000"/>
              <w:bottom w:val="single" w:sz="6" w:space="0" w:color="000000"/>
              <w:right w:val="single" w:sz="6" w:space="0" w:color="000000"/>
            </w:tcBorders>
            <w:vAlign w:val="center"/>
          </w:tcPr>
          <w:p w14:paraId="7A0CB68B" w14:textId="0B0A76F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12.3</w:t>
            </w:r>
          </w:p>
        </w:tc>
        <w:tc>
          <w:tcPr>
            <w:tcW w:w="955" w:type="dxa"/>
            <w:tcBorders>
              <w:top w:val="single" w:sz="6" w:space="0" w:color="000000"/>
              <w:left w:val="single" w:sz="6" w:space="0" w:color="000000"/>
              <w:bottom w:val="single" w:sz="6" w:space="0" w:color="000000"/>
              <w:right w:val="single" w:sz="6" w:space="0" w:color="000000"/>
            </w:tcBorders>
            <w:vAlign w:val="center"/>
          </w:tcPr>
          <w:p w14:paraId="086673AA" w14:textId="51E6C8F8"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4.8</w:t>
            </w:r>
          </w:p>
        </w:tc>
        <w:tc>
          <w:tcPr>
            <w:tcW w:w="567" w:type="dxa"/>
            <w:tcBorders>
              <w:top w:val="single" w:sz="6" w:space="0" w:color="000000"/>
              <w:left w:val="single" w:sz="6" w:space="0" w:color="000000"/>
              <w:bottom w:val="single" w:sz="6" w:space="0" w:color="000000"/>
              <w:right w:val="single" w:sz="6" w:space="0" w:color="000000"/>
            </w:tcBorders>
            <w:vAlign w:val="center"/>
          </w:tcPr>
          <w:p w14:paraId="5D6FF07C" w14:textId="4084E467"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8.5</w:t>
            </w:r>
          </w:p>
        </w:tc>
        <w:tc>
          <w:tcPr>
            <w:tcW w:w="787" w:type="dxa"/>
            <w:tcBorders>
              <w:top w:val="single" w:sz="6" w:space="0" w:color="000000"/>
              <w:left w:val="single" w:sz="6" w:space="0" w:color="000000"/>
              <w:bottom w:val="single" w:sz="6" w:space="0" w:color="000000"/>
              <w:right w:val="single" w:sz="6" w:space="0" w:color="000000"/>
            </w:tcBorders>
            <w:vAlign w:val="center"/>
          </w:tcPr>
          <w:p w14:paraId="0F7AE397" w14:textId="54015AF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71.4</w:t>
            </w:r>
          </w:p>
        </w:tc>
        <w:tc>
          <w:tcPr>
            <w:tcW w:w="567" w:type="dxa"/>
            <w:tcBorders>
              <w:top w:val="single" w:sz="6" w:space="0" w:color="000000"/>
              <w:left w:val="single" w:sz="6" w:space="0" w:color="000000"/>
              <w:bottom w:val="single" w:sz="6" w:space="0" w:color="000000"/>
              <w:right w:val="single" w:sz="6" w:space="0" w:color="000000"/>
            </w:tcBorders>
            <w:vAlign w:val="center"/>
          </w:tcPr>
          <w:p w14:paraId="7879C196" w14:textId="3DABC71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12.4</w:t>
            </w:r>
          </w:p>
        </w:tc>
        <w:tc>
          <w:tcPr>
            <w:tcW w:w="1093" w:type="dxa"/>
            <w:tcBorders>
              <w:top w:val="single" w:sz="6" w:space="0" w:color="000000"/>
              <w:left w:val="single" w:sz="6" w:space="0" w:color="000000"/>
              <w:bottom w:val="single" w:sz="6" w:space="0" w:color="000000"/>
              <w:right w:val="single" w:sz="6" w:space="0" w:color="000000"/>
            </w:tcBorders>
            <w:vAlign w:val="center"/>
          </w:tcPr>
          <w:p w14:paraId="0793130F" w14:textId="71EDABB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11.3</w:t>
            </w:r>
          </w:p>
        </w:tc>
        <w:tc>
          <w:tcPr>
            <w:tcW w:w="567" w:type="dxa"/>
            <w:tcBorders>
              <w:top w:val="single" w:sz="6" w:space="0" w:color="000000"/>
              <w:left w:val="single" w:sz="6" w:space="0" w:color="000000"/>
              <w:bottom w:val="single" w:sz="6" w:space="0" w:color="000000"/>
              <w:right w:val="single" w:sz="6" w:space="0" w:color="000000"/>
            </w:tcBorders>
            <w:vAlign w:val="center"/>
          </w:tcPr>
          <w:p w14:paraId="304EC818" w14:textId="2D9AEF5E"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7.0</w:t>
            </w:r>
          </w:p>
        </w:tc>
      </w:tr>
      <w:tr w:rsidR="00C06C62" w:rsidRPr="002321B8" w14:paraId="759F3D84" w14:textId="595F098C"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05D65A14"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Run validation control 1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4A6100" w14:textId="04CF1C65"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23.3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77E529" w14:textId="1880F55B"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11.8 </w:t>
            </w:r>
          </w:p>
        </w:tc>
        <w:tc>
          <w:tcPr>
            <w:tcW w:w="892" w:type="dxa"/>
            <w:tcBorders>
              <w:top w:val="single" w:sz="6" w:space="0" w:color="000000"/>
              <w:left w:val="single" w:sz="6" w:space="0" w:color="000000"/>
              <w:bottom w:val="single" w:sz="6" w:space="0" w:color="000000"/>
              <w:right w:val="single" w:sz="6" w:space="0" w:color="000000"/>
            </w:tcBorders>
            <w:vAlign w:val="center"/>
          </w:tcPr>
          <w:p w14:paraId="7CD8080C" w14:textId="52128776"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175</w:t>
            </w:r>
          </w:p>
        </w:tc>
        <w:tc>
          <w:tcPr>
            <w:tcW w:w="567" w:type="dxa"/>
            <w:tcBorders>
              <w:top w:val="single" w:sz="6" w:space="0" w:color="000000"/>
              <w:left w:val="single" w:sz="6" w:space="0" w:color="000000"/>
              <w:bottom w:val="single" w:sz="6" w:space="0" w:color="000000"/>
              <w:right w:val="single" w:sz="6" w:space="0" w:color="000000"/>
            </w:tcBorders>
            <w:vAlign w:val="center"/>
          </w:tcPr>
          <w:p w14:paraId="06B9A49B" w14:textId="2B81AFB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16.6</w:t>
            </w:r>
          </w:p>
        </w:tc>
        <w:tc>
          <w:tcPr>
            <w:tcW w:w="955" w:type="dxa"/>
            <w:tcBorders>
              <w:top w:val="single" w:sz="6" w:space="0" w:color="000000"/>
              <w:left w:val="single" w:sz="6" w:space="0" w:color="000000"/>
              <w:bottom w:val="single" w:sz="6" w:space="0" w:color="000000"/>
              <w:right w:val="single" w:sz="6" w:space="0" w:color="000000"/>
            </w:tcBorders>
            <w:vAlign w:val="center"/>
          </w:tcPr>
          <w:p w14:paraId="350EED73" w14:textId="542ABDFC"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5.4</w:t>
            </w:r>
          </w:p>
        </w:tc>
        <w:tc>
          <w:tcPr>
            <w:tcW w:w="567" w:type="dxa"/>
            <w:tcBorders>
              <w:top w:val="single" w:sz="6" w:space="0" w:color="000000"/>
              <w:left w:val="single" w:sz="6" w:space="0" w:color="000000"/>
              <w:bottom w:val="single" w:sz="6" w:space="0" w:color="000000"/>
              <w:right w:val="single" w:sz="6" w:space="0" w:color="000000"/>
            </w:tcBorders>
            <w:vAlign w:val="center"/>
          </w:tcPr>
          <w:p w14:paraId="18B836A3" w14:textId="453B2619"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23.4</w:t>
            </w:r>
          </w:p>
        </w:tc>
        <w:tc>
          <w:tcPr>
            <w:tcW w:w="787" w:type="dxa"/>
            <w:tcBorders>
              <w:top w:val="single" w:sz="6" w:space="0" w:color="000000"/>
              <w:left w:val="single" w:sz="6" w:space="0" w:color="000000"/>
              <w:bottom w:val="single" w:sz="6" w:space="0" w:color="000000"/>
              <w:right w:val="single" w:sz="6" w:space="0" w:color="000000"/>
            </w:tcBorders>
            <w:vAlign w:val="center"/>
          </w:tcPr>
          <w:p w14:paraId="363C2DD4" w14:textId="29620D6B"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14.6</w:t>
            </w:r>
          </w:p>
        </w:tc>
        <w:tc>
          <w:tcPr>
            <w:tcW w:w="567" w:type="dxa"/>
            <w:tcBorders>
              <w:top w:val="single" w:sz="6" w:space="0" w:color="000000"/>
              <w:left w:val="single" w:sz="6" w:space="0" w:color="000000"/>
              <w:bottom w:val="single" w:sz="6" w:space="0" w:color="000000"/>
              <w:right w:val="single" w:sz="6" w:space="0" w:color="000000"/>
            </w:tcBorders>
            <w:vAlign w:val="center"/>
          </w:tcPr>
          <w:p w14:paraId="3DB6E1FA" w14:textId="02010E0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20.2</w:t>
            </w:r>
          </w:p>
        </w:tc>
        <w:tc>
          <w:tcPr>
            <w:tcW w:w="1093" w:type="dxa"/>
            <w:tcBorders>
              <w:top w:val="single" w:sz="6" w:space="0" w:color="000000"/>
              <w:left w:val="single" w:sz="6" w:space="0" w:color="000000"/>
              <w:bottom w:val="single" w:sz="6" w:space="0" w:color="000000"/>
              <w:right w:val="single" w:sz="6" w:space="0" w:color="000000"/>
            </w:tcBorders>
            <w:vAlign w:val="center"/>
          </w:tcPr>
          <w:p w14:paraId="2DFE2EFB" w14:textId="505D6298"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3.6</w:t>
            </w:r>
          </w:p>
        </w:tc>
        <w:tc>
          <w:tcPr>
            <w:tcW w:w="567" w:type="dxa"/>
            <w:tcBorders>
              <w:top w:val="single" w:sz="6" w:space="0" w:color="000000"/>
              <w:left w:val="single" w:sz="6" w:space="0" w:color="000000"/>
              <w:bottom w:val="single" w:sz="6" w:space="0" w:color="000000"/>
              <w:right w:val="single" w:sz="6" w:space="0" w:color="000000"/>
            </w:tcBorders>
            <w:vAlign w:val="center"/>
          </w:tcPr>
          <w:p w14:paraId="0B5D14F9" w14:textId="2BDDA338"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38.2</w:t>
            </w:r>
          </w:p>
        </w:tc>
      </w:tr>
      <w:tr w:rsidR="00C06C62" w:rsidRPr="002321B8" w14:paraId="6C9C96F2" w14:textId="0CFA5A5E" w:rsidTr="003723E3">
        <w:trPr>
          <w:trHeight w:val="285"/>
        </w:trPr>
        <w:tc>
          <w:tcPr>
            <w:tcW w:w="1134" w:type="dxa"/>
            <w:tcBorders>
              <w:top w:val="single" w:sz="6" w:space="0" w:color="000000"/>
              <w:left w:val="single" w:sz="6" w:space="0" w:color="000000"/>
              <w:bottom w:val="single" w:sz="6" w:space="0" w:color="000000"/>
              <w:right w:val="single" w:sz="6" w:space="0" w:color="000000"/>
            </w:tcBorders>
            <w:shd w:val="clear" w:color="auto" w:fill="auto"/>
            <w:hideMark/>
          </w:tcPr>
          <w:p w14:paraId="7907F92B" w14:textId="77777777" w:rsidR="00C06C62" w:rsidRPr="002321B8" w:rsidRDefault="00C06C62" w:rsidP="00C06C62">
            <w:pPr>
              <w:spacing w:after="0" w:line="240" w:lineRule="auto"/>
              <w:textAlignment w:val="baseline"/>
              <w:rPr>
                <w:rFonts w:eastAsia="Times New Roman" w:cs="Segoe UI"/>
                <w:szCs w:val="20"/>
                <w:lang w:eastAsia="en-GB"/>
              </w:rPr>
            </w:pPr>
            <w:r w:rsidRPr="002321B8">
              <w:rPr>
                <w:rFonts w:eastAsia="Times New Roman" w:cs="Calibri Light"/>
                <w:szCs w:val="20"/>
                <w:lang w:val="en-US" w:eastAsia="en-GB"/>
              </w:rPr>
              <w:t>Run validation control 2 </w:t>
            </w:r>
            <w:r w:rsidRPr="002321B8">
              <w:rPr>
                <w:rFonts w:eastAsia="Times New Roman" w:cs="Calibri Light"/>
                <w:szCs w:val="20"/>
                <w:lang w:eastAsia="en-GB"/>
              </w:rPr>
              <w:t> </w:t>
            </w:r>
          </w:p>
        </w:tc>
        <w:tc>
          <w:tcPr>
            <w:tcW w:w="89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EEEF5E" w14:textId="26517369"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519.4 </w:t>
            </w: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61AFA9" w14:textId="1DC54456" w:rsidR="00C06C62" w:rsidRPr="002321B8" w:rsidRDefault="00C06C62" w:rsidP="00C06C62">
            <w:pPr>
              <w:spacing w:after="0" w:line="240" w:lineRule="auto"/>
              <w:jc w:val="center"/>
              <w:textAlignment w:val="baseline"/>
              <w:rPr>
                <w:rFonts w:eastAsia="Times New Roman" w:cs="Segoe UI"/>
                <w:szCs w:val="20"/>
                <w:lang w:eastAsia="en-GB"/>
              </w:rPr>
            </w:pPr>
            <w:r w:rsidRPr="002321B8">
              <w:rPr>
                <w:rFonts w:eastAsia="Times New Roman" w:cs="Calibri Light"/>
                <w:szCs w:val="20"/>
                <w:lang w:val="en-US" w:eastAsia="en-GB"/>
              </w:rPr>
              <w:t>10.9 </w:t>
            </w:r>
          </w:p>
        </w:tc>
        <w:tc>
          <w:tcPr>
            <w:tcW w:w="892" w:type="dxa"/>
            <w:tcBorders>
              <w:top w:val="single" w:sz="6" w:space="0" w:color="000000"/>
              <w:left w:val="single" w:sz="6" w:space="0" w:color="000000"/>
              <w:bottom w:val="single" w:sz="6" w:space="0" w:color="000000"/>
              <w:right w:val="single" w:sz="6" w:space="0" w:color="000000"/>
            </w:tcBorders>
            <w:vAlign w:val="center"/>
          </w:tcPr>
          <w:p w14:paraId="7ECB8739" w14:textId="6A0E1A8F"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3768</w:t>
            </w:r>
          </w:p>
        </w:tc>
        <w:tc>
          <w:tcPr>
            <w:tcW w:w="567" w:type="dxa"/>
            <w:tcBorders>
              <w:top w:val="single" w:sz="6" w:space="0" w:color="000000"/>
              <w:left w:val="single" w:sz="6" w:space="0" w:color="000000"/>
              <w:bottom w:val="single" w:sz="6" w:space="0" w:color="000000"/>
              <w:right w:val="single" w:sz="6" w:space="0" w:color="000000"/>
            </w:tcBorders>
            <w:vAlign w:val="center"/>
          </w:tcPr>
          <w:p w14:paraId="610F8739" w14:textId="293E5B8E"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16.4</w:t>
            </w:r>
          </w:p>
        </w:tc>
        <w:tc>
          <w:tcPr>
            <w:tcW w:w="955" w:type="dxa"/>
            <w:tcBorders>
              <w:top w:val="single" w:sz="6" w:space="0" w:color="000000"/>
              <w:left w:val="single" w:sz="6" w:space="0" w:color="000000"/>
              <w:bottom w:val="single" w:sz="6" w:space="0" w:color="000000"/>
              <w:right w:val="single" w:sz="6" w:space="0" w:color="000000"/>
            </w:tcBorders>
            <w:vAlign w:val="center"/>
          </w:tcPr>
          <w:p w14:paraId="2E2C0F3B" w14:textId="238C939D"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28.2</w:t>
            </w:r>
          </w:p>
        </w:tc>
        <w:tc>
          <w:tcPr>
            <w:tcW w:w="567" w:type="dxa"/>
            <w:tcBorders>
              <w:top w:val="single" w:sz="6" w:space="0" w:color="000000"/>
              <w:left w:val="single" w:sz="6" w:space="0" w:color="000000"/>
              <w:bottom w:val="single" w:sz="6" w:space="0" w:color="000000"/>
              <w:right w:val="single" w:sz="6" w:space="0" w:color="000000"/>
            </w:tcBorders>
            <w:vAlign w:val="center"/>
          </w:tcPr>
          <w:p w14:paraId="6B511A61" w14:textId="09316F64"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7.9</w:t>
            </w:r>
          </w:p>
        </w:tc>
        <w:tc>
          <w:tcPr>
            <w:tcW w:w="787" w:type="dxa"/>
            <w:tcBorders>
              <w:top w:val="single" w:sz="6" w:space="0" w:color="000000"/>
              <w:left w:val="single" w:sz="6" w:space="0" w:color="000000"/>
              <w:bottom w:val="single" w:sz="6" w:space="0" w:color="000000"/>
              <w:right w:val="single" w:sz="6" w:space="0" w:color="000000"/>
            </w:tcBorders>
            <w:vAlign w:val="center"/>
          </w:tcPr>
          <w:p w14:paraId="4A8E0EC0" w14:textId="3ABCE2DE"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99.2</w:t>
            </w:r>
          </w:p>
        </w:tc>
        <w:tc>
          <w:tcPr>
            <w:tcW w:w="567" w:type="dxa"/>
            <w:tcBorders>
              <w:top w:val="single" w:sz="6" w:space="0" w:color="000000"/>
              <w:left w:val="single" w:sz="6" w:space="0" w:color="000000"/>
              <w:bottom w:val="single" w:sz="6" w:space="0" w:color="000000"/>
              <w:right w:val="single" w:sz="6" w:space="0" w:color="000000"/>
            </w:tcBorders>
            <w:vAlign w:val="center"/>
          </w:tcPr>
          <w:p w14:paraId="46D8AFAB" w14:textId="7D82F7A1"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20.1</w:t>
            </w:r>
          </w:p>
        </w:tc>
        <w:tc>
          <w:tcPr>
            <w:tcW w:w="1093" w:type="dxa"/>
            <w:tcBorders>
              <w:top w:val="single" w:sz="6" w:space="0" w:color="000000"/>
              <w:left w:val="single" w:sz="6" w:space="0" w:color="000000"/>
              <w:bottom w:val="single" w:sz="6" w:space="0" w:color="000000"/>
              <w:right w:val="single" w:sz="6" w:space="0" w:color="000000"/>
            </w:tcBorders>
            <w:vAlign w:val="center"/>
          </w:tcPr>
          <w:p w14:paraId="7B698DAE" w14:textId="041CB255"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99.7</w:t>
            </w:r>
          </w:p>
        </w:tc>
        <w:tc>
          <w:tcPr>
            <w:tcW w:w="567" w:type="dxa"/>
            <w:tcBorders>
              <w:top w:val="single" w:sz="6" w:space="0" w:color="000000"/>
              <w:left w:val="single" w:sz="6" w:space="0" w:color="000000"/>
              <w:bottom w:val="single" w:sz="6" w:space="0" w:color="000000"/>
              <w:right w:val="single" w:sz="6" w:space="0" w:color="000000"/>
            </w:tcBorders>
            <w:vAlign w:val="center"/>
          </w:tcPr>
          <w:p w14:paraId="1B6D3BA2" w14:textId="70CB6C6A" w:rsidR="00C06C62" w:rsidRPr="00C06C62" w:rsidRDefault="00C06C62" w:rsidP="00C06C62">
            <w:pPr>
              <w:spacing w:after="0" w:line="240" w:lineRule="auto"/>
              <w:jc w:val="center"/>
              <w:textAlignment w:val="baseline"/>
              <w:rPr>
                <w:rFonts w:eastAsia="Times New Roman" w:cs="Calibri Light"/>
                <w:szCs w:val="20"/>
                <w:lang w:val="en-US" w:eastAsia="en-GB"/>
              </w:rPr>
            </w:pPr>
            <w:r w:rsidRPr="00C06C62">
              <w:rPr>
                <w:rFonts w:cs="Calibri"/>
                <w:color w:val="000000"/>
              </w:rPr>
              <w:t>77.7</w:t>
            </w:r>
          </w:p>
        </w:tc>
      </w:tr>
    </w:tbl>
    <w:p w14:paraId="137886F0" w14:textId="77777777" w:rsidR="002321B8" w:rsidRDefault="002321B8" w:rsidP="002321B8">
      <w:pPr>
        <w:spacing w:after="0" w:line="240" w:lineRule="auto"/>
      </w:pPr>
    </w:p>
    <w:p w14:paraId="7787966C" w14:textId="77777777" w:rsidR="002321B8" w:rsidRDefault="002321B8" w:rsidP="002321B8">
      <w:pPr>
        <w:spacing w:after="0" w:line="240" w:lineRule="auto"/>
      </w:pPr>
    </w:p>
    <w:p w14:paraId="249FCD8F" w14:textId="77777777" w:rsidR="002321B8" w:rsidRDefault="002321B8" w:rsidP="002321B8">
      <w:pPr>
        <w:spacing w:after="0" w:line="240" w:lineRule="auto"/>
      </w:pPr>
    </w:p>
    <w:p w14:paraId="67ED9C1B" w14:textId="77777777" w:rsidR="00C81D38" w:rsidRDefault="00C81D38" w:rsidP="0030292B">
      <w:pPr>
        <w:spacing w:after="0" w:line="240" w:lineRule="auto"/>
      </w:pPr>
    </w:p>
    <w:p w14:paraId="3F3FBDE9" w14:textId="77777777" w:rsidR="00C32753" w:rsidRPr="00237780" w:rsidRDefault="00C32753" w:rsidP="00F90CDC"/>
    <w:sectPr w:rsidR="00C32753"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A459A2"/>
    <w:multiLevelType w:val="hybridMultilevel"/>
    <w:tmpl w:val="D19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849A9"/>
    <w:multiLevelType w:val="hybridMultilevel"/>
    <w:tmpl w:val="34B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113B6B"/>
    <w:multiLevelType w:val="hybridMultilevel"/>
    <w:tmpl w:val="66A0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D17AB"/>
    <w:multiLevelType w:val="hybridMultilevel"/>
    <w:tmpl w:val="70225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206E6"/>
    <w:rsid w:val="000F182E"/>
    <w:rsid w:val="001C29D0"/>
    <w:rsid w:val="001C469B"/>
    <w:rsid w:val="00226920"/>
    <w:rsid w:val="002276F8"/>
    <w:rsid w:val="002321B8"/>
    <w:rsid w:val="00237780"/>
    <w:rsid w:val="002F00A4"/>
    <w:rsid w:val="0030292B"/>
    <w:rsid w:val="00303C86"/>
    <w:rsid w:val="00314B30"/>
    <w:rsid w:val="00346818"/>
    <w:rsid w:val="003723E3"/>
    <w:rsid w:val="003A30B8"/>
    <w:rsid w:val="003E080F"/>
    <w:rsid w:val="00472B1E"/>
    <w:rsid w:val="004A2142"/>
    <w:rsid w:val="004A3948"/>
    <w:rsid w:val="004D1FF9"/>
    <w:rsid w:val="005905F6"/>
    <w:rsid w:val="006337F5"/>
    <w:rsid w:val="00646697"/>
    <w:rsid w:val="006562C0"/>
    <w:rsid w:val="006741EE"/>
    <w:rsid w:val="006B0041"/>
    <w:rsid w:val="00745FC7"/>
    <w:rsid w:val="007E499F"/>
    <w:rsid w:val="008542EC"/>
    <w:rsid w:val="00857C7E"/>
    <w:rsid w:val="00923613"/>
    <w:rsid w:val="00976E2C"/>
    <w:rsid w:val="009C26C4"/>
    <w:rsid w:val="009D52B2"/>
    <w:rsid w:val="00A06783"/>
    <w:rsid w:val="00A24279"/>
    <w:rsid w:val="00A25719"/>
    <w:rsid w:val="00B123C1"/>
    <w:rsid w:val="00BA5901"/>
    <w:rsid w:val="00C06C62"/>
    <w:rsid w:val="00C15A53"/>
    <w:rsid w:val="00C32753"/>
    <w:rsid w:val="00C4340A"/>
    <w:rsid w:val="00C614CE"/>
    <w:rsid w:val="00C65BDD"/>
    <w:rsid w:val="00C71A21"/>
    <w:rsid w:val="00C81D38"/>
    <w:rsid w:val="00C835CE"/>
    <w:rsid w:val="00CA2CB5"/>
    <w:rsid w:val="00CD74AD"/>
    <w:rsid w:val="00D16E36"/>
    <w:rsid w:val="00D50501"/>
    <w:rsid w:val="00DA2752"/>
    <w:rsid w:val="00E02A1B"/>
    <w:rsid w:val="00E13484"/>
    <w:rsid w:val="00E94014"/>
    <w:rsid w:val="00EE1F7C"/>
    <w:rsid w:val="00F90CDC"/>
    <w:rsid w:val="00F919E3"/>
    <w:rsid w:val="00F956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64E"/>
  <w15:docId w15:val="{5A295359-F75F-0C48-BE75-466B90BE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customStyle="1" w:styleId="paragraph">
    <w:name w:val="paragraph"/>
    <w:basedOn w:val="Normal"/>
    <w:rsid w:val="002321B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2321B8"/>
  </w:style>
  <w:style w:type="character" w:customStyle="1" w:styleId="eop">
    <w:name w:val="eop"/>
    <w:basedOn w:val="DefaultParagraphFont"/>
    <w:rsid w:val="00232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394535">
      <w:bodyDiv w:val="1"/>
      <w:marLeft w:val="0"/>
      <w:marRight w:val="0"/>
      <w:marTop w:val="0"/>
      <w:marBottom w:val="0"/>
      <w:divBdr>
        <w:top w:val="none" w:sz="0" w:space="0" w:color="auto"/>
        <w:left w:val="none" w:sz="0" w:space="0" w:color="auto"/>
        <w:bottom w:val="none" w:sz="0" w:space="0" w:color="auto"/>
        <w:right w:val="none" w:sz="0" w:space="0" w:color="auto"/>
      </w:divBdr>
    </w:div>
    <w:div w:id="1830320761">
      <w:bodyDiv w:val="1"/>
      <w:marLeft w:val="0"/>
      <w:marRight w:val="0"/>
      <w:marTop w:val="0"/>
      <w:marBottom w:val="0"/>
      <w:divBdr>
        <w:top w:val="none" w:sz="0" w:space="0" w:color="auto"/>
        <w:left w:val="none" w:sz="0" w:space="0" w:color="auto"/>
        <w:bottom w:val="none" w:sz="0" w:space="0" w:color="auto"/>
        <w:right w:val="none" w:sz="0" w:space="0" w:color="auto"/>
      </w:divBdr>
      <w:divsChild>
        <w:div w:id="1020737156">
          <w:marLeft w:val="0"/>
          <w:marRight w:val="0"/>
          <w:marTop w:val="0"/>
          <w:marBottom w:val="0"/>
          <w:divBdr>
            <w:top w:val="none" w:sz="0" w:space="0" w:color="auto"/>
            <w:left w:val="none" w:sz="0" w:space="0" w:color="auto"/>
            <w:bottom w:val="none" w:sz="0" w:space="0" w:color="auto"/>
            <w:right w:val="none" w:sz="0" w:space="0" w:color="auto"/>
          </w:divBdr>
          <w:divsChild>
            <w:div w:id="508444261">
              <w:marLeft w:val="0"/>
              <w:marRight w:val="0"/>
              <w:marTop w:val="0"/>
              <w:marBottom w:val="0"/>
              <w:divBdr>
                <w:top w:val="none" w:sz="0" w:space="0" w:color="auto"/>
                <w:left w:val="none" w:sz="0" w:space="0" w:color="auto"/>
                <w:bottom w:val="none" w:sz="0" w:space="0" w:color="auto"/>
                <w:right w:val="none" w:sz="0" w:space="0" w:color="auto"/>
              </w:divBdr>
            </w:div>
          </w:divsChild>
        </w:div>
        <w:div w:id="1221868101">
          <w:marLeft w:val="0"/>
          <w:marRight w:val="0"/>
          <w:marTop w:val="0"/>
          <w:marBottom w:val="0"/>
          <w:divBdr>
            <w:top w:val="none" w:sz="0" w:space="0" w:color="auto"/>
            <w:left w:val="none" w:sz="0" w:space="0" w:color="auto"/>
            <w:bottom w:val="none" w:sz="0" w:space="0" w:color="auto"/>
            <w:right w:val="none" w:sz="0" w:space="0" w:color="auto"/>
          </w:divBdr>
          <w:divsChild>
            <w:div w:id="190997573">
              <w:marLeft w:val="0"/>
              <w:marRight w:val="0"/>
              <w:marTop w:val="0"/>
              <w:marBottom w:val="0"/>
              <w:divBdr>
                <w:top w:val="none" w:sz="0" w:space="0" w:color="auto"/>
                <w:left w:val="none" w:sz="0" w:space="0" w:color="auto"/>
                <w:bottom w:val="none" w:sz="0" w:space="0" w:color="auto"/>
                <w:right w:val="none" w:sz="0" w:space="0" w:color="auto"/>
              </w:divBdr>
            </w:div>
          </w:divsChild>
        </w:div>
        <w:div w:id="358245285">
          <w:marLeft w:val="0"/>
          <w:marRight w:val="0"/>
          <w:marTop w:val="0"/>
          <w:marBottom w:val="0"/>
          <w:divBdr>
            <w:top w:val="none" w:sz="0" w:space="0" w:color="auto"/>
            <w:left w:val="none" w:sz="0" w:space="0" w:color="auto"/>
            <w:bottom w:val="none" w:sz="0" w:space="0" w:color="auto"/>
            <w:right w:val="none" w:sz="0" w:space="0" w:color="auto"/>
          </w:divBdr>
          <w:divsChild>
            <w:div w:id="2144694017">
              <w:marLeft w:val="0"/>
              <w:marRight w:val="0"/>
              <w:marTop w:val="0"/>
              <w:marBottom w:val="0"/>
              <w:divBdr>
                <w:top w:val="none" w:sz="0" w:space="0" w:color="auto"/>
                <w:left w:val="none" w:sz="0" w:space="0" w:color="auto"/>
                <w:bottom w:val="none" w:sz="0" w:space="0" w:color="auto"/>
                <w:right w:val="none" w:sz="0" w:space="0" w:color="auto"/>
              </w:divBdr>
            </w:div>
          </w:divsChild>
        </w:div>
        <w:div w:id="540752961">
          <w:marLeft w:val="0"/>
          <w:marRight w:val="0"/>
          <w:marTop w:val="0"/>
          <w:marBottom w:val="0"/>
          <w:divBdr>
            <w:top w:val="none" w:sz="0" w:space="0" w:color="auto"/>
            <w:left w:val="none" w:sz="0" w:space="0" w:color="auto"/>
            <w:bottom w:val="none" w:sz="0" w:space="0" w:color="auto"/>
            <w:right w:val="none" w:sz="0" w:space="0" w:color="auto"/>
          </w:divBdr>
          <w:divsChild>
            <w:div w:id="1399867885">
              <w:marLeft w:val="0"/>
              <w:marRight w:val="0"/>
              <w:marTop w:val="0"/>
              <w:marBottom w:val="0"/>
              <w:divBdr>
                <w:top w:val="none" w:sz="0" w:space="0" w:color="auto"/>
                <w:left w:val="none" w:sz="0" w:space="0" w:color="auto"/>
                <w:bottom w:val="none" w:sz="0" w:space="0" w:color="auto"/>
                <w:right w:val="none" w:sz="0" w:space="0" w:color="auto"/>
              </w:divBdr>
            </w:div>
          </w:divsChild>
        </w:div>
        <w:div w:id="209192132">
          <w:marLeft w:val="0"/>
          <w:marRight w:val="0"/>
          <w:marTop w:val="0"/>
          <w:marBottom w:val="0"/>
          <w:divBdr>
            <w:top w:val="none" w:sz="0" w:space="0" w:color="auto"/>
            <w:left w:val="none" w:sz="0" w:space="0" w:color="auto"/>
            <w:bottom w:val="none" w:sz="0" w:space="0" w:color="auto"/>
            <w:right w:val="none" w:sz="0" w:space="0" w:color="auto"/>
          </w:divBdr>
          <w:divsChild>
            <w:div w:id="313880347">
              <w:marLeft w:val="0"/>
              <w:marRight w:val="0"/>
              <w:marTop w:val="0"/>
              <w:marBottom w:val="0"/>
              <w:divBdr>
                <w:top w:val="none" w:sz="0" w:space="0" w:color="auto"/>
                <w:left w:val="none" w:sz="0" w:space="0" w:color="auto"/>
                <w:bottom w:val="none" w:sz="0" w:space="0" w:color="auto"/>
                <w:right w:val="none" w:sz="0" w:space="0" w:color="auto"/>
              </w:divBdr>
            </w:div>
          </w:divsChild>
        </w:div>
        <w:div w:id="281310050">
          <w:marLeft w:val="0"/>
          <w:marRight w:val="0"/>
          <w:marTop w:val="0"/>
          <w:marBottom w:val="0"/>
          <w:divBdr>
            <w:top w:val="none" w:sz="0" w:space="0" w:color="auto"/>
            <w:left w:val="none" w:sz="0" w:space="0" w:color="auto"/>
            <w:bottom w:val="none" w:sz="0" w:space="0" w:color="auto"/>
            <w:right w:val="none" w:sz="0" w:space="0" w:color="auto"/>
          </w:divBdr>
          <w:divsChild>
            <w:div w:id="1386951590">
              <w:marLeft w:val="0"/>
              <w:marRight w:val="0"/>
              <w:marTop w:val="0"/>
              <w:marBottom w:val="0"/>
              <w:divBdr>
                <w:top w:val="none" w:sz="0" w:space="0" w:color="auto"/>
                <w:left w:val="none" w:sz="0" w:space="0" w:color="auto"/>
                <w:bottom w:val="none" w:sz="0" w:space="0" w:color="auto"/>
                <w:right w:val="none" w:sz="0" w:space="0" w:color="auto"/>
              </w:divBdr>
            </w:div>
          </w:divsChild>
        </w:div>
        <w:div w:id="1253661342">
          <w:marLeft w:val="0"/>
          <w:marRight w:val="0"/>
          <w:marTop w:val="0"/>
          <w:marBottom w:val="0"/>
          <w:divBdr>
            <w:top w:val="none" w:sz="0" w:space="0" w:color="auto"/>
            <w:left w:val="none" w:sz="0" w:space="0" w:color="auto"/>
            <w:bottom w:val="none" w:sz="0" w:space="0" w:color="auto"/>
            <w:right w:val="none" w:sz="0" w:space="0" w:color="auto"/>
          </w:divBdr>
          <w:divsChild>
            <w:div w:id="418872898">
              <w:marLeft w:val="0"/>
              <w:marRight w:val="0"/>
              <w:marTop w:val="0"/>
              <w:marBottom w:val="0"/>
              <w:divBdr>
                <w:top w:val="none" w:sz="0" w:space="0" w:color="auto"/>
                <w:left w:val="none" w:sz="0" w:space="0" w:color="auto"/>
                <w:bottom w:val="none" w:sz="0" w:space="0" w:color="auto"/>
                <w:right w:val="none" w:sz="0" w:space="0" w:color="auto"/>
              </w:divBdr>
            </w:div>
          </w:divsChild>
        </w:div>
        <w:div w:id="1256090703">
          <w:marLeft w:val="0"/>
          <w:marRight w:val="0"/>
          <w:marTop w:val="0"/>
          <w:marBottom w:val="0"/>
          <w:divBdr>
            <w:top w:val="none" w:sz="0" w:space="0" w:color="auto"/>
            <w:left w:val="none" w:sz="0" w:space="0" w:color="auto"/>
            <w:bottom w:val="none" w:sz="0" w:space="0" w:color="auto"/>
            <w:right w:val="none" w:sz="0" w:space="0" w:color="auto"/>
          </w:divBdr>
          <w:divsChild>
            <w:div w:id="293558840">
              <w:marLeft w:val="0"/>
              <w:marRight w:val="0"/>
              <w:marTop w:val="0"/>
              <w:marBottom w:val="0"/>
              <w:divBdr>
                <w:top w:val="none" w:sz="0" w:space="0" w:color="auto"/>
                <w:left w:val="none" w:sz="0" w:space="0" w:color="auto"/>
                <w:bottom w:val="none" w:sz="0" w:space="0" w:color="auto"/>
                <w:right w:val="none" w:sz="0" w:space="0" w:color="auto"/>
              </w:divBdr>
            </w:div>
          </w:divsChild>
        </w:div>
        <w:div w:id="1185361944">
          <w:marLeft w:val="0"/>
          <w:marRight w:val="0"/>
          <w:marTop w:val="0"/>
          <w:marBottom w:val="0"/>
          <w:divBdr>
            <w:top w:val="none" w:sz="0" w:space="0" w:color="auto"/>
            <w:left w:val="none" w:sz="0" w:space="0" w:color="auto"/>
            <w:bottom w:val="none" w:sz="0" w:space="0" w:color="auto"/>
            <w:right w:val="none" w:sz="0" w:space="0" w:color="auto"/>
          </w:divBdr>
          <w:divsChild>
            <w:div w:id="835343544">
              <w:marLeft w:val="0"/>
              <w:marRight w:val="0"/>
              <w:marTop w:val="0"/>
              <w:marBottom w:val="0"/>
              <w:divBdr>
                <w:top w:val="none" w:sz="0" w:space="0" w:color="auto"/>
                <w:left w:val="none" w:sz="0" w:space="0" w:color="auto"/>
                <w:bottom w:val="none" w:sz="0" w:space="0" w:color="auto"/>
                <w:right w:val="none" w:sz="0" w:space="0" w:color="auto"/>
              </w:divBdr>
            </w:div>
          </w:divsChild>
        </w:div>
        <w:div w:id="1151210832">
          <w:marLeft w:val="0"/>
          <w:marRight w:val="0"/>
          <w:marTop w:val="0"/>
          <w:marBottom w:val="0"/>
          <w:divBdr>
            <w:top w:val="none" w:sz="0" w:space="0" w:color="auto"/>
            <w:left w:val="none" w:sz="0" w:space="0" w:color="auto"/>
            <w:bottom w:val="none" w:sz="0" w:space="0" w:color="auto"/>
            <w:right w:val="none" w:sz="0" w:space="0" w:color="auto"/>
          </w:divBdr>
          <w:divsChild>
            <w:div w:id="820274381">
              <w:marLeft w:val="0"/>
              <w:marRight w:val="0"/>
              <w:marTop w:val="0"/>
              <w:marBottom w:val="0"/>
              <w:divBdr>
                <w:top w:val="none" w:sz="0" w:space="0" w:color="auto"/>
                <w:left w:val="none" w:sz="0" w:space="0" w:color="auto"/>
                <w:bottom w:val="none" w:sz="0" w:space="0" w:color="auto"/>
                <w:right w:val="none" w:sz="0" w:space="0" w:color="auto"/>
              </w:divBdr>
            </w:div>
          </w:divsChild>
        </w:div>
        <w:div w:id="446896484">
          <w:marLeft w:val="0"/>
          <w:marRight w:val="0"/>
          <w:marTop w:val="0"/>
          <w:marBottom w:val="0"/>
          <w:divBdr>
            <w:top w:val="none" w:sz="0" w:space="0" w:color="auto"/>
            <w:left w:val="none" w:sz="0" w:space="0" w:color="auto"/>
            <w:bottom w:val="none" w:sz="0" w:space="0" w:color="auto"/>
            <w:right w:val="none" w:sz="0" w:space="0" w:color="auto"/>
          </w:divBdr>
          <w:divsChild>
            <w:div w:id="897782606">
              <w:marLeft w:val="0"/>
              <w:marRight w:val="0"/>
              <w:marTop w:val="0"/>
              <w:marBottom w:val="0"/>
              <w:divBdr>
                <w:top w:val="none" w:sz="0" w:space="0" w:color="auto"/>
                <w:left w:val="none" w:sz="0" w:space="0" w:color="auto"/>
                <w:bottom w:val="none" w:sz="0" w:space="0" w:color="auto"/>
                <w:right w:val="none" w:sz="0" w:space="0" w:color="auto"/>
              </w:divBdr>
            </w:div>
          </w:divsChild>
        </w:div>
        <w:div w:id="1807701757">
          <w:marLeft w:val="0"/>
          <w:marRight w:val="0"/>
          <w:marTop w:val="0"/>
          <w:marBottom w:val="0"/>
          <w:divBdr>
            <w:top w:val="none" w:sz="0" w:space="0" w:color="auto"/>
            <w:left w:val="none" w:sz="0" w:space="0" w:color="auto"/>
            <w:bottom w:val="none" w:sz="0" w:space="0" w:color="auto"/>
            <w:right w:val="none" w:sz="0" w:space="0" w:color="auto"/>
          </w:divBdr>
          <w:divsChild>
            <w:div w:id="351414815">
              <w:marLeft w:val="0"/>
              <w:marRight w:val="0"/>
              <w:marTop w:val="0"/>
              <w:marBottom w:val="0"/>
              <w:divBdr>
                <w:top w:val="none" w:sz="0" w:space="0" w:color="auto"/>
                <w:left w:val="none" w:sz="0" w:space="0" w:color="auto"/>
                <w:bottom w:val="none" w:sz="0" w:space="0" w:color="auto"/>
                <w:right w:val="none" w:sz="0" w:space="0" w:color="auto"/>
              </w:divBdr>
            </w:div>
          </w:divsChild>
        </w:div>
        <w:div w:id="150411920">
          <w:marLeft w:val="0"/>
          <w:marRight w:val="0"/>
          <w:marTop w:val="0"/>
          <w:marBottom w:val="0"/>
          <w:divBdr>
            <w:top w:val="none" w:sz="0" w:space="0" w:color="auto"/>
            <w:left w:val="none" w:sz="0" w:space="0" w:color="auto"/>
            <w:bottom w:val="none" w:sz="0" w:space="0" w:color="auto"/>
            <w:right w:val="none" w:sz="0" w:space="0" w:color="auto"/>
          </w:divBdr>
          <w:divsChild>
            <w:div w:id="1473207916">
              <w:marLeft w:val="0"/>
              <w:marRight w:val="0"/>
              <w:marTop w:val="0"/>
              <w:marBottom w:val="0"/>
              <w:divBdr>
                <w:top w:val="none" w:sz="0" w:space="0" w:color="auto"/>
                <w:left w:val="none" w:sz="0" w:space="0" w:color="auto"/>
                <w:bottom w:val="none" w:sz="0" w:space="0" w:color="auto"/>
                <w:right w:val="none" w:sz="0" w:space="0" w:color="auto"/>
              </w:divBdr>
            </w:div>
          </w:divsChild>
        </w:div>
        <w:div w:id="2063210677">
          <w:marLeft w:val="0"/>
          <w:marRight w:val="0"/>
          <w:marTop w:val="0"/>
          <w:marBottom w:val="0"/>
          <w:divBdr>
            <w:top w:val="none" w:sz="0" w:space="0" w:color="auto"/>
            <w:left w:val="none" w:sz="0" w:space="0" w:color="auto"/>
            <w:bottom w:val="none" w:sz="0" w:space="0" w:color="auto"/>
            <w:right w:val="none" w:sz="0" w:space="0" w:color="auto"/>
          </w:divBdr>
          <w:divsChild>
            <w:div w:id="485365698">
              <w:marLeft w:val="0"/>
              <w:marRight w:val="0"/>
              <w:marTop w:val="0"/>
              <w:marBottom w:val="0"/>
              <w:divBdr>
                <w:top w:val="none" w:sz="0" w:space="0" w:color="auto"/>
                <w:left w:val="none" w:sz="0" w:space="0" w:color="auto"/>
                <w:bottom w:val="none" w:sz="0" w:space="0" w:color="auto"/>
                <w:right w:val="none" w:sz="0" w:space="0" w:color="auto"/>
              </w:divBdr>
            </w:div>
          </w:divsChild>
        </w:div>
        <w:div w:id="1687633075">
          <w:marLeft w:val="0"/>
          <w:marRight w:val="0"/>
          <w:marTop w:val="0"/>
          <w:marBottom w:val="0"/>
          <w:divBdr>
            <w:top w:val="none" w:sz="0" w:space="0" w:color="auto"/>
            <w:left w:val="none" w:sz="0" w:space="0" w:color="auto"/>
            <w:bottom w:val="none" w:sz="0" w:space="0" w:color="auto"/>
            <w:right w:val="none" w:sz="0" w:space="0" w:color="auto"/>
          </w:divBdr>
          <w:divsChild>
            <w:div w:id="1419908891">
              <w:marLeft w:val="0"/>
              <w:marRight w:val="0"/>
              <w:marTop w:val="0"/>
              <w:marBottom w:val="0"/>
              <w:divBdr>
                <w:top w:val="none" w:sz="0" w:space="0" w:color="auto"/>
                <w:left w:val="none" w:sz="0" w:space="0" w:color="auto"/>
                <w:bottom w:val="none" w:sz="0" w:space="0" w:color="auto"/>
                <w:right w:val="none" w:sz="0" w:space="0" w:color="auto"/>
              </w:divBdr>
            </w:div>
          </w:divsChild>
        </w:div>
        <w:div w:id="288240731">
          <w:marLeft w:val="0"/>
          <w:marRight w:val="0"/>
          <w:marTop w:val="0"/>
          <w:marBottom w:val="0"/>
          <w:divBdr>
            <w:top w:val="none" w:sz="0" w:space="0" w:color="auto"/>
            <w:left w:val="none" w:sz="0" w:space="0" w:color="auto"/>
            <w:bottom w:val="none" w:sz="0" w:space="0" w:color="auto"/>
            <w:right w:val="none" w:sz="0" w:space="0" w:color="auto"/>
          </w:divBdr>
          <w:divsChild>
            <w:div w:id="640042706">
              <w:marLeft w:val="0"/>
              <w:marRight w:val="0"/>
              <w:marTop w:val="0"/>
              <w:marBottom w:val="0"/>
              <w:divBdr>
                <w:top w:val="none" w:sz="0" w:space="0" w:color="auto"/>
                <w:left w:val="none" w:sz="0" w:space="0" w:color="auto"/>
                <w:bottom w:val="none" w:sz="0" w:space="0" w:color="auto"/>
                <w:right w:val="none" w:sz="0" w:space="0" w:color="auto"/>
              </w:divBdr>
            </w:div>
          </w:divsChild>
        </w:div>
        <w:div w:id="78336484">
          <w:marLeft w:val="0"/>
          <w:marRight w:val="0"/>
          <w:marTop w:val="0"/>
          <w:marBottom w:val="0"/>
          <w:divBdr>
            <w:top w:val="none" w:sz="0" w:space="0" w:color="auto"/>
            <w:left w:val="none" w:sz="0" w:space="0" w:color="auto"/>
            <w:bottom w:val="none" w:sz="0" w:space="0" w:color="auto"/>
            <w:right w:val="none" w:sz="0" w:space="0" w:color="auto"/>
          </w:divBdr>
          <w:divsChild>
            <w:div w:id="482311974">
              <w:marLeft w:val="0"/>
              <w:marRight w:val="0"/>
              <w:marTop w:val="0"/>
              <w:marBottom w:val="0"/>
              <w:divBdr>
                <w:top w:val="none" w:sz="0" w:space="0" w:color="auto"/>
                <w:left w:val="none" w:sz="0" w:space="0" w:color="auto"/>
                <w:bottom w:val="none" w:sz="0" w:space="0" w:color="auto"/>
                <w:right w:val="none" w:sz="0" w:space="0" w:color="auto"/>
              </w:divBdr>
            </w:div>
          </w:divsChild>
        </w:div>
        <w:div w:id="893394705">
          <w:marLeft w:val="0"/>
          <w:marRight w:val="0"/>
          <w:marTop w:val="0"/>
          <w:marBottom w:val="0"/>
          <w:divBdr>
            <w:top w:val="none" w:sz="0" w:space="0" w:color="auto"/>
            <w:left w:val="none" w:sz="0" w:space="0" w:color="auto"/>
            <w:bottom w:val="none" w:sz="0" w:space="0" w:color="auto"/>
            <w:right w:val="none" w:sz="0" w:space="0" w:color="auto"/>
          </w:divBdr>
          <w:divsChild>
            <w:div w:id="820192473">
              <w:marLeft w:val="0"/>
              <w:marRight w:val="0"/>
              <w:marTop w:val="0"/>
              <w:marBottom w:val="0"/>
              <w:divBdr>
                <w:top w:val="none" w:sz="0" w:space="0" w:color="auto"/>
                <w:left w:val="none" w:sz="0" w:space="0" w:color="auto"/>
                <w:bottom w:val="none" w:sz="0" w:space="0" w:color="auto"/>
                <w:right w:val="none" w:sz="0" w:space="0" w:color="auto"/>
              </w:divBdr>
            </w:div>
          </w:divsChild>
        </w:div>
        <w:div w:id="1587035477">
          <w:marLeft w:val="0"/>
          <w:marRight w:val="0"/>
          <w:marTop w:val="0"/>
          <w:marBottom w:val="0"/>
          <w:divBdr>
            <w:top w:val="none" w:sz="0" w:space="0" w:color="auto"/>
            <w:left w:val="none" w:sz="0" w:space="0" w:color="auto"/>
            <w:bottom w:val="none" w:sz="0" w:space="0" w:color="auto"/>
            <w:right w:val="none" w:sz="0" w:space="0" w:color="auto"/>
          </w:divBdr>
          <w:divsChild>
            <w:div w:id="1409158714">
              <w:marLeft w:val="0"/>
              <w:marRight w:val="0"/>
              <w:marTop w:val="0"/>
              <w:marBottom w:val="0"/>
              <w:divBdr>
                <w:top w:val="none" w:sz="0" w:space="0" w:color="auto"/>
                <w:left w:val="none" w:sz="0" w:space="0" w:color="auto"/>
                <w:bottom w:val="none" w:sz="0" w:space="0" w:color="auto"/>
                <w:right w:val="none" w:sz="0" w:space="0" w:color="auto"/>
              </w:divBdr>
            </w:div>
          </w:divsChild>
        </w:div>
        <w:div w:id="202981657">
          <w:marLeft w:val="0"/>
          <w:marRight w:val="0"/>
          <w:marTop w:val="0"/>
          <w:marBottom w:val="0"/>
          <w:divBdr>
            <w:top w:val="none" w:sz="0" w:space="0" w:color="auto"/>
            <w:left w:val="none" w:sz="0" w:space="0" w:color="auto"/>
            <w:bottom w:val="none" w:sz="0" w:space="0" w:color="auto"/>
            <w:right w:val="none" w:sz="0" w:space="0" w:color="auto"/>
          </w:divBdr>
          <w:divsChild>
            <w:div w:id="127749963">
              <w:marLeft w:val="0"/>
              <w:marRight w:val="0"/>
              <w:marTop w:val="0"/>
              <w:marBottom w:val="0"/>
              <w:divBdr>
                <w:top w:val="none" w:sz="0" w:space="0" w:color="auto"/>
                <w:left w:val="none" w:sz="0" w:space="0" w:color="auto"/>
                <w:bottom w:val="none" w:sz="0" w:space="0" w:color="auto"/>
                <w:right w:val="none" w:sz="0" w:space="0" w:color="auto"/>
              </w:divBdr>
            </w:div>
          </w:divsChild>
        </w:div>
        <w:div w:id="1300114731">
          <w:marLeft w:val="0"/>
          <w:marRight w:val="0"/>
          <w:marTop w:val="0"/>
          <w:marBottom w:val="0"/>
          <w:divBdr>
            <w:top w:val="none" w:sz="0" w:space="0" w:color="auto"/>
            <w:left w:val="none" w:sz="0" w:space="0" w:color="auto"/>
            <w:bottom w:val="none" w:sz="0" w:space="0" w:color="auto"/>
            <w:right w:val="none" w:sz="0" w:space="0" w:color="auto"/>
          </w:divBdr>
          <w:divsChild>
            <w:div w:id="2105148498">
              <w:marLeft w:val="0"/>
              <w:marRight w:val="0"/>
              <w:marTop w:val="0"/>
              <w:marBottom w:val="0"/>
              <w:divBdr>
                <w:top w:val="none" w:sz="0" w:space="0" w:color="auto"/>
                <w:left w:val="none" w:sz="0" w:space="0" w:color="auto"/>
                <w:bottom w:val="none" w:sz="0" w:space="0" w:color="auto"/>
                <w:right w:val="none" w:sz="0" w:space="0" w:color="auto"/>
              </w:divBdr>
            </w:div>
          </w:divsChild>
        </w:div>
        <w:div w:id="1516768619">
          <w:marLeft w:val="0"/>
          <w:marRight w:val="0"/>
          <w:marTop w:val="0"/>
          <w:marBottom w:val="0"/>
          <w:divBdr>
            <w:top w:val="none" w:sz="0" w:space="0" w:color="auto"/>
            <w:left w:val="none" w:sz="0" w:space="0" w:color="auto"/>
            <w:bottom w:val="none" w:sz="0" w:space="0" w:color="auto"/>
            <w:right w:val="none" w:sz="0" w:space="0" w:color="auto"/>
          </w:divBdr>
          <w:divsChild>
            <w:div w:id="1312782974">
              <w:marLeft w:val="0"/>
              <w:marRight w:val="0"/>
              <w:marTop w:val="0"/>
              <w:marBottom w:val="0"/>
              <w:divBdr>
                <w:top w:val="none" w:sz="0" w:space="0" w:color="auto"/>
                <w:left w:val="none" w:sz="0" w:space="0" w:color="auto"/>
                <w:bottom w:val="none" w:sz="0" w:space="0" w:color="auto"/>
                <w:right w:val="none" w:sz="0" w:space="0" w:color="auto"/>
              </w:divBdr>
            </w:div>
          </w:divsChild>
        </w:div>
        <w:div w:id="315649115">
          <w:marLeft w:val="0"/>
          <w:marRight w:val="0"/>
          <w:marTop w:val="0"/>
          <w:marBottom w:val="0"/>
          <w:divBdr>
            <w:top w:val="none" w:sz="0" w:space="0" w:color="auto"/>
            <w:left w:val="none" w:sz="0" w:space="0" w:color="auto"/>
            <w:bottom w:val="none" w:sz="0" w:space="0" w:color="auto"/>
            <w:right w:val="none" w:sz="0" w:space="0" w:color="auto"/>
          </w:divBdr>
          <w:divsChild>
            <w:div w:id="1475950536">
              <w:marLeft w:val="0"/>
              <w:marRight w:val="0"/>
              <w:marTop w:val="0"/>
              <w:marBottom w:val="0"/>
              <w:divBdr>
                <w:top w:val="none" w:sz="0" w:space="0" w:color="auto"/>
                <w:left w:val="none" w:sz="0" w:space="0" w:color="auto"/>
                <w:bottom w:val="none" w:sz="0" w:space="0" w:color="auto"/>
                <w:right w:val="none" w:sz="0" w:space="0" w:color="auto"/>
              </w:divBdr>
            </w:div>
          </w:divsChild>
        </w:div>
        <w:div w:id="640158293">
          <w:marLeft w:val="0"/>
          <w:marRight w:val="0"/>
          <w:marTop w:val="0"/>
          <w:marBottom w:val="0"/>
          <w:divBdr>
            <w:top w:val="none" w:sz="0" w:space="0" w:color="auto"/>
            <w:left w:val="none" w:sz="0" w:space="0" w:color="auto"/>
            <w:bottom w:val="none" w:sz="0" w:space="0" w:color="auto"/>
            <w:right w:val="none" w:sz="0" w:space="0" w:color="auto"/>
          </w:divBdr>
          <w:divsChild>
            <w:div w:id="20284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6</cp:revision>
  <dcterms:created xsi:type="dcterms:W3CDTF">2025-02-12T21:50:00Z</dcterms:created>
  <dcterms:modified xsi:type="dcterms:W3CDTF">2025-03-19T11:12:00Z</dcterms:modified>
</cp:coreProperties>
</file>