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D65C3" w14:textId="6285ADD7" w:rsidR="000303FE" w:rsidRDefault="000303FE" w:rsidP="000303FE">
      <w:pPr>
        <w:pStyle w:val="Heading1"/>
      </w:pPr>
      <w:r>
        <w:t xml:space="preserve">Documentation - </w:t>
      </w:r>
      <w:r w:rsidRPr="000303FE">
        <w:t>I46_SIMOABLOODS3</w:t>
      </w:r>
      <w:r>
        <w:t>– Insight46 Wave 1</w:t>
      </w:r>
    </w:p>
    <w:p w14:paraId="7947AB96" w14:textId="77777777" w:rsidR="00A25719" w:rsidRPr="00A25719" w:rsidRDefault="00A25719" w:rsidP="00A25719">
      <w:pPr>
        <w:pStyle w:val="Heading2"/>
        <w:jc w:val="center"/>
      </w:pPr>
      <w:r>
        <w:t>For Submission to the NSHD Scientific Support Team</w:t>
      </w:r>
    </w:p>
    <w:tbl>
      <w:tblPr>
        <w:tblStyle w:val="TableGrid"/>
        <w:tblW w:w="9889" w:type="dxa"/>
        <w:jc w:val="center"/>
        <w:tblLook w:val="04A0" w:firstRow="1" w:lastRow="0" w:firstColumn="1" w:lastColumn="0" w:noHBand="0" w:noVBand="1"/>
      </w:tblPr>
      <w:tblGrid>
        <w:gridCol w:w="3510"/>
        <w:gridCol w:w="6379"/>
      </w:tblGrid>
      <w:tr w:rsidR="00BA5901" w14:paraId="7947AB99" w14:textId="77777777" w:rsidTr="00F74CF0">
        <w:trPr>
          <w:jc w:val="center"/>
        </w:trPr>
        <w:tc>
          <w:tcPr>
            <w:tcW w:w="3510" w:type="dxa"/>
          </w:tcPr>
          <w:p w14:paraId="7947AB97" w14:textId="77777777" w:rsidR="00BA5901" w:rsidRPr="00F90CDC" w:rsidRDefault="00BA5901" w:rsidP="00F90CDC">
            <w:pPr>
              <w:rPr>
                <w:b/>
              </w:rPr>
            </w:pPr>
            <w:r w:rsidRPr="00F90CDC">
              <w:rPr>
                <w:b/>
              </w:rPr>
              <w:t>Name</w:t>
            </w:r>
            <w:r w:rsidR="001C469B" w:rsidRPr="00F90CDC">
              <w:rPr>
                <w:b/>
              </w:rPr>
              <w:t xml:space="preserve"> of person responsible for cleaning/derivation:</w:t>
            </w:r>
          </w:p>
        </w:tc>
        <w:tc>
          <w:tcPr>
            <w:tcW w:w="6379" w:type="dxa"/>
          </w:tcPr>
          <w:p w14:paraId="12907AA5" w14:textId="77777777" w:rsidR="00BA5901" w:rsidRDefault="00692087" w:rsidP="00F90CDC">
            <w:pPr>
              <w:rPr>
                <w:rStyle w:val="Hyperlink"/>
              </w:rPr>
            </w:pPr>
            <w:r>
              <w:t xml:space="preserve">Dylan Williams, </w:t>
            </w:r>
            <w:hyperlink r:id="rId5" w:history="1">
              <w:r w:rsidRPr="00DB2406">
                <w:rPr>
                  <w:rStyle w:val="Hyperlink"/>
                </w:rPr>
                <w:t>dylan.williams@ucl.ac.uk</w:t>
              </w:r>
            </w:hyperlink>
          </w:p>
          <w:p w14:paraId="7947AB98" w14:textId="46F4239C" w:rsidR="005550BE" w:rsidRDefault="005550BE" w:rsidP="00F90CDC">
            <w:proofErr w:type="spellStart"/>
            <w:r>
              <w:t>Ashvini</w:t>
            </w:r>
            <w:proofErr w:type="spellEnd"/>
            <w:r>
              <w:t xml:space="preserve"> </w:t>
            </w:r>
            <w:proofErr w:type="spellStart"/>
            <w:r>
              <w:t>Keshavan</w:t>
            </w:r>
            <w:proofErr w:type="spellEnd"/>
            <w:r>
              <w:t xml:space="preserve">, </w:t>
            </w:r>
            <w:hyperlink r:id="rId6" w:history="1">
              <w:r w:rsidR="00FB15DF" w:rsidRPr="00C27283">
                <w:rPr>
                  <w:rStyle w:val="Hyperlink"/>
                </w:rPr>
                <w:t>a.keshavan@ucl.ac.uk</w:t>
              </w:r>
            </w:hyperlink>
            <w:r w:rsidR="00FB15DF">
              <w:t xml:space="preserve"> </w:t>
            </w:r>
          </w:p>
        </w:tc>
      </w:tr>
      <w:tr w:rsidR="00BA5901" w14:paraId="7947AB9C" w14:textId="77777777" w:rsidTr="00F74CF0">
        <w:trPr>
          <w:jc w:val="center"/>
        </w:trPr>
        <w:tc>
          <w:tcPr>
            <w:tcW w:w="3510" w:type="dxa"/>
          </w:tcPr>
          <w:p w14:paraId="7947AB9A" w14:textId="77777777" w:rsidR="00BA5901" w:rsidRPr="00F90CDC" w:rsidRDefault="00BA5901" w:rsidP="00F90CDC">
            <w:pPr>
              <w:rPr>
                <w:b/>
              </w:rPr>
            </w:pPr>
            <w:r w:rsidRPr="00F90CDC">
              <w:rPr>
                <w:b/>
              </w:rPr>
              <w:t xml:space="preserve">Date </w:t>
            </w:r>
            <w:r w:rsidR="001C469B" w:rsidRPr="00F90CDC">
              <w:rPr>
                <w:b/>
              </w:rPr>
              <w:t>of submitting documentation</w:t>
            </w:r>
          </w:p>
        </w:tc>
        <w:tc>
          <w:tcPr>
            <w:tcW w:w="6379" w:type="dxa"/>
          </w:tcPr>
          <w:p w14:paraId="7947AB9B" w14:textId="725FF652" w:rsidR="00BA5901" w:rsidRDefault="00692087" w:rsidP="00F90CDC">
            <w:r>
              <w:t>August 2024</w:t>
            </w:r>
          </w:p>
        </w:tc>
      </w:tr>
      <w:tr w:rsidR="00BA5901" w14:paraId="7947ABA1" w14:textId="77777777" w:rsidTr="00F74CF0">
        <w:trPr>
          <w:jc w:val="center"/>
        </w:trPr>
        <w:tc>
          <w:tcPr>
            <w:tcW w:w="3510" w:type="dxa"/>
          </w:tcPr>
          <w:p w14:paraId="7947AB9D" w14:textId="77777777" w:rsidR="00BA5901" w:rsidRPr="00F90CDC" w:rsidRDefault="00F90CDC" w:rsidP="00F90CDC">
            <w:pPr>
              <w:rPr>
                <w:b/>
                <w:vertAlign w:val="superscript"/>
              </w:rPr>
            </w:pPr>
            <w:r w:rsidRPr="00F90CDC">
              <w:rPr>
                <w:b/>
              </w:rPr>
              <w:t>Categories</w:t>
            </w:r>
            <w:r w:rsidR="00BA5901" w:rsidRPr="00F90CDC">
              <w:rPr>
                <w:b/>
              </w:rPr>
              <w:t xml:space="preserve"> of variables</w:t>
            </w:r>
            <w:r w:rsidR="00BA5901" w:rsidRPr="00F90CDC">
              <w:rPr>
                <w:b/>
                <w:vertAlign w:val="superscript"/>
              </w:rPr>
              <w:t>*</w:t>
            </w:r>
            <w:r w:rsidRPr="00F90CDC">
              <w:rPr>
                <w:b/>
                <w:vertAlign w:val="superscript"/>
              </w:rPr>
              <w:t>:</w:t>
            </w:r>
          </w:p>
          <w:p w14:paraId="7947AB9E" w14:textId="77777777" w:rsidR="00F90CDC" w:rsidRPr="00F90CDC" w:rsidRDefault="00F90CDC" w:rsidP="00F90CDC">
            <w:pPr>
              <w:rPr>
                <w:b/>
                <w:vertAlign w:val="superscript"/>
              </w:rPr>
            </w:pPr>
            <w:r w:rsidRPr="00F90CDC">
              <w:rPr>
                <w:b/>
                <w:vertAlign w:val="superscript"/>
              </w:rPr>
              <w:t>(may be more than one)</w:t>
            </w:r>
          </w:p>
          <w:p w14:paraId="7947AB9F" w14:textId="77777777" w:rsidR="00F90CDC" w:rsidRPr="00F90CDC" w:rsidRDefault="00F90CDC" w:rsidP="00F90CDC">
            <w:pPr>
              <w:rPr>
                <w:b/>
                <w:vertAlign w:val="superscript"/>
              </w:rPr>
            </w:pPr>
          </w:p>
        </w:tc>
        <w:tc>
          <w:tcPr>
            <w:tcW w:w="6379" w:type="dxa"/>
          </w:tcPr>
          <w:p w14:paraId="7947ABA0" w14:textId="791F2FB5" w:rsidR="00BA5901" w:rsidRDefault="00D7524E" w:rsidP="00F90CDC">
            <w:r>
              <w:t>Blood, urine and other samples</w:t>
            </w:r>
          </w:p>
        </w:tc>
      </w:tr>
      <w:tr w:rsidR="00BA5901" w14:paraId="7947ABAB" w14:textId="77777777" w:rsidTr="00F74CF0">
        <w:trPr>
          <w:jc w:val="center"/>
        </w:trPr>
        <w:tc>
          <w:tcPr>
            <w:tcW w:w="3510" w:type="dxa"/>
          </w:tcPr>
          <w:p w14:paraId="7947ABA2" w14:textId="77777777" w:rsidR="00BA5901" w:rsidRPr="00F90CDC" w:rsidRDefault="00BA5901" w:rsidP="00F90CDC">
            <w:pPr>
              <w:rPr>
                <w:b/>
              </w:rPr>
            </w:pPr>
            <w:r w:rsidRPr="00F90CDC">
              <w:rPr>
                <w:b/>
              </w:rPr>
              <w:t>Summary of work undertaken</w:t>
            </w:r>
          </w:p>
        </w:tc>
        <w:tc>
          <w:tcPr>
            <w:tcW w:w="6379" w:type="dxa"/>
          </w:tcPr>
          <w:p w14:paraId="12F20343" w14:textId="3828544C" w:rsidR="00FD59BA" w:rsidRDefault="00FD59BA" w:rsidP="00F90CDC">
            <w:pPr>
              <w:rPr>
                <w:i/>
                <w:iCs/>
              </w:rPr>
            </w:pPr>
            <w:r w:rsidRPr="00FD59BA">
              <w:rPr>
                <w:b/>
                <w:bCs/>
              </w:rPr>
              <w:t>Category:</w:t>
            </w:r>
            <w:r>
              <w:rPr>
                <w:i/>
                <w:iCs/>
              </w:rPr>
              <w:t xml:space="preserve"> Derivation</w:t>
            </w:r>
          </w:p>
          <w:p w14:paraId="1BE065CA" w14:textId="77777777" w:rsidR="00FD59BA" w:rsidRDefault="00FD59BA" w:rsidP="00F90CDC">
            <w:pPr>
              <w:rPr>
                <w:i/>
                <w:iCs/>
              </w:rPr>
            </w:pPr>
          </w:p>
          <w:p w14:paraId="1349A5BD" w14:textId="12A05567" w:rsidR="00FD59BA" w:rsidRPr="00FD59BA" w:rsidRDefault="00FD59BA" w:rsidP="00F90CDC">
            <w:pPr>
              <w:rPr>
                <w:b/>
                <w:bCs/>
              </w:rPr>
            </w:pPr>
            <w:r w:rsidRPr="00FD59BA">
              <w:rPr>
                <w:b/>
                <w:bCs/>
              </w:rPr>
              <w:t>Description</w:t>
            </w:r>
            <w:r>
              <w:rPr>
                <w:b/>
                <w:bCs/>
              </w:rPr>
              <w:t>:</w:t>
            </w:r>
          </w:p>
          <w:p w14:paraId="7475A18D" w14:textId="6973D5DD" w:rsidR="00513B6E" w:rsidRPr="00513B6E" w:rsidRDefault="00513B6E" w:rsidP="00F90CDC">
            <w:pPr>
              <w:rPr>
                <w:i/>
                <w:iCs/>
              </w:rPr>
            </w:pPr>
            <w:r>
              <w:rPr>
                <w:i/>
                <w:iCs/>
              </w:rPr>
              <w:t>Overview</w:t>
            </w:r>
          </w:p>
          <w:p w14:paraId="0A530CD9" w14:textId="5E66946D" w:rsidR="0054214F" w:rsidRDefault="00D7524E" w:rsidP="00F90CDC">
            <w:r>
              <w:t xml:space="preserve">The returned data </w:t>
            </w:r>
            <w:r w:rsidR="00BC4E04">
              <w:t xml:space="preserve">are measures of a blood-based biomarker for Alzheimer’s disease neuropathology called p-tau 217. </w:t>
            </w:r>
            <w:r w:rsidR="00FB15DF">
              <w:t>P</w:t>
            </w:r>
            <w:r w:rsidR="004464E4">
              <w:t xml:space="preserve">lasma samples </w:t>
            </w:r>
            <w:r w:rsidR="00FB15DF">
              <w:t>collected at</w:t>
            </w:r>
            <w:r w:rsidR="004464E4">
              <w:t xml:space="preserve"> 69-year home visits </w:t>
            </w:r>
            <w:r w:rsidR="00FB15DF">
              <w:t>were assayed using the</w:t>
            </w:r>
            <w:r w:rsidR="0070421C">
              <w:t xml:space="preserve"> </w:t>
            </w:r>
            <w:proofErr w:type="spellStart"/>
            <w:r w:rsidR="0070421C">
              <w:t>ALZpath</w:t>
            </w:r>
            <w:proofErr w:type="spellEnd"/>
            <w:r w:rsidR="0070421C">
              <w:t xml:space="preserve"> </w:t>
            </w:r>
            <w:proofErr w:type="spellStart"/>
            <w:r w:rsidR="002A4934">
              <w:t>Si</w:t>
            </w:r>
            <w:r w:rsidR="00086B3E">
              <w:t>moa</w:t>
            </w:r>
            <w:proofErr w:type="spellEnd"/>
            <w:r w:rsidR="002A4934">
              <w:t xml:space="preserve"> </w:t>
            </w:r>
            <w:r w:rsidR="0070421C">
              <w:t>p-tau 217 assay</w:t>
            </w:r>
            <w:r w:rsidR="00C907BE">
              <w:t xml:space="preserve"> version 2</w:t>
            </w:r>
            <w:r w:rsidR="004C5264">
              <w:t xml:space="preserve"> at the </w:t>
            </w:r>
            <w:r w:rsidR="00E27A4F">
              <w:t>UK DRI Biomarker Factory at UCL</w:t>
            </w:r>
            <w:r w:rsidR="00C907BE">
              <w:t xml:space="preserve"> in spring 2024</w:t>
            </w:r>
            <w:r w:rsidR="00E27A4F">
              <w:t>.</w:t>
            </w:r>
            <w:r w:rsidR="00C35961">
              <w:t xml:space="preserve"> 952 samples were assayed: th</w:t>
            </w:r>
            <w:r w:rsidR="009B7DB6">
              <w:t>is</w:t>
            </w:r>
            <w:r w:rsidR="00C35961">
              <w:t xml:space="preserve"> </w:t>
            </w:r>
            <w:r w:rsidR="009B7DB6">
              <w:t>subset of</w:t>
            </w:r>
            <w:r w:rsidR="003B7821">
              <w:t xml:space="preserve"> approximately half of </w:t>
            </w:r>
            <w:r w:rsidR="009B7DB6">
              <w:t xml:space="preserve"> </w:t>
            </w:r>
            <w:r w:rsidR="003B7821">
              <w:t>all available</w:t>
            </w:r>
            <w:r w:rsidR="00C35961">
              <w:t xml:space="preserve"> 69-year home visit </w:t>
            </w:r>
            <w:r w:rsidR="003B7821">
              <w:t xml:space="preserve">plasma </w:t>
            </w:r>
            <w:r w:rsidR="00C35961">
              <w:t>samples</w:t>
            </w:r>
            <w:r w:rsidR="009B7DB6">
              <w:t xml:space="preserve"> was selected </w:t>
            </w:r>
            <w:r w:rsidR="00CA21D3">
              <w:t>to prioritise assaying of samples from</w:t>
            </w:r>
            <w:r w:rsidR="009B7DB6">
              <w:t xml:space="preserve"> participants </w:t>
            </w:r>
            <w:r w:rsidR="00CA21D3">
              <w:t xml:space="preserve">who </w:t>
            </w:r>
            <w:r w:rsidR="009B7DB6">
              <w:t>had not enrolled in Insight 46 phases 1 and 2 (in which plasma p-tau 217 had already been measured</w:t>
            </w:r>
            <w:r w:rsidR="004B2F9A">
              <w:t xml:space="preserve">). </w:t>
            </w:r>
            <w:r w:rsidR="004E5C0E">
              <w:t>In</w:t>
            </w:r>
            <w:r w:rsidR="004B2F9A">
              <w:t xml:space="preserve"> </w:t>
            </w:r>
            <w:r w:rsidR="004E5C0E">
              <w:t xml:space="preserve">samples from </w:t>
            </w:r>
            <w:r w:rsidR="004B2F9A">
              <w:t xml:space="preserve">those </w:t>
            </w:r>
            <w:r w:rsidR="004E40B5">
              <w:t>who</w:t>
            </w:r>
            <w:r w:rsidR="004B2F9A">
              <w:t xml:space="preserve"> had not attended Insight 46 phases 1 and 2, there was also preferential selection for individuals who had died following the 69-year </w:t>
            </w:r>
            <w:r w:rsidR="00091660">
              <w:t>home visits, in order to ascertain p-tau 217 concentrations for individuals who would have no prospect of joining Insight 46 during phase 3</w:t>
            </w:r>
            <w:r w:rsidR="0054214F">
              <w:t xml:space="preserve"> (where p-tau 217 assaying is planned)</w:t>
            </w:r>
            <w:r w:rsidR="00091660">
              <w:t>.</w:t>
            </w:r>
          </w:p>
          <w:p w14:paraId="0F0076B8" w14:textId="77777777" w:rsidR="0054214F" w:rsidRDefault="0054214F" w:rsidP="00F90CDC"/>
          <w:p w14:paraId="05FB3AA9" w14:textId="3FD9FF25" w:rsidR="00513B6E" w:rsidRDefault="000134CE" w:rsidP="00F90CDC">
            <w:pPr>
              <w:rPr>
                <w:i/>
                <w:iCs/>
              </w:rPr>
            </w:pPr>
            <w:r>
              <w:rPr>
                <w:i/>
                <w:iCs/>
              </w:rPr>
              <w:t>Assay result adjustments</w:t>
            </w:r>
          </w:p>
          <w:p w14:paraId="40CC2992" w14:textId="0A0C31B3" w:rsidR="0003579F" w:rsidRPr="0003579F" w:rsidRDefault="0003579F" w:rsidP="00F90CDC">
            <w:r>
              <w:t>We provide three adjustment</w:t>
            </w:r>
            <w:r w:rsidR="00EA2511">
              <w:t>s</w:t>
            </w:r>
            <w:r>
              <w:t xml:space="preserve"> to the raw p-tau 217 assay results: </w:t>
            </w:r>
            <w:proofErr w:type="spellStart"/>
            <w:r>
              <w:t>i</w:t>
            </w:r>
            <w:proofErr w:type="spellEnd"/>
            <w:r>
              <w:t xml:space="preserve">) reassignment of values under the lower limit of quantification (0.06 </w:t>
            </w:r>
            <w:proofErr w:type="spellStart"/>
            <w:r>
              <w:t>pg</w:t>
            </w:r>
            <w:proofErr w:type="spellEnd"/>
            <w:r>
              <w:t xml:space="preserve">/ml) </w:t>
            </w:r>
            <w:r w:rsidR="00236F32">
              <w:t xml:space="preserve">to 0.06pg/ml; ii) adjustment of values </w:t>
            </w:r>
            <w:r w:rsidR="00C84746">
              <w:t>from (</w:t>
            </w:r>
            <w:proofErr w:type="spellStart"/>
            <w:r w:rsidR="00C84746">
              <w:t>i</w:t>
            </w:r>
            <w:proofErr w:type="spellEnd"/>
            <w:r w:rsidR="00C84746">
              <w:t>) for</w:t>
            </w:r>
            <w:r w:rsidR="00236F32">
              <w:t xml:space="preserve"> assay variation across plates; iii) adjustment of</w:t>
            </w:r>
            <w:r w:rsidR="00C84746">
              <w:t xml:space="preserve"> values from</w:t>
            </w:r>
            <w:r w:rsidR="00EA2511">
              <w:t xml:space="preserve"> (ii) to bridge from </w:t>
            </w:r>
            <w:r w:rsidR="00A10C3F">
              <w:t xml:space="preserve">the testing of 69-year home visit samples to the testing of plasma p-tau 217 values from Insight 46, also undertaken with the </w:t>
            </w:r>
            <w:proofErr w:type="spellStart"/>
            <w:r w:rsidR="00A10C3F">
              <w:t>ALZpath</w:t>
            </w:r>
            <w:proofErr w:type="spellEnd"/>
            <w:r w:rsidR="00A10C3F">
              <w:t xml:space="preserve"> </w:t>
            </w:r>
            <w:proofErr w:type="spellStart"/>
            <w:r w:rsidR="00A13C8E">
              <w:t>Simoa</w:t>
            </w:r>
            <w:proofErr w:type="spellEnd"/>
            <w:r w:rsidR="00A13C8E">
              <w:t xml:space="preserve"> assay (version </w:t>
            </w:r>
            <w:r w:rsidR="00A13C8E" w:rsidRPr="00A13C8E">
              <w:rPr>
                <w:highlight w:val="yellow"/>
              </w:rPr>
              <w:t>1</w:t>
            </w:r>
            <w:r w:rsidR="00D77A92">
              <w:rPr>
                <w:highlight w:val="yellow"/>
              </w:rPr>
              <w:t xml:space="preserve"> or 2</w:t>
            </w:r>
            <w:r w:rsidR="00A13C8E" w:rsidRPr="00A13C8E">
              <w:rPr>
                <w:highlight w:val="yellow"/>
              </w:rPr>
              <w:t>?</w:t>
            </w:r>
            <w:r w:rsidR="00A13C8E">
              <w:t>)</w:t>
            </w:r>
            <w:r w:rsidR="00A10C3F">
              <w:t xml:space="preserve"> </w:t>
            </w:r>
          </w:p>
          <w:p w14:paraId="4CF6EF12" w14:textId="77777777" w:rsidR="0003579F" w:rsidRPr="00513B6E" w:rsidRDefault="0003579F" w:rsidP="00F90CDC">
            <w:pPr>
              <w:rPr>
                <w:i/>
                <w:iCs/>
              </w:rPr>
            </w:pPr>
          </w:p>
          <w:p w14:paraId="53ABA2E6" w14:textId="1DC59631" w:rsidR="0009284E" w:rsidRDefault="005D3A2C" w:rsidP="00F90CDC">
            <w:r>
              <w:t>As part of the assaying of p-tau 217 on 69-year home visit samples</w:t>
            </w:r>
            <w:r w:rsidR="003C7CE3">
              <w:t xml:space="preserve">, </w:t>
            </w:r>
            <w:r w:rsidR="00082A7C">
              <w:t>18 plasma samples from Insight 46 were</w:t>
            </w:r>
            <w:r w:rsidR="009E0C8F">
              <w:t xml:space="preserve"> also</w:t>
            </w:r>
            <w:r w:rsidR="00082A7C">
              <w:t xml:space="preserve"> assayed</w:t>
            </w:r>
            <w:r w:rsidR="003C7CE3">
              <w:t xml:space="preserve"> to allow for bridging of these new data to </w:t>
            </w:r>
            <w:r w:rsidR="0017590A">
              <w:t xml:space="preserve">former p-tau 217 values </w:t>
            </w:r>
            <w:r w:rsidR="007C6CFB">
              <w:t xml:space="preserve">generated on Insight 46 samples. </w:t>
            </w:r>
            <w:r w:rsidR="007F3E53">
              <w:t>2 pooled plasma control</w:t>
            </w:r>
            <w:r w:rsidR="009E0C8F">
              <w:t xml:space="preserve"> samples </w:t>
            </w:r>
            <w:r w:rsidR="007C6CFB">
              <w:t>(</w:t>
            </w:r>
            <w:r w:rsidR="009E0C8F">
              <w:t>also</w:t>
            </w:r>
            <w:r w:rsidR="00A608A5">
              <w:t xml:space="preserve"> </w:t>
            </w:r>
            <w:r w:rsidR="007C7105">
              <w:t>used</w:t>
            </w:r>
            <w:r w:rsidR="00A608A5">
              <w:t xml:space="preserve"> in</w:t>
            </w:r>
            <w:r w:rsidR="009E0C8F">
              <w:t xml:space="preserve"> </w:t>
            </w:r>
            <w:r w:rsidR="007C7105">
              <w:t xml:space="preserve">the previous </w:t>
            </w:r>
            <w:r w:rsidR="009E0C8F">
              <w:t>Insight 46</w:t>
            </w:r>
            <w:r w:rsidR="007C7105">
              <w:t xml:space="preserve"> assaying</w:t>
            </w:r>
            <w:r w:rsidR="009E0C8F">
              <w:t xml:space="preserve">) </w:t>
            </w:r>
            <w:r w:rsidR="007C6CFB">
              <w:t xml:space="preserve">were also </w:t>
            </w:r>
            <w:r w:rsidR="005B1DA4">
              <w:t>included in the assaying</w:t>
            </w:r>
            <w:r w:rsidR="00A608A5">
              <w:t xml:space="preserve">. </w:t>
            </w:r>
            <w:r w:rsidR="004D6CAA">
              <w:t>Together, these 20 plasma samples were used to calculate b</w:t>
            </w:r>
            <w:r w:rsidR="0009284E">
              <w:t>ridging of</w:t>
            </w:r>
            <w:r w:rsidR="004D6CAA">
              <w:t xml:space="preserve"> the</w:t>
            </w:r>
            <w:r w:rsidR="0009284E">
              <w:t xml:space="preserve"> 69-year home visit assay results to Insight 46 assay results</w:t>
            </w:r>
            <w:r w:rsidR="004D6CAA">
              <w:t xml:space="preserve">. </w:t>
            </w:r>
            <w:r w:rsidR="00513B6E" w:rsidRPr="00513B6E">
              <w:t xml:space="preserve">The values from the 18 individual bridging samples were all from </w:t>
            </w:r>
            <w:proofErr w:type="spellStart"/>
            <w:r w:rsidR="00513B6E" w:rsidRPr="00513B6E">
              <w:t>singlicate</w:t>
            </w:r>
            <w:proofErr w:type="spellEnd"/>
            <w:r w:rsidR="00513B6E" w:rsidRPr="00513B6E">
              <w:t xml:space="preserve"> analysis in Insight46 (adjusted) and were the means of duplicate analysis in NSHD (adjusted). The values from the pooled plasma controls were means calculated from across all the 5 runs in Insight46 and up to </w:t>
            </w:r>
            <w:r w:rsidR="00513B6E" w:rsidRPr="00513B6E">
              <w:lastRenderedPageBreak/>
              <w:t>16 plates in NSHD.</w:t>
            </w:r>
          </w:p>
          <w:p w14:paraId="19B0831E" w14:textId="77777777" w:rsidR="005B1DA4" w:rsidRDefault="005B1DA4" w:rsidP="00F90CDC"/>
          <w:p w14:paraId="372578C6" w14:textId="4A9C9560" w:rsidR="005B1DA4" w:rsidRDefault="005B1DA4" w:rsidP="00F90CDC">
            <w:r w:rsidRPr="005B1DA4">
              <w:t xml:space="preserve">2 pooled CSF controls were also plated across each of the 16 plates and were used to derive </w:t>
            </w:r>
            <w:r w:rsidR="00B97A69">
              <w:t>the</w:t>
            </w:r>
            <w:r w:rsidRPr="005B1DA4">
              <w:t xml:space="preserve"> plate-specific internal adjustment factor. They had also previously been quantified in Insight 46 b</w:t>
            </w:r>
            <w:r>
              <w:t>u</w:t>
            </w:r>
            <w:r w:rsidRPr="005B1DA4">
              <w:t xml:space="preserve">t they were not used for the bridging calculation </w:t>
            </w:r>
            <w:r w:rsidR="0010720C">
              <w:t>because</w:t>
            </w:r>
            <w:r w:rsidRPr="005B1DA4">
              <w:t xml:space="preserve"> they were manually diluted with different dilutions in Insight46 vs NSHD, and although they were very similar once adjusted for dilution, the dilution</w:t>
            </w:r>
            <w:r w:rsidR="0010720C">
              <w:t>-</w:t>
            </w:r>
            <w:r w:rsidRPr="005B1DA4">
              <w:t xml:space="preserve">adjusted concentrations are in a different range and would unduly influence </w:t>
            </w:r>
            <w:r w:rsidR="0010720C">
              <w:t>correction based on</w:t>
            </w:r>
            <w:r w:rsidRPr="005B1DA4">
              <w:t xml:space="preserve"> li</w:t>
            </w:r>
            <w:r w:rsidR="0010720C">
              <w:t>ne</w:t>
            </w:r>
            <w:r w:rsidRPr="005B1DA4">
              <w:t>ar regression if applied.</w:t>
            </w:r>
            <w:r w:rsidR="00B97A69">
              <w:t xml:space="preserve"> </w:t>
            </w:r>
          </w:p>
          <w:p w14:paraId="584923D5" w14:textId="77777777" w:rsidR="00796433" w:rsidRDefault="00796433" w:rsidP="00F90CDC"/>
          <w:p w14:paraId="111E90E0" w14:textId="281DA6C1" w:rsidR="00796433" w:rsidRDefault="007A099C" w:rsidP="00F90CDC">
            <w:r>
              <w:t>For bridging, a</w:t>
            </w:r>
            <w:r w:rsidR="00796433" w:rsidRPr="00796433">
              <w:t xml:space="preserve"> </w:t>
            </w:r>
            <w:r w:rsidR="00796433">
              <w:t>univariable</w:t>
            </w:r>
            <w:r w:rsidR="00796433" w:rsidRPr="00796433">
              <w:t xml:space="preserve"> linear regression</w:t>
            </w:r>
            <w:r w:rsidR="00796433">
              <w:t xml:space="preserve"> </w:t>
            </w:r>
            <w:r w:rsidR="000134CE">
              <w:t>model</w:t>
            </w:r>
            <w:r w:rsidR="00796433" w:rsidRPr="00796433">
              <w:t xml:space="preserve"> was applied to derive the conversion factor as follows: y = </w:t>
            </w:r>
            <w:proofErr w:type="spellStart"/>
            <w:r w:rsidR="00796433" w:rsidRPr="00796433">
              <w:t>bx</w:t>
            </w:r>
            <w:proofErr w:type="spellEnd"/>
            <w:r w:rsidR="00796433" w:rsidRPr="00796433">
              <w:t xml:space="preserve"> where y = Insight46 value, x = NSHD value and b = bridging factor. The constant was fixed at zero</w:t>
            </w:r>
            <w:r w:rsidR="000134CE">
              <w:t xml:space="preserve"> in this model</w:t>
            </w:r>
            <w:r w:rsidR="00796433" w:rsidRPr="00796433">
              <w:t xml:space="preserve">, as zero should hold true across both quantifications given that it is the </w:t>
            </w:r>
            <w:r w:rsidR="000134CE">
              <w:t>s</w:t>
            </w:r>
            <w:r w:rsidR="00796433" w:rsidRPr="00796433">
              <w:t xml:space="preserve">ame assay. </w:t>
            </w:r>
          </w:p>
          <w:p w14:paraId="46A78424" w14:textId="77777777" w:rsidR="00796433" w:rsidRPr="00443CBC" w:rsidRDefault="00796433" w:rsidP="00F90CDC">
            <w:pPr>
              <w:rPr>
                <w:rFonts w:cs="Arial"/>
              </w:rPr>
            </w:pPr>
          </w:p>
          <w:p w14:paraId="37F33ECA" w14:textId="21C21275" w:rsidR="00796433" w:rsidRPr="00443CBC" w:rsidRDefault="00796433" w:rsidP="00796433">
            <w:pPr>
              <w:rPr>
                <w:rFonts w:cs="Arial"/>
                <w:color w:val="000000"/>
                <w:szCs w:val="20"/>
              </w:rPr>
            </w:pPr>
            <w:r w:rsidRPr="00443CBC">
              <w:rPr>
                <w:rFonts w:cs="Arial"/>
                <w:color w:val="000000"/>
                <w:szCs w:val="20"/>
              </w:rPr>
              <w:t xml:space="preserve">Assay results provide absolute quantification, with units being </w:t>
            </w:r>
            <w:proofErr w:type="spellStart"/>
            <w:r w:rsidRPr="00443CBC">
              <w:rPr>
                <w:rFonts w:cs="Arial"/>
                <w:color w:val="000000"/>
                <w:szCs w:val="20"/>
              </w:rPr>
              <w:t>pg</w:t>
            </w:r>
            <w:proofErr w:type="spellEnd"/>
            <w:r w:rsidRPr="00443CBC">
              <w:rPr>
                <w:rFonts w:cs="Arial"/>
                <w:color w:val="000000"/>
                <w:szCs w:val="20"/>
              </w:rPr>
              <w:t>/ml.</w:t>
            </w:r>
          </w:p>
          <w:p w14:paraId="7947ABAA" w14:textId="77777777" w:rsidR="001C469B" w:rsidRPr="00646697" w:rsidRDefault="001C469B" w:rsidP="00F90CDC"/>
        </w:tc>
      </w:tr>
      <w:tr w:rsidR="00F74CF0" w14:paraId="7947ABB1" w14:textId="77777777" w:rsidTr="00F74CF0">
        <w:trPr>
          <w:jc w:val="center"/>
        </w:trPr>
        <w:tc>
          <w:tcPr>
            <w:tcW w:w="3510" w:type="dxa"/>
          </w:tcPr>
          <w:p w14:paraId="7947ABAD" w14:textId="1F8A57C9" w:rsidR="00F74CF0" w:rsidRPr="00F90CDC" w:rsidRDefault="00F74CF0" w:rsidP="00F90CDC">
            <w:pPr>
              <w:rPr>
                <w:b/>
              </w:rPr>
            </w:pPr>
            <w:r>
              <w:rPr>
                <w:b/>
              </w:rPr>
              <w:lastRenderedPageBreak/>
              <w:t>List any p</w:t>
            </w:r>
            <w:r w:rsidRPr="00F90CDC">
              <w:rPr>
                <w:b/>
              </w:rPr>
              <w:t>apers in which cleaned/d</w:t>
            </w:r>
            <w:r>
              <w:rPr>
                <w:b/>
              </w:rPr>
              <w:t>erived variables have been used</w:t>
            </w:r>
          </w:p>
        </w:tc>
        <w:tc>
          <w:tcPr>
            <w:tcW w:w="6379" w:type="dxa"/>
          </w:tcPr>
          <w:p w14:paraId="19567956" w14:textId="77777777" w:rsidR="00F74CF0" w:rsidRDefault="00F74CF0" w:rsidP="00F90CDC">
            <w:r>
              <w:t>Papers forthcoming</w:t>
            </w:r>
          </w:p>
          <w:p w14:paraId="7947ABB0" w14:textId="25799E61" w:rsidR="00F74CF0" w:rsidRDefault="00F74CF0" w:rsidP="00F90CDC">
            <w:r w:rsidRPr="002D2438">
              <w:t xml:space="preserve">Technical paper on </w:t>
            </w:r>
            <w:proofErr w:type="spellStart"/>
            <w:r w:rsidRPr="002D2438">
              <w:t>ALZpath</w:t>
            </w:r>
            <w:proofErr w:type="spellEnd"/>
            <w:r w:rsidRPr="002D2438">
              <w:t xml:space="preserve"> assay v2:</w:t>
            </w:r>
            <w:r>
              <w:t xml:space="preserve"> </w:t>
            </w:r>
            <w:hyperlink r:id="rId7" w:history="1">
              <w:r w:rsidRPr="008B5F1C">
                <w:rPr>
                  <w:rStyle w:val="Hyperlink"/>
                </w:rPr>
                <w:t>https://alzpath-staging.skybox2.com/wp-content/uploads/2023/06/ALZpath-Simoa-pTau-217-v2-Assay-Tech-Note.pdf</w:t>
              </w:r>
            </w:hyperlink>
            <w:r>
              <w:t xml:space="preserve"> </w:t>
            </w:r>
          </w:p>
        </w:tc>
      </w:tr>
    </w:tbl>
    <w:p w14:paraId="7947ABEC" w14:textId="77777777" w:rsidR="00237780" w:rsidRPr="00237780" w:rsidRDefault="00BA5901" w:rsidP="00F90CDC">
      <w:r>
        <w:t>* See list of categories on Swif</w:t>
      </w:r>
      <w:r w:rsidR="00857C7E">
        <w:t>t</w:t>
      </w:r>
      <w:r w:rsidR="00F90CDC">
        <w:br/>
      </w:r>
      <w:r w:rsidR="00237780">
        <w:rPr>
          <w:vertAlign w:val="superscript"/>
        </w:rPr>
        <w:t xml:space="preserve">± </w:t>
      </w:r>
      <w:r w:rsidR="00237780">
        <w:t>Please delete as appropriate</w:t>
      </w:r>
    </w:p>
    <w:sectPr w:rsidR="00237780" w:rsidRPr="00237780" w:rsidSect="00BA5901">
      <w:pgSz w:w="11906" w:h="16838"/>
      <w:pgMar w:top="1418" w:right="1418" w:bottom="1418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B100FC"/>
    <w:multiLevelType w:val="hybridMultilevel"/>
    <w:tmpl w:val="2EB8A35E"/>
    <w:lvl w:ilvl="0" w:tplc="ACA2379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C1314"/>
    <w:multiLevelType w:val="hybridMultilevel"/>
    <w:tmpl w:val="E9E830E4"/>
    <w:lvl w:ilvl="0" w:tplc="17E8662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A5901"/>
    <w:rsid w:val="000134CE"/>
    <w:rsid w:val="000303FE"/>
    <w:rsid w:val="0003579F"/>
    <w:rsid w:val="00082A7C"/>
    <w:rsid w:val="00086B3E"/>
    <w:rsid w:val="00091660"/>
    <w:rsid w:val="0009284E"/>
    <w:rsid w:val="000B58ED"/>
    <w:rsid w:val="000F182E"/>
    <w:rsid w:val="0010720C"/>
    <w:rsid w:val="0017590A"/>
    <w:rsid w:val="001C469B"/>
    <w:rsid w:val="001F07A7"/>
    <w:rsid w:val="00236F32"/>
    <w:rsid w:val="00237780"/>
    <w:rsid w:val="00290681"/>
    <w:rsid w:val="002A4934"/>
    <w:rsid w:val="002D2438"/>
    <w:rsid w:val="002E0F42"/>
    <w:rsid w:val="003B7821"/>
    <w:rsid w:val="003C7CE3"/>
    <w:rsid w:val="00443CBC"/>
    <w:rsid w:val="004464E4"/>
    <w:rsid w:val="004B2F9A"/>
    <w:rsid w:val="004C228F"/>
    <w:rsid w:val="004C5264"/>
    <w:rsid w:val="004D6CAA"/>
    <w:rsid w:val="004E40B5"/>
    <w:rsid w:val="004E5C0E"/>
    <w:rsid w:val="00513B6E"/>
    <w:rsid w:val="0054214F"/>
    <w:rsid w:val="005550BE"/>
    <w:rsid w:val="005601EA"/>
    <w:rsid w:val="00560B24"/>
    <w:rsid w:val="005B1DA4"/>
    <w:rsid w:val="005D17ED"/>
    <w:rsid w:val="005D3A2C"/>
    <w:rsid w:val="00646697"/>
    <w:rsid w:val="006741EE"/>
    <w:rsid w:val="00692087"/>
    <w:rsid w:val="0070421C"/>
    <w:rsid w:val="00796433"/>
    <w:rsid w:val="007A099C"/>
    <w:rsid w:val="007C6CFB"/>
    <w:rsid w:val="007C7105"/>
    <w:rsid w:val="007F3E53"/>
    <w:rsid w:val="0084372C"/>
    <w:rsid w:val="00857C7E"/>
    <w:rsid w:val="009602DF"/>
    <w:rsid w:val="00986033"/>
    <w:rsid w:val="009B7DB6"/>
    <w:rsid w:val="009D52B2"/>
    <w:rsid w:val="009E0C8F"/>
    <w:rsid w:val="00A10C3F"/>
    <w:rsid w:val="00A13C8E"/>
    <w:rsid w:val="00A24619"/>
    <w:rsid w:val="00A25719"/>
    <w:rsid w:val="00A608A5"/>
    <w:rsid w:val="00B9334F"/>
    <w:rsid w:val="00B97A69"/>
    <w:rsid w:val="00BA5901"/>
    <w:rsid w:val="00BC4E04"/>
    <w:rsid w:val="00C21F4E"/>
    <w:rsid w:val="00C35961"/>
    <w:rsid w:val="00C536D1"/>
    <w:rsid w:val="00C84746"/>
    <w:rsid w:val="00C907BE"/>
    <w:rsid w:val="00CA21D3"/>
    <w:rsid w:val="00D7524E"/>
    <w:rsid w:val="00D77A92"/>
    <w:rsid w:val="00E27A4F"/>
    <w:rsid w:val="00E94A18"/>
    <w:rsid w:val="00EA2511"/>
    <w:rsid w:val="00ED7465"/>
    <w:rsid w:val="00F07FB2"/>
    <w:rsid w:val="00F2412C"/>
    <w:rsid w:val="00F40220"/>
    <w:rsid w:val="00F74CF0"/>
    <w:rsid w:val="00F90CDC"/>
    <w:rsid w:val="00FB15DF"/>
    <w:rsid w:val="00FB66EA"/>
    <w:rsid w:val="00FD5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7AB95"/>
  <w15:docId w15:val="{9D3A8D19-DFF0-4F48-A0EA-EA06CB406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69B"/>
    <w:rPr>
      <w:rFonts w:ascii="Verdana" w:hAnsi="Verdan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5719"/>
    <w:pPr>
      <w:keepNext/>
      <w:keepLines/>
      <w:spacing w:before="240" w:after="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5719"/>
    <w:pPr>
      <w:keepNext/>
      <w:keepLines/>
      <w:spacing w:before="120" w:after="0"/>
      <w:outlineLvl w:val="1"/>
    </w:pPr>
    <w:rPr>
      <w:rFonts w:eastAsiaTheme="majorEastAsia" w:cstheme="majorBidi"/>
      <w:b/>
      <w:bCs/>
      <w:color w:val="4F81BD" w:themeColor="accent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59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590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46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69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25719"/>
    <w:rPr>
      <w:rFonts w:ascii="Verdana" w:eastAsiaTheme="majorEastAsia" w:hAnsi="Verdana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25719"/>
    <w:rPr>
      <w:rFonts w:ascii="Verdana" w:eastAsiaTheme="majorEastAsia" w:hAnsi="Verdana" w:cstheme="majorBidi"/>
      <w:b/>
      <w:bCs/>
      <w:color w:val="4F81BD" w:themeColor="accent1"/>
      <w:sz w:val="24"/>
      <w:szCs w:val="26"/>
    </w:rPr>
  </w:style>
  <w:style w:type="character" w:styleId="Hyperlink">
    <w:name w:val="Hyperlink"/>
    <w:basedOn w:val="DefaultParagraphFont"/>
    <w:uiPriority w:val="99"/>
    <w:unhideWhenUsed/>
    <w:rsid w:val="0069208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20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1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lzpath-staging.skybox2.com/wp-content/uploads/2023/06/ALZpath-Simoa-pTau-217-v2-Assay-Tech-Note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.keshavan@ucl.ac.uk" TargetMode="External"/><Relationship Id="rId5" Type="http://schemas.openxmlformats.org/officeDocument/2006/relationships/hyperlink" Target="mailto:dylan.williams@ucl.ac.uk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2</Pages>
  <Words>599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MRC</Company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Rachel Cooper</dc:creator>
  <cp:lastModifiedBy>Imran Shah</cp:lastModifiedBy>
  <cp:revision>74</cp:revision>
  <dcterms:created xsi:type="dcterms:W3CDTF">2013-08-23T10:39:00Z</dcterms:created>
  <dcterms:modified xsi:type="dcterms:W3CDTF">2025-07-23T15:24:00Z</dcterms:modified>
</cp:coreProperties>
</file>