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635C0" w14:textId="4977DCD1" w:rsidR="001C469B" w:rsidRDefault="00B8088A" w:rsidP="00A25719">
      <w:pPr>
        <w:pStyle w:val="Heading1"/>
      </w:pPr>
      <w:r>
        <w:t>Documentation – I46NAWM – Insight46 phase 1</w:t>
      </w:r>
    </w:p>
    <w:p w14:paraId="5548DCFE" w14:textId="165F21A9" w:rsidR="00A25719" w:rsidRPr="00A25719" w:rsidRDefault="00A25719" w:rsidP="00A25719">
      <w:pPr>
        <w:pStyle w:val="Heading2"/>
        <w:jc w:val="center"/>
      </w:pPr>
    </w:p>
    <w:tbl>
      <w:tblPr>
        <w:tblStyle w:val="TableGrid"/>
        <w:tblW w:w="10697" w:type="dxa"/>
        <w:jc w:val="center"/>
        <w:tblLook w:val="04A0" w:firstRow="1" w:lastRow="0" w:firstColumn="1" w:lastColumn="0" w:noHBand="0" w:noVBand="1"/>
      </w:tblPr>
      <w:tblGrid>
        <w:gridCol w:w="2524"/>
        <w:gridCol w:w="8173"/>
      </w:tblGrid>
      <w:tr w:rsidR="00BA5901" w14:paraId="214D6A11" w14:textId="77777777" w:rsidTr="00B8088A">
        <w:trPr>
          <w:jc w:val="center"/>
        </w:trPr>
        <w:tc>
          <w:tcPr>
            <w:tcW w:w="2524" w:type="dxa"/>
          </w:tcPr>
          <w:p w14:paraId="413B3EC8"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18E45188" w14:textId="77777777" w:rsidR="00F90CDC" w:rsidRPr="00F90CDC" w:rsidRDefault="00F90CDC" w:rsidP="00F90CDC">
            <w:pPr>
              <w:rPr>
                <w:b/>
                <w:vertAlign w:val="superscript"/>
              </w:rPr>
            </w:pPr>
            <w:r w:rsidRPr="00F90CDC">
              <w:rPr>
                <w:b/>
                <w:vertAlign w:val="superscript"/>
              </w:rPr>
              <w:t>(may be more than one)</w:t>
            </w:r>
          </w:p>
          <w:p w14:paraId="0A187DD7" w14:textId="77777777" w:rsidR="00F90CDC" w:rsidRPr="00F90CDC" w:rsidRDefault="00F90CDC" w:rsidP="00F90CDC">
            <w:pPr>
              <w:rPr>
                <w:b/>
                <w:vertAlign w:val="superscript"/>
              </w:rPr>
            </w:pPr>
          </w:p>
        </w:tc>
        <w:tc>
          <w:tcPr>
            <w:tcW w:w="8173" w:type="dxa"/>
          </w:tcPr>
          <w:p w14:paraId="440D0573" w14:textId="3787C407" w:rsidR="00EB3619" w:rsidRPr="00EB3619" w:rsidRDefault="00452138" w:rsidP="00C7460D">
            <w:pPr>
              <w:tabs>
                <w:tab w:val="left" w:pos="1155"/>
              </w:tabs>
              <w:rPr>
                <w:rFonts w:cstheme="majorHAnsi"/>
                <w:szCs w:val="20"/>
                <w:u w:val="single"/>
              </w:rPr>
            </w:pPr>
            <w:r w:rsidRPr="00EB3619">
              <w:rPr>
                <w:szCs w:val="20"/>
                <w:u w:val="single"/>
              </w:rPr>
              <w:t>Imaging outcome measure</w:t>
            </w:r>
            <w:r w:rsidR="00EB3619" w:rsidRPr="00EB3619">
              <w:rPr>
                <w:szCs w:val="20"/>
                <w:u w:val="single"/>
              </w:rPr>
              <w:t xml:space="preserve"> – normal appering white mtter (NAWM)  </w:t>
            </w:r>
            <w:r w:rsidR="00EB3619" w:rsidRPr="00EB3619">
              <w:rPr>
                <w:rFonts w:cstheme="majorHAnsi"/>
                <w:szCs w:val="20"/>
                <w:u w:val="single"/>
              </w:rPr>
              <w:t>diffusion tensor imaging (DTI) parameters indexing microstructural integrity including:</w:t>
            </w:r>
          </w:p>
          <w:p w14:paraId="6A3A2855" w14:textId="542A2B3B" w:rsidR="00EB3619" w:rsidRPr="00EB3619" w:rsidRDefault="00EB3619" w:rsidP="00EB3619">
            <w:pPr>
              <w:pStyle w:val="ListParagraph"/>
              <w:numPr>
                <w:ilvl w:val="0"/>
                <w:numId w:val="11"/>
              </w:numPr>
              <w:tabs>
                <w:tab w:val="left" w:pos="1155"/>
              </w:tabs>
              <w:rPr>
                <w:rFonts w:cstheme="majorHAnsi"/>
                <w:szCs w:val="20"/>
              </w:rPr>
            </w:pPr>
            <w:r w:rsidRPr="00EB3619">
              <w:rPr>
                <w:rFonts w:cstheme="majorHAnsi"/>
                <w:szCs w:val="20"/>
              </w:rPr>
              <w:t>fractional anisotropy (FA)</w:t>
            </w:r>
          </w:p>
          <w:p w14:paraId="66D3C489" w14:textId="77777777" w:rsidR="00EB3619" w:rsidRPr="00EB3619" w:rsidRDefault="00EB3619" w:rsidP="00EB3619">
            <w:pPr>
              <w:pStyle w:val="ListParagraph"/>
              <w:numPr>
                <w:ilvl w:val="0"/>
                <w:numId w:val="11"/>
              </w:numPr>
              <w:tabs>
                <w:tab w:val="left" w:pos="1155"/>
              </w:tabs>
              <w:rPr>
                <w:szCs w:val="20"/>
                <w:u w:val="single"/>
              </w:rPr>
            </w:pPr>
            <w:r w:rsidRPr="00EB3619">
              <w:rPr>
                <w:rFonts w:cstheme="majorHAnsi"/>
                <w:szCs w:val="20"/>
              </w:rPr>
              <w:t xml:space="preserve"> mean diffusivity (MD)</w:t>
            </w:r>
          </w:p>
          <w:p w14:paraId="5A1E1FE5" w14:textId="0D9975CF" w:rsidR="00332C2A" w:rsidRPr="00EB3619" w:rsidRDefault="00EB3619" w:rsidP="00EB3619">
            <w:pPr>
              <w:pStyle w:val="ListParagraph"/>
              <w:numPr>
                <w:ilvl w:val="0"/>
                <w:numId w:val="11"/>
              </w:numPr>
              <w:tabs>
                <w:tab w:val="left" w:pos="1155"/>
              </w:tabs>
              <w:rPr>
                <w:szCs w:val="20"/>
                <w:u w:val="single"/>
              </w:rPr>
            </w:pPr>
            <w:r w:rsidRPr="00EB3619">
              <w:rPr>
                <w:rFonts w:cstheme="majorHAnsi"/>
                <w:szCs w:val="20"/>
              </w:rPr>
              <w:t>neurite orientation dispersion and density imaging (NODDI) derived parameters of neurite density index (NDI)</w:t>
            </w:r>
          </w:p>
          <w:p w14:paraId="53492D16" w14:textId="44245075" w:rsidR="00EB3619" w:rsidRPr="00EB3619" w:rsidRDefault="00EB3619" w:rsidP="00EB3619">
            <w:pPr>
              <w:pStyle w:val="ListParagraph"/>
              <w:numPr>
                <w:ilvl w:val="0"/>
                <w:numId w:val="11"/>
              </w:numPr>
              <w:tabs>
                <w:tab w:val="left" w:pos="1155"/>
              </w:tabs>
              <w:rPr>
                <w:szCs w:val="20"/>
                <w:u w:val="single"/>
              </w:rPr>
            </w:pPr>
            <w:r w:rsidRPr="00EB3619">
              <w:rPr>
                <w:rFonts w:cstheme="majorHAnsi"/>
                <w:szCs w:val="20"/>
              </w:rPr>
              <w:t>neurite orientation dispersion and density imaging (NODDI) derived parameters of orientation dispersion index (ODI)</w:t>
            </w:r>
          </w:p>
          <w:p w14:paraId="0B28B23B" w14:textId="334A4159" w:rsidR="00EB3619" w:rsidRPr="00EB3619" w:rsidRDefault="00EB3619" w:rsidP="00C7460D">
            <w:pPr>
              <w:tabs>
                <w:tab w:val="left" w:pos="1155"/>
              </w:tabs>
              <w:rPr>
                <w:szCs w:val="20"/>
              </w:rPr>
            </w:pPr>
          </w:p>
          <w:p w14:paraId="699D2EFF" w14:textId="77777777" w:rsidR="00EB3619" w:rsidRPr="00EB3619" w:rsidRDefault="00EB3619" w:rsidP="00EB3619">
            <w:pPr>
              <w:jc w:val="both"/>
              <w:rPr>
                <w:rFonts w:cstheme="majorHAnsi"/>
                <w:szCs w:val="20"/>
              </w:rPr>
            </w:pPr>
            <w:r w:rsidRPr="00EB3619">
              <w:rPr>
                <w:rFonts w:cstheme="majorHAnsi"/>
                <w:szCs w:val="20"/>
              </w:rPr>
              <w:t xml:space="preserve">Alterations of NAWM integrity can be assessed by diffusion tensor imaging (DTI) which enables sensitive estimation of white matter tissue microstructure environments using water diffusion properties. Parameters typically include fractional anisotropy (FA), a measure of directionality, and mean diffusivity (MD), a measure of magnitude of diffusion. Additional multicompartmental modelling techniques have been developed to address limitations in these conventional measures. For example, neurite orientation dispersion and density imaging (NODDI) estimates microstructural complexity parameters of neurite density index (NDI), a measure of fraction of axons and dendrites; and orientation dispersion index (ODI), a measure of variability of neurite orientation </w:t>
            </w:r>
            <w:r w:rsidRPr="00EB3619">
              <w:rPr>
                <w:rFonts w:cstheme="majorHAnsi"/>
                <w:szCs w:val="20"/>
              </w:rPr>
              <w:fldChar w:fldCharType="begin" w:fldLock="1"/>
            </w:r>
            <w:r w:rsidRPr="00EB3619">
              <w:rPr>
                <w:rFonts w:cstheme="majorHAnsi"/>
                <w:szCs w:val="20"/>
              </w:rPr>
              <w:instrText>ADDIN CSL_CITATION {"citationItems":[{"id":"ITEM-1","itemData":{"DOI":"10.1016/j.neuroimage.2012.03.072","ISSN":"10538119","PMID":"22484410","abstract":"This paper introduces neurite orientation dispersion and density imaging (NODDI), a practical diffusion MRI technique for estimating the microstructural complexity of dendrites and axons in vivo on clinical MRI scanners. Such indices of neurites relate more directly to and provide more specific markers of brain tissue microstructure than standard indices from diffusion tensor imaging, such as fractional anisotropy (FA). Mapping these indices over the whole brain on clinical scanners presents new opportunities for understanding brain development and disorders. The proposed technique enables such mapping by combining a three-compartment tissue model with a two-shell high-angular-resolution diffusion imaging (HARDI) protocol optimized for clinical feasibility. An index of orientation dispersion is defined to characterize angular variation of neurites. We evaluate the method both in simulation and on a live human brain using a clinical 3T scanner. Results demonstrate that NODDI provides sensible neurite density and orientation dispersion estimates, thereby disentangling two key contributing factors to FA and enabling the analysis of each factor individually. We additionally show that while orientation dispersion can be estimated with just a single HARDI shell, neurite density requires at least two shells and can be estimated more accurately with the optimized two-shell protocol than with alternative two-shell protocols. The optimized protocol takes about 30 min to acquire, making it feasible for inclusion in a typical clinical setting. We further show that sampling fewer orientations in each shell can reduce the acquisition time to just 10 min with minimal impact on the accuracy of the estimates. This demonstrates the feasibility of NODDI even for the most time-sensitive clinical applications, such as neonatal and dementia imaging.","author":[{"dropping-particle":"","family":"Zhang","given":"Hui","non-dropping-particle":"","parse-names":false,"suffix":""},{"dropping-particle":"","family":"Schneider","given":"Torben","non-dropping-particle":"","parse-names":false,"suffix":""},{"dropping-particle":"","family":"Wheeler-Kingshott","given":"Claudia A.","non-dropping-particle":"","parse-names":false,"suffix":""},{"dropping-particle":"","family":"Alexander","given":"Daniel C.","non-dropping-particle":"","parse-names":false,"suffix":""}],"container-title":"NeuroImage","id":"ITEM-1","issue":"4","issued":{"date-parts":[["2012","7","16"]]},"page":"1000-1016","title":"NODDI: Practical in vivo neurite orientation dispersion and density imaging of the human brain","type":"article-journal","volume":"61"},"uris":["http://www.mendeley.com/documents/?uuid=81b87328-8070-3dca-a0f5-b0c78a211d3e"]}],"mendeley":{"formattedCitation":"(5)","plainTextFormattedCitation":"(5)","previouslyFormattedCitation":"(5)"},"properties":{"noteIndex":0},"schema":"https://github.com/citation-style-language/schema/raw/master/csl-citation.json"}</w:instrText>
            </w:r>
            <w:r w:rsidRPr="00EB3619">
              <w:rPr>
                <w:rFonts w:cstheme="majorHAnsi"/>
                <w:szCs w:val="20"/>
              </w:rPr>
              <w:fldChar w:fldCharType="separate"/>
            </w:r>
            <w:r w:rsidRPr="00EB3619">
              <w:rPr>
                <w:rFonts w:cstheme="majorHAnsi"/>
                <w:noProof/>
                <w:szCs w:val="20"/>
              </w:rPr>
              <w:t>(5)</w:t>
            </w:r>
            <w:r w:rsidRPr="00EB3619">
              <w:rPr>
                <w:rFonts w:cstheme="majorHAnsi"/>
                <w:szCs w:val="20"/>
              </w:rPr>
              <w:fldChar w:fldCharType="end"/>
            </w:r>
            <w:r w:rsidRPr="00EB3619">
              <w:rPr>
                <w:rFonts w:cstheme="majorHAnsi"/>
                <w:szCs w:val="20"/>
              </w:rPr>
              <w:t>. Lower values for FA and NDI and higher values for MD and ODI are thought to represent worse microstructural integrity.</w:t>
            </w:r>
          </w:p>
          <w:p w14:paraId="1EC7F04A" w14:textId="77777777" w:rsidR="00332C2A" w:rsidRDefault="00332C2A" w:rsidP="00C7460D">
            <w:pPr>
              <w:tabs>
                <w:tab w:val="left" w:pos="1155"/>
              </w:tabs>
            </w:pPr>
          </w:p>
          <w:p w14:paraId="69BA0B39" w14:textId="50BA8688" w:rsidR="00BA5901" w:rsidRPr="00C7460D" w:rsidRDefault="00C7460D" w:rsidP="00C7460D">
            <w:pPr>
              <w:tabs>
                <w:tab w:val="left" w:pos="1155"/>
              </w:tabs>
            </w:pPr>
            <w:r>
              <w:tab/>
            </w:r>
          </w:p>
        </w:tc>
      </w:tr>
    </w:tbl>
    <w:p w14:paraId="109960F0" w14:textId="05856AF4" w:rsidR="00237780" w:rsidRDefault="00237780" w:rsidP="00F90CDC"/>
    <w:p w14:paraId="7B120946" w14:textId="77777777" w:rsidR="00385FBB" w:rsidRDefault="00385FBB" w:rsidP="00F90CDC">
      <w:pPr>
        <w:rPr>
          <w:b/>
          <w:u w:val="single"/>
        </w:rPr>
      </w:pPr>
    </w:p>
    <w:p w14:paraId="734302E6" w14:textId="68FB40F2" w:rsidR="00385FBB" w:rsidRPr="00385FBB" w:rsidRDefault="00385FBB" w:rsidP="00382CD7">
      <w:pPr>
        <w:jc w:val="both"/>
        <w:rPr>
          <w:b/>
          <w:u w:val="single"/>
        </w:rPr>
      </w:pPr>
      <w:r w:rsidRPr="00385FBB">
        <w:rPr>
          <w:b/>
          <w:u w:val="single"/>
        </w:rPr>
        <w:t xml:space="preserve">Background </w:t>
      </w:r>
    </w:p>
    <w:p w14:paraId="513851DA" w14:textId="78A90C1B" w:rsidR="00652CB7" w:rsidRDefault="00332C2A" w:rsidP="00332C2A">
      <w:pPr>
        <w:jc w:val="both"/>
        <w:rPr>
          <w:rFonts w:asciiTheme="minorHAnsi" w:hAnsiTheme="minorHAnsi" w:cstheme="majorHAnsi"/>
          <w:sz w:val="22"/>
        </w:rPr>
      </w:pPr>
      <w:r w:rsidRPr="00356876">
        <w:rPr>
          <w:rFonts w:asciiTheme="minorHAnsi" w:hAnsiTheme="minorHAnsi" w:cstheme="majorHAnsi"/>
          <w:sz w:val="22"/>
        </w:rPr>
        <w:t xml:space="preserve">Alterations of NAWM integrity can be assessed by diffusion tensor imaging (DTI) which enables sensitive estimation of white matter tissue microstructure environments using water diffusion properties. Parameters typically include fractional anisotropy (FA), a measure of directionality, and mean diffusivity (MD), a measure of magnitude of diffusion. Additional multicompartmental modelling techniques have been developed to address limitations in these conventional measures. For example, neurite orientation dispersion and density imaging (NODDI) estimates microstructural complexity parameters of neurite density index (NDI), a measure of fraction of axons and dendrites; and orientation dispersion index (ODI), a measure of variability of neurite orientation </w:t>
      </w:r>
      <w:r w:rsidRPr="00356876">
        <w:rPr>
          <w:rFonts w:asciiTheme="minorHAnsi" w:hAnsiTheme="minorHAnsi" w:cstheme="majorHAnsi"/>
          <w:sz w:val="22"/>
        </w:rPr>
        <w:fldChar w:fldCharType="begin" w:fldLock="1"/>
      </w:r>
      <w:r w:rsidRPr="00356876">
        <w:rPr>
          <w:rFonts w:asciiTheme="minorHAnsi" w:hAnsiTheme="minorHAnsi" w:cstheme="majorHAnsi"/>
          <w:sz w:val="22"/>
        </w:rPr>
        <w:instrText>ADDIN CSL_CITATION {"citationItems":[{"id":"ITEM-1","itemData":{"DOI":"10.1016/j.neuroimage.2012.03.072","ISSN":"10538119","PMID":"22484410","abstract":"This paper introduces neurite orientation dispersion and density imaging (NODDI), a practical diffusion MRI technique for estimating the microstructural complexity of dendrites and axons in vivo on clinical MRI scanners. Such indices of neurites relate more directly to and provide more specific markers of brain tissue microstructure than standard indices from diffusion tensor imaging, such as fractional anisotropy (FA). Mapping these indices over the whole brain on clinical scanners presents new opportunities for understanding brain development and disorders. The proposed technique enables such mapping by combining a three-compartment tissue model with a two-shell high-angular-resolution diffusion imaging (HARDI) protocol optimized for clinical feasibility. An index of orientation dispersion is defined to characterize angular variation of neurites. We evaluate the method both in simulation and on a live human brain using a clinical 3T scanner. Results demonstrate that NODDI provides sensible neurite density and orientation dispersion estimates, thereby disentangling two key contributing factors to FA and enabling the analysis of each factor individually. We additionally show that while orientation dispersion can be estimated with just a single HARDI shell, neurite density requires at least two shells and can be estimated more accurately with the optimized two-shell protocol than with alternative two-shell protocols. The optimized protocol takes about 30 min to acquire, making it feasible for inclusion in a typical clinical setting. We further show that sampling fewer orientations in each shell can reduce the acquisition time to just 10 min with minimal impact on the accuracy of the estimates. This demonstrates the feasibility of NODDI even for the most time-sensitive clinical applications, such as neonatal and dementia imaging.","author":[{"dropping-particle":"","family":"Zhang","given":"Hui","non-dropping-particle":"","parse-names":false,"suffix":""},{"dropping-particle":"","family":"Schneider","given":"Torben","non-dropping-particle":"","parse-names":false,"suffix":""},{"dropping-particle":"","family":"Wheeler-Kingshott","given":"Claudia A.","non-dropping-particle":"","parse-names":false,"suffix":""},{"dropping-particle":"","family":"Alexander","given":"Daniel C.","non-dropping-particle":"","parse-names":false,"suffix":""}],"container-title":"NeuroImage","id":"ITEM-1","issue":"4","issued":{"date-parts":[["2012","7","16"]]},"page":"1000-1016","title":"NODDI: Practical in vivo neurite orientation dispersion and density imaging of the human brain","type":"article-journal","volume":"61"},"uris":["http://www.mendeley.com/documents/?uuid=81b87328-8070-3dca-a0f5-b0c78a211d3e"]}],"mendeley":{"formattedCitation":"(5)","plainTextFormattedCitation":"(5)","previouslyFormattedCitation":"(5)"},"properties":{"noteIndex":0},"schema":"https://github.com/citation-style-language/schema/raw/master/csl-citation.json"}</w:instrText>
      </w:r>
      <w:r w:rsidRPr="00356876">
        <w:rPr>
          <w:rFonts w:asciiTheme="minorHAnsi" w:hAnsiTheme="minorHAnsi" w:cstheme="majorHAnsi"/>
          <w:sz w:val="22"/>
        </w:rPr>
        <w:fldChar w:fldCharType="separate"/>
      </w:r>
      <w:r w:rsidRPr="00356876">
        <w:rPr>
          <w:rFonts w:asciiTheme="minorHAnsi" w:hAnsiTheme="minorHAnsi" w:cstheme="majorHAnsi"/>
          <w:noProof/>
          <w:sz w:val="22"/>
        </w:rPr>
        <w:t>(5)</w:t>
      </w:r>
      <w:r w:rsidRPr="00356876">
        <w:rPr>
          <w:rFonts w:asciiTheme="minorHAnsi" w:hAnsiTheme="minorHAnsi" w:cstheme="majorHAnsi"/>
          <w:sz w:val="22"/>
        </w:rPr>
        <w:fldChar w:fldCharType="end"/>
      </w:r>
      <w:r w:rsidRPr="00356876">
        <w:rPr>
          <w:rFonts w:asciiTheme="minorHAnsi" w:hAnsiTheme="minorHAnsi" w:cstheme="majorHAnsi"/>
          <w:sz w:val="22"/>
        </w:rPr>
        <w:t>. Lower values for FA and NDI and higher values for MD and ODI are thought to represent worse microstructural integrity.</w:t>
      </w:r>
    </w:p>
    <w:tbl>
      <w:tblPr>
        <w:tblW w:w="7580" w:type="dxa"/>
        <w:tblLook w:val="04A0" w:firstRow="1" w:lastRow="0" w:firstColumn="1" w:lastColumn="0" w:noHBand="0" w:noVBand="1"/>
      </w:tblPr>
      <w:tblGrid>
        <w:gridCol w:w="3680"/>
        <w:gridCol w:w="1300"/>
        <w:gridCol w:w="1300"/>
        <w:gridCol w:w="1300"/>
      </w:tblGrid>
      <w:tr w:rsidR="000D19CD" w:rsidRPr="000D19CD" w14:paraId="1C8308F6" w14:textId="77777777" w:rsidTr="000D19CD">
        <w:trPr>
          <w:trHeight w:val="320"/>
        </w:trPr>
        <w:tc>
          <w:tcPr>
            <w:tcW w:w="3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C5C10" w14:textId="77777777" w:rsidR="000D19CD" w:rsidRPr="000D19CD" w:rsidRDefault="000D19CD" w:rsidP="000D19CD">
            <w:pPr>
              <w:spacing w:after="0" w:line="240" w:lineRule="auto"/>
              <w:rPr>
                <w:rFonts w:ascii="Calibri" w:eastAsia="Times New Roman" w:hAnsi="Calibri" w:cs="Calibri"/>
                <w:b/>
                <w:bCs/>
                <w:color w:val="000000"/>
                <w:sz w:val="24"/>
                <w:szCs w:val="24"/>
                <w:lang w:eastAsia="en-GB"/>
              </w:rPr>
            </w:pPr>
            <w:r w:rsidRPr="000D19CD">
              <w:rPr>
                <w:rFonts w:ascii="Calibri" w:eastAsia="Times New Roman" w:hAnsi="Calibri" w:cs="Calibri"/>
                <w:b/>
                <w:bCs/>
                <w:color w:val="000000"/>
                <w:sz w:val="24"/>
                <w:szCs w:val="24"/>
                <w:lang w:eastAsia="en-GB"/>
              </w:rPr>
              <w:t>DTI NAWM: reason failed</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EC49E03"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Freq.</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07EECEE2"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Percent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F8355E4"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Cum.</w:t>
            </w:r>
          </w:p>
        </w:tc>
      </w:tr>
      <w:tr w:rsidR="000D19CD" w:rsidRPr="000D19CD" w14:paraId="29D7CFDB"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69FB8607"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7151B160"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660EB339"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5CFE7B94"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r>
      <w:tr w:rsidR="000D19CD" w:rsidRPr="000D19CD" w14:paraId="4B21E9F9"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574DDE66"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pass</w:t>
            </w:r>
          </w:p>
        </w:tc>
        <w:tc>
          <w:tcPr>
            <w:tcW w:w="1300" w:type="dxa"/>
            <w:tcBorders>
              <w:top w:val="nil"/>
              <w:left w:val="nil"/>
              <w:bottom w:val="single" w:sz="4" w:space="0" w:color="auto"/>
              <w:right w:val="single" w:sz="4" w:space="0" w:color="auto"/>
            </w:tcBorders>
            <w:shd w:val="clear" w:color="auto" w:fill="auto"/>
            <w:noWrap/>
            <w:vAlign w:val="bottom"/>
            <w:hideMark/>
          </w:tcPr>
          <w:p w14:paraId="6159C0BA"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411</w:t>
            </w:r>
          </w:p>
        </w:tc>
        <w:tc>
          <w:tcPr>
            <w:tcW w:w="1300" w:type="dxa"/>
            <w:tcBorders>
              <w:top w:val="nil"/>
              <w:left w:val="nil"/>
              <w:bottom w:val="single" w:sz="4" w:space="0" w:color="auto"/>
              <w:right w:val="single" w:sz="4" w:space="0" w:color="auto"/>
            </w:tcBorders>
            <w:shd w:val="clear" w:color="auto" w:fill="auto"/>
            <w:noWrap/>
            <w:vAlign w:val="bottom"/>
            <w:hideMark/>
          </w:tcPr>
          <w:p w14:paraId="4B4378F6"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81.87</w:t>
            </w:r>
          </w:p>
        </w:tc>
        <w:tc>
          <w:tcPr>
            <w:tcW w:w="1300" w:type="dxa"/>
            <w:tcBorders>
              <w:top w:val="nil"/>
              <w:left w:val="nil"/>
              <w:bottom w:val="single" w:sz="4" w:space="0" w:color="auto"/>
              <w:right w:val="single" w:sz="4" w:space="0" w:color="auto"/>
            </w:tcBorders>
            <w:shd w:val="clear" w:color="auto" w:fill="auto"/>
            <w:noWrap/>
            <w:vAlign w:val="bottom"/>
            <w:hideMark/>
          </w:tcPr>
          <w:p w14:paraId="76844397"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81.87</w:t>
            </w:r>
          </w:p>
        </w:tc>
      </w:tr>
      <w:tr w:rsidR="000D19CD" w:rsidRPr="000D19CD" w14:paraId="0EB470D8"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599E2D7F"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no scan</w:t>
            </w:r>
          </w:p>
        </w:tc>
        <w:tc>
          <w:tcPr>
            <w:tcW w:w="1300" w:type="dxa"/>
            <w:tcBorders>
              <w:top w:val="nil"/>
              <w:left w:val="nil"/>
              <w:bottom w:val="single" w:sz="4" w:space="0" w:color="auto"/>
              <w:right w:val="single" w:sz="4" w:space="0" w:color="auto"/>
            </w:tcBorders>
            <w:shd w:val="clear" w:color="auto" w:fill="auto"/>
            <w:noWrap/>
            <w:vAlign w:val="bottom"/>
            <w:hideMark/>
          </w:tcPr>
          <w:p w14:paraId="24443476"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31</w:t>
            </w:r>
          </w:p>
        </w:tc>
        <w:tc>
          <w:tcPr>
            <w:tcW w:w="1300" w:type="dxa"/>
            <w:tcBorders>
              <w:top w:val="nil"/>
              <w:left w:val="nil"/>
              <w:bottom w:val="single" w:sz="4" w:space="0" w:color="auto"/>
              <w:right w:val="single" w:sz="4" w:space="0" w:color="auto"/>
            </w:tcBorders>
            <w:shd w:val="clear" w:color="auto" w:fill="auto"/>
            <w:noWrap/>
            <w:vAlign w:val="bottom"/>
            <w:hideMark/>
          </w:tcPr>
          <w:p w14:paraId="679D45BE"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6.18</w:t>
            </w:r>
          </w:p>
        </w:tc>
        <w:tc>
          <w:tcPr>
            <w:tcW w:w="1300" w:type="dxa"/>
            <w:tcBorders>
              <w:top w:val="nil"/>
              <w:left w:val="nil"/>
              <w:bottom w:val="single" w:sz="4" w:space="0" w:color="auto"/>
              <w:right w:val="single" w:sz="4" w:space="0" w:color="auto"/>
            </w:tcBorders>
            <w:shd w:val="clear" w:color="auto" w:fill="auto"/>
            <w:noWrap/>
            <w:vAlign w:val="bottom"/>
            <w:hideMark/>
          </w:tcPr>
          <w:p w14:paraId="178970AE"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91.24</w:t>
            </w:r>
          </w:p>
        </w:tc>
      </w:tr>
      <w:tr w:rsidR="000D19CD" w:rsidRPr="000D19CD" w14:paraId="4E0EBEBE"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3B59D9B3"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short scan protocol (no dti)</w:t>
            </w:r>
          </w:p>
        </w:tc>
        <w:tc>
          <w:tcPr>
            <w:tcW w:w="1300" w:type="dxa"/>
            <w:tcBorders>
              <w:top w:val="nil"/>
              <w:left w:val="nil"/>
              <w:bottom w:val="single" w:sz="4" w:space="0" w:color="auto"/>
              <w:right w:val="single" w:sz="4" w:space="0" w:color="auto"/>
            </w:tcBorders>
            <w:shd w:val="clear" w:color="auto" w:fill="auto"/>
            <w:noWrap/>
            <w:vAlign w:val="bottom"/>
            <w:hideMark/>
          </w:tcPr>
          <w:p w14:paraId="01016998"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17</w:t>
            </w:r>
          </w:p>
        </w:tc>
        <w:tc>
          <w:tcPr>
            <w:tcW w:w="1300" w:type="dxa"/>
            <w:tcBorders>
              <w:top w:val="nil"/>
              <w:left w:val="nil"/>
              <w:bottom w:val="single" w:sz="4" w:space="0" w:color="auto"/>
              <w:right w:val="single" w:sz="4" w:space="0" w:color="auto"/>
            </w:tcBorders>
            <w:shd w:val="clear" w:color="auto" w:fill="auto"/>
            <w:noWrap/>
            <w:vAlign w:val="bottom"/>
            <w:hideMark/>
          </w:tcPr>
          <w:p w14:paraId="2E3C9D39"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3.39</w:t>
            </w:r>
          </w:p>
        </w:tc>
        <w:tc>
          <w:tcPr>
            <w:tcW w:w="1300" w:type="dxa"/>
            <w:tcBorders>
              <w:top w:val="nil"/>
              <w:left w:val="nil"/>
              <w:bottom w:val="single" w:sz="4" w:space="0" w:color="auto"/>
              <w:right w:val="single" w:sz="4" w:space="0" w:color="auto"/>
            </w:tcBorders>
            <w:shd w:val="clear" w:color="auto" w:fill="auto"/>
            <w:noWrap/>
            <w:vAlign w:val="bottom"/>
            <w:hideMark/>
          </w:tcPr>
          <w:p w14:paraId="6668659A"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94.62</w:t>
            </w:r>
          </w:p>
        </w:tc>
      </w:tr>
      <w:tr w:rsidR="000D19CD" w:rsidRPr="000D19CD" w14:paraId="6E2C9CFF"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26B84F80"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QC DTI B700 fail</w:t>
            </w:r>
          </w:p>
        </w:tc>
        <w:tc>
          <w:tcPr>
            <w:tcW w:w="1300" w:type="dxa"/>
            <w:tcBorders>
              <w:top w:val="nil"/>
              <w:left w:val="nil"/>
              <w:bottom w:val="single" w:sz="4" w:space="0" w:color="auto"/>
              <w:right w:val="single" w:sz="4" w:space="0" w:color="auto"/>
            </w:tcBorders>
            <w:shd w:val="clear" w:color="auto" w:fill="auto"/>
            <w:noWrap/>
            <w:vAlign w:val="bottom"/>
            <w:hideMark/>
          </w:tcPr>
          <w:p w14:paraId="07CE9820"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14</w:t>
            </w:r>
          </w:p>
        </w:tc>
        <w:tc>
          <w:tcPr>
            <w:tcW w:w="1300" w:type="dxa"/>
            <w:tcBorders>
              <w:top w:val="nil"/>
              <w:left w:val="nil"/>
              <w:bottom w:val="single" w:sz="4" w:space="0" w:color="auto"/>
              <w:right w:val="single" w:sz="4" w:space="0" w:color="auto"/>
            </w:tcBorders>
            <w:shd w:val="clear" w:color="auto" w:fill="auto"/>
            <w:noWrap/>
            <w:vAlign w:val="bottom"/>
            <w:hideMark/>
          </w:tcPr>
          <w:p w14:paraId="1BAEC710"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2.79</w:t>
            </w:r>
          </w:p>
        </w:tc>
        <w:tc>
          <w:tcPr>
            <w:tcW w:w="1300" w:type="dxa"/>
            <w:tcBorders>
              <w:top w:val="nil"/>
              <w:left w:val="nil"/>
              <w:bottom w:val="single" w:sz="4" w:space="0" w:color="auto"/>
              <w:right w:val="single" w:sz="4" w:space="0" w:color="auto"/>
            </w:tcBorders>
            <w:shd w:val="clear" w:color="auto" w:fill="auto"/>
            <w:noWrap/>
            <w:vAlign w:val="bottom"/>
            <w:hideMark/>
          </w:tcPr>
          <w:p w14:paraId="1B177693"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97.41</w:t>
            </w:r>
          </w:p>
        </w:tc>
      </w:tr>
      <w:tr w:rsidR="000D19CD" w:rsidRPr="000D19CD" w14:paraId="381D695D"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408FDA4C"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QC DTI B2000/noddi fail</w:t>
            </w:r>
          </w:p>
        </w:tc>
        <w:tc>
          <w:tcPr>
            <w:tcW w:w="1300" w:type="dxa"/>
            <w:tcBorders>
              <w:top w:val="nil"/>
              <w:left w:val="nil"/>
              <w:bottom w:val="single" w:sz="4" w:space="0" w:color="auto"/>
              <w:right w:val="single" w:sz="4" w:space="0" w:color="auto"/>
            </w:tcBorders>
            <w:shd w:val="clear" w:color="auto" w:fill="auto"/>
            <w:noWrap/>
            <w:vAlign w:val="bottom"/>
            <w:hideMark/>
          </w:tcPr>
          <w:p w14:paraId="69B67298"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13</w:t>
            </w:r>
          </w:p>
        </w:tc>
        <w:tc>
          <w:tcPr>
            <w:tcW w:w="1300" w:type="dxa"/>
            <w:tcBorders>
              <w:top w:val="nil"/>
              <w:left w:val="nil"/>
              <w:bottom w:val="single" w:sz="4" w:space="0" w:color="auto"/>
              <w:right w:val="single" w:sz="4" w:space="0" w:color="auto"/>
            </w:tcBorders>
            <w:shd w:val="clear" w:color="auto" w:fill="auto"/>
            <w:noWrap/>
            <w:vAlign w:val="bottom"/>
            <w:hideMark/>
          </w:tcPr>
          <w:p w14:paraId="17571B05"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2.59</w:t>
            </w:r>
          </w:p>
        </w:tc>
        <w:tc>
          <w:tcPr>
            <w:tcW w:w="1300" w:type="dxa"/>
            <w:tcBorders>
              <w:top w:val="nil"/>
              <w:left w:val="nil"/>
              <w:bottom w:val="single" w:sz="4" w:space="0" w:color="auto"/>
              <w:right w:val="single" w:sz="4" w:space="0" w:color="auto"/>
            </w:tcBorders>
            <w:shd w:val="clear" w:color="auto" w:fill="auto"/>
            <w:noWrap/>
            <w:vAlign w:val="bottom"/>
            <w:hideMark/>
          </w:tcPr>
          <w:p w14:paraId="03B45494"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100</w:t>
            </w:r>
          </w:p>
        </w:tc>
      </w:tr>
    </w:tbl>
    <w:p w14:paraId="0FC097DF" w14:textId="77777777" w:rsidR="009E43DC" w:rsidRPr="00356876" w:rsidRDefault="009E43DC" w:rsidP="00332C2A">
      <w:pPr>
        <w:jc w:val="both"/>
        <w:rPr>
          <w:rFonts w:asciiTheme="minorHAnsi" w:hAnsiTheme="minorHAnsi" w:cstheme="majorHAnsi"/>
          <w:sz w:val="22"/>
        </w:rPr>
      </w:pPr>
    </w:p>
    <w:tbl>
      <w:tblPr>
        <w:tblW w:w="7580" w:type="dxa"/>
        <w:tblLook w:val="04A0" w:firstRow="1" w:lastRow="0" w:firstColumn="1" w:lastColumn="0" w:noHBand="0" w:noVBand="1"/>
      </w:tblPr>
      <w:tblGrid>
        <w:gridCol w:w="3680"/>
        <w:gridCol w:w="1300"/>
        <w:gridCol w:w="1300"/>
        <w:gridCol w:w="1300"/>
      </w:tblGrid>
      <w:tr w:rsidR="000D19CD" w:rsidRPr="000D19CD" w14:paraId="3B2FBB29" w14:textId="77777777" w:rsidTr="000D19CD">
        <w:trPr>
          <w:trHeight w:val="320"/>
        </w:trPr>
        <w:tc>
          <w:tcPr>
            <w:tcW w:w="3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8EC4CB"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lastRenderedPageBreak/>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1720443D"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Freq.</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BE69D3E"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Percent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92B3F7E"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Cum.</w:t>
            </w:r>
          </w:p>
        </w:tc>
      </w:tr>
      <w:tr w:rsidR="000D19CD" w:rsidRPr="000D19CD" w14:paraId="0CD78B95"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312BED6F" w14:textId="77777777" w:rsidR="000D19CD" w:rsidRPr="000D19CD" w:rsidRDefault="000D19CD" w:rsidP="000D19CD">
            <w:pPr>
              <w:spacing w:after="0" w:line="240" w:lineRule="auto"/>
              <w:rPr>
                <w:rFonts w:ascii="Calibri" w:eastAsia="Times New Roman" w:hAnsi="Calibri" w:cs="Calibri"/>
                <w:b/>
                <w:bCs/>
                <w:color w:val="000000"/>
                <w:sz w:val="24"/>
                <w:szCs w:val="24"/>
                <w:lang w:eastAsia="en-GB"/>
              </w:rPr>
            </w:pPr>
            <w:r w:rsidRPr="000D19CD">
              <w:rPr>
                <w:rFonts w:ascii="Calibri" w:eastAsia="Times New Roman" w:hAnsi="Calibri" w:cs="Calibri"/>
                <w:b/>
                <w:bCs/>
                <w:color w:val="000000"/>
                <w:sz w:val="24"/>
                <w:szCs w:val="24"/>
                <w:lang w:eastAsia="en-GB"/>
              </w:rPr>
              <w:t>in46_w1_qc_nawm_all</w:t>
            </w:r>
          </w:p>
        </w:tc>
        <w:tc>
          <w:tcPr>
            <w:tcW w:w="1300" w:type="dxa"/>
            <w:tcBorders>
              <w:top w:val="nil"/>
              <w:left w:val="nil"/>
              <w:bottom w:val="single" w:sz="4" w:space="0" w:color="auto"/>
              <w:right w:val="single" w:sz="4" w:space="0" w:color="auto"/>
            </w:tcBorders>
            <w:shd w:val="clear" w:color="auto" w:fill="auto"/>
            <w:noWrap/>
            <w:vAlign w:val="bottom"/>
            <w:hideMark/>
          </w:tcPr>
          <w:p w14:paraId="7D40977C"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320059EC"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52867F89"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r>
      <w:tr w:rsidR="000D19CD" w:rsidRPr="000D19CD" w14:paraId="117297BB"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44127A51"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0 = didn't pass</w:t>
            </w:r>
          </w:p>
        </w:tc>
        <w:tc>
          <w:tcPr>
            <w:tcW w:w="1300" w:type="dxa"/>
            <w:tcBorders>
              <w:top w:val="nil"/>
              <w:left w:val="nil"/>
              <w:bottom w:val="single" w:sz="4" w:space="0" w:color="auto"/>
              <w:right w:val="single" w:sz="4" w:space="0" w:color="auto"/>
            </w:tcBorders>
            <w:shd w:val="clear" w:color="auto" w:fill="auto"/>
            <w:noWrap/>
            <w:vAlign w:val="bottom"/>
            <w:hideMark/>
          </w:tcPr>
          <w:p w14:paraId="13EB4F31"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78</w:t>
            </w:r>
          </w:p>
        </w:tc>
        <w:tc>
          <w:tcPr>
            <w:tcW w:w="1300" w:type="dxa"/>
            <w:tcBorders>
              <w:top w:val="nil"/>
              <w:left w:val="nil"/>
              <w:bottom w:val="single" w:sz="4" w:space="0" w:color="auto"/>
              <w:right w:val="single" w:sz="4" w:space="0" w:color="auto"/>
            </w:tcBorders>
            <w:shd w:val="clear" w:color="auto" w:fill="auto"/>
            <w:noWrap/>
            <w:vAlign w:val="bottom"/>
            <w:hideMark/>
          </w:tcPr>
          <w:p w14:paraId="4549D581"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15.54</w:t>
            </w:r>
          </w:p>
        </w:tc>
        <w:tc>
          <w:tcPr>
            <w:tcW w:w="1300" w:type="dxa"/>
            <w:tcBorders>
              <w:top w:val="nil"/>
              <w:left w:val="nil"/>
              <w:bottom w:val="single" w:sz="4" w:space="0" w:color="auto"/>
              <w:right w:val="single" w:sz="4" w:space="0" w:color="auto"/>
            </w:tcBorders>
            <w:shd w:val="clear" w:color="auto" w:fill="auto"/>
            <w:noWrap/>
            <w:vAlign w:val="bottom"/>
            <w:hideMark/>
          </w:tcPr>
          <w:p w14:paraId="3C909360"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15.54</w:t>
            </w:r>
          </w:p>
        </w:tc>
      </w:tr>
      <w:tr w:rsidR="000D19CD" w:rsidRPr="000D19CD" w14:paraId="20796228"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743389D7"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 = pass</w:t>
            </w:r>
          </w:p>
        </w:tc>
        <w:tc>
          <w:tcPr>
            <w:tcW w:w="1300" w:type="dxa"/>
            <w:tcBorders>
              <w:top w:val="nil"/>
              <w:left w:val="nil"/>
              <w:bottom w:val="single" w:sz="4" w:space="0" w:color="auto"/>
              <w:right w:val="single" w:sz="4" w:space="0" w:color="auto"/>
            </w:tcBorders>
            <w:shd w:val="clear" w:color="auto" w:fill="auto"/>
            <w:noWrap/>
            <w:vAlign w:val="bottom"/>
            <w:hideMark/>
          </w:tcPr>
          <w:p w14:paraId="783C040C"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424</w:t>
            </w:r>
          </w:p>
        </w:tc>
        <w:tc>
          <w:tcPr>
            <w:tcW w:w="1300" w:type="dxa"/>
            <w:tcBorders>
              <w:top w:val="nil"/>
              <w:left w:val="nil"/>
              <w:bottom w:val="single" w:sz="4" w:space="0" w:color="auto"/>
              <w:right w:val="single" w:sz="4" w:space="0" w:color="auto"/>
            </w:tcBorders>
            <w:shd w:val="clear" w:color="auto" w:fill="auto"/>
            <w:noWrap/>
            <w:vAlign w:val="bottom"/>
            <w:hideMark/>
          </w:tcPr>
          <w:p w14:paraId="317445CF"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84.46</w:t>
            </w:r>
          </w:p>
        </w:tc>
        <w:tc>
          <w:tcPr>
            <w:tcW w:w="1300" w:type="dxa"/>
            <w:tcBorders>
              <w:top w:val="nil"/>
              <w:left w:val="nil"/>
              <w:bottom w:val="single" w:sz="4" w:space="0" w:color="auto"/>
              <w:right w:val="single" w:sz="4" w:space="0" w:color="auto"/>
            </w:tcBorders>
            <w:shd w:val="clear" w:color="auto" w:fill="auto"/>
            <w:noWrap/>
            <w:vAlign w:val="bottom"/>
            <w:hideMark/>
          </w:tcPr>
          <w:p w14:paraId="54A6DD01"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100</w:t>
            </w:r>
          </w:p>
        </w:tc>
      </w:tr>
    </w:tbl>
    <w:p w14:paraId="6FDFF722" w14:textId="5B5FE615" w:rsidR="00081212" w:rsidRDefault="00081212" w:rsidP="0053530F"/>
    <w:tbl>
      <w:tblPr>
        <w:tblW w:w="7580" w:type="dxa"/>
        <w:tblLook w:val="04A0" w:firstRow="1" w:lastRow="0" w:firstColumn="1" w:lastColumn="0" w:noHBand="0" w:noVBand="1"/>
      </w:tblPr>
      <w:tblGrid>
        <w:gridCol w:w="3680"/>
        <w:gridCol w:w="1300"/>
        <w:gridCol w:w="1300"/>
        <w:gridCol w:w="1300"/>
      </w:tblGrid>
      <w:tr w:rsidR="000D19CD" w:rsidRPr="000D19CD" w14:paraId="695E8DDD" w14:textId="77777777" w:rsidTr="000D19CD">
        <w:trPr>
          <w:trHeight w:val="320"/>
        </w:trPr>
        <w:tc>
          <w:tcPr>
            <w:tcW w:w="3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476CC"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5E4E6359"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Freq.</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00463543"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Percent</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075FC58"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Cum.</w:t>
            </w:r>
          </w:p>
        </w:tc>
      </w:tr>
      <w:tr w:rsidR="000D19CD" w:rsidRPr="000D19CD" w14:paraId="2E32E64C"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6B7553F7" w14:textId="77777777" w:rsidR="000D19CD" w:rsidRPr="000D19CD" w:rsidRDefault="000D19CD" w:rsidP="000D19CD">
            <w:pPr>
              <w:spacing w:after="0" w:line="240" w:lineRule="auto"/>
              <w:rPr>
                <w:rFonts w:ascii="Calibri" w:eastAsia="Times New Roman" w:hAnsi="Calibri" w:cs="Calibri"/>
                <w:b/>
                <w:bCs/>
                <w:color w:val="000000"/>
                <w:sz w:val="24"/>
                <w:szCs w:val="24"/>
                <w:lang w:eastAsia="en-GB"/>
              </w:rPr>
            </w:pPr>
            <w:r w:rsidRPr="000D19CD">
              <w:rPr>
                <w:rFonts w:ascii="Calibri" w:eastAsia="Times New Roman" w:hAnsi="Calibri" w:cs="Calibri"/>
                <w:b/>
                <w:bCs/>
                <w:color w:val="000000"/>
                <w:sz w:val="24"/>
                <w:szCs w:val="24"/>
                <w:lang w:eastAsia="en-GB"/>
              </w:rPr>
              <w:t>in46_w1_qc_nawm_all_noddi</w:t>
            </w:r>
          </w:p>
        </w:tc>
        <w:tc>
          <w:tcPr>
            <w:tcW w:w="1300" w:type="dxa"/>
            <w:tcBorders>
              <w:top w:val="nil"/>
              <w:left w:val="nil"/>
              <w:bottom w:val="single" w:sz="4" w:space="0" w:color="auto"/>
              <w:right w:val="single" w:sz="4" w:space="0" w:color="auto"/>
            </w:tcBorders>
            <w:shd w:val="clear" w:color="auto" w:fill="auto"/>
            <w:noWrap/>
            <w:vAlign w:val="bottom"/>
            <w:hideMark/>
          </w:tcPr>
          <w:p w14:paraId="0F230E2A"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4EE3163B"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c>
          <w:tcPr>
            <w:tcW w:w="1300" w:type="dxa"/>
            <w:tcBorders>
              <w:top w:val="nil"/>
              <w:left w:val="nil"/>
              <w:bottom w:val="single" w:sz="4" w:space="0" w:color="auto"/>
              <w:right w:val="single" w:sz="4" w:space="0" w:color="auto"/>
            </w:tcBorders>
            <w:shd w:val="clear" w:color="auto" w:fill="auto"/>
            <w:noWrap/>
            <w:vAlign w:val="bottom"/>
            <w:hideMark/>
          </w:tcPr>
          <w:p w14:paraId="78D8BF61"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 </w:t>
            </w:r>
          </w:p>
        </w:tc>
      </w:tr>
      <w:tr w:rsidR="000D19CD" w:rsidRPr="000D19CD" w14:paraId="43D41E88"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71B9C766"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0 = didn't pass</w:t>
            </w:r>
          </w:p>
        </w:tc>
        <w:tc>
          <w:tcPr>
            <w:tcW w:w="1300" w:type="dxa"/>
            <w:tcBorders>
              <w:top w:val="nil"/>
              <w:left w:val="nil"/>
              <w:bottom w:val="single" w:sz="4" w:space="0" w:color="auto"/>
              <w:right w:val="single" w:sz="4" w:space="0" w:color="auto"/>
            </w:tcBorders>
            <w:shd w:val="clear" w:color="auto" w:fill="auto"/>
            <w:noWrap/>
            <w:vAlign w:val="bottom"/>
            <w:hideMark/>
          </w:tcPr>
          <w:p w14:paraId="7F23936E"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91</w:t>
            </w:r>
          </w:p>
        </w:tc>
        <w:tc>
          <w:tcPr>
            <w:tcW w:w="1300" w:type="dxa"/>
            <w:tcBorders>
              <w:top w:val="nil"/>
              <w:left w:val="nil"/>
              <w:bottom w:val="single" w:sz="4" w:space="0" w:color="auto"/>
              <w:right w:val="single" w:sz="4" w:space="0" w:color="auto"/>
            </w:tcBorders>
            <w:shd w:val="clear" w:color="auto" w:fill="auto"/>
            <w:noWrap/>
            <w:vAlign w:val="bottom"/>
            <w:hideMark/>
          </w:tcPr>
          <w:p w14:paraId="12DBDB13"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18.13</w:t>
            </w:r>
          </w:p>
        </w:tc>
        <w:tc>
          <w:tcPr>
            <w:tcW w:w="1300" w:type="dxa"/>
            <w:tcBorders>
              <w:top w:val="nil"/>
              <w:left w:val="nil"/>
              <w:bottom w:val="single" w:sz="4" w:space="0" w:color="auto"/>
              <w:right w:val="single" w:sz="4" w:space="0" w:color="auto"/>
            </w:tcBorders>
            <w:shd w:val="clear" w:color="auto" w:fill="auto"/>
            <w:noWrap/>
            <w:vAlign w:val="bottom"/>
            <w:hideMark/>
          </w:tcPr>
          <w:p w14:paraId="177021F9"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18.13</w:t>
            </w:r>
          </w:p>
        </w:tc>
      </w:tr>
      <w:tr w:rsidR="000D19CD" w:rsidRPr="000D19CD" w14:paraId="608B924F" w14:textId="77777777" w:rsidTr="000D19CD">
        <w:trPr>
          <w:trHeight w:val="320"/>
        </w:trPr>
        <w:tc>
          <w:tcPr>
            <w:tcW w:w="3680" w:type="dxa"/>
            <w:tcBorders>
              <w:top w:val="nil"/>
              <w:left w:val="single" w:sz="4" w:space="0" w:color="auto"/>
              <w:bottom w:val="single" w:sz="4" w:space="0" w:color="auto"/>
              <w:right w:val="single" w:sz="4" w:space="0" w:color="auto"/>
            </w:tcBorders>
            <w:shd w:val="clear" w:color="auto" w:fill="auto"/>
            <w:noWrap/>
            <w:vAlign w:val="bottom"/>
            <w:hideMark/>
          </w:tcPr>
          <w:p w14:paraId="3BA40F6A" w14:textId="77777777" w:rsidR="000D19CD" w:rsidRPr="000D19CD" w:rsidRDefault="000D19CD" w:rsidP="000D19CD">
            <w:pPr>
              <w:spacing w:after="0" w:line="240" w:lineRule="auto"/>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 = pass</w:t>
            </w:r>
          </w:p>
        </w:tc>
        <w:tc>
          <w:tcPr>
            <w:tcW w:w="1300" w:type="dxa"/>
            <w:tcBorders>
              <w:top w:val="nil"/>
              <w:left w:val="nil"/>
              <w:bottom w:val="single" w:sz="4" w:space="0" w:color="auto"/>
              <w:right w:val="single" w:sz="4" w:space="0" w:color="auto"/>
            </w:tcBorders>
            <w:shd w:val="clear" w:color="auto" w:fill="auto"/>
            <w:noWrap/>
            <w:vAlign w:val="bottom"/>
            <w:hideMark/>
          </w:tcPr>
          <w:p w14:paraId="1FF01E57"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411</w:t>
            </w:r>
          </w:p>
        </w:tc>
        <w:tc>
          <w:tcPr>
            <w:tcW w:w="1300" w:type="dxa"/>
            <w:tcBorders>
              <w:top w:val="nil"/>
              <w:left w:val="nil"/>
              <w:bottom w:val="single" w:sz="4" w:space="0" w:color="auto"/>
              <w:right w:val="single" w:sz="4" w:space="0" w:color="auto"/>
            </w:tcBorders>
            <w:shd w:val="clear" w:color="auto" w:fill="auto"/>
            <w:noWrap/>
            <w:vAlign w:val="bottom"/>
            <w:hideMark/>
          </w:tcPr>
          <w:p w14:paraId="59C8B85C"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81.87</w:t>
            </w:r>
          </w:p>
        </w:tc>
        <w:tc>
          <w:tcPr>
            <w:tcW w:w="1300" w:type="dxa"/>
            <w:tcBorders>
              <w:top w:val="nil"/>
              <w:left w:val="nil"/>
              <w:bottom w:val="single" w:sz="4" w:space="0" w:color="auto"/>
              <w:right w:val="single" w:sz="4" w:space="0" w:color="auto"/>
            </w:tcBorders>
            <w:shd w:val="clear" w:color="auto" w:fill="auto"/>
            <w:noWrap/>
            <w:vAlign w:val="bottom"/>
            <w:hideMark/>
          </w:tcPr>
          <w:p w14:paraId="04558993" w14:textId="77777777" w:rsidR="000D19CD" w:rsidRPr="000D19CD" w:rsidRDefault="000D19CD" w:rsidP="000D19CD">
            <w:pPr>
              <w:spacing w:after="0" w:line="240" w:lineRule="auto"/>
              <w:jc w:val="right"/>
              <w:rPr>
                <w:rFonts w:ascii="Calibri" w:eastAsia="Times New Roman" w:hAnsi="Calibri" w:cs="Calibri"/>
                <w:color w:val="000000"/>
                <w:sz w:val="24"/>
                <w:szCs w:val="24"/>
                <w:lang w:eastAsia="en-GB"/>
              </w:rPr>
            </w:pPr>
            <w:r w:rsidRPr="000D19CD">
              <w:rPr>
                <w:rFonts w:ascii="Calibri" w:eastAsia="Times New Roman" w:hAnsi="Calibri" w:cs="Calibri"/>
                <w:color w:val="000000"/>
                <w:sz w:val="24"/>
                <w:szCs w:val="24"/>
                <w:lang w:eastAsia="en-GB"/>
              </w:rPr>
              <w:t>100</w:t>
            </w:r>
          </w:p>
        </w:tc>
      </w:tr>
    </w:tbl>
    <w:p w14:paraId="090A908B" w14:textId="77777777" w:rsidR="000D19CD" w:rsidRPr="00237780" w:rsidRDefault="000D19CD" w:rsidP="0053530F"/>
    <w:sectPr w:rsidR="000D19CD"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4A5406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D55365B"/>
    <w:multiLevelType w:val="hybridMultilevel"/>
    <w:tmpl w:val="D45A04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A422CC"/>
    <w:multiLevelType w:val="hybridMultilevel"/>
    <w:tmpl w:val="65A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B8378D"/>
    <w:multiLevelType w:val="hybridMultilevel"/>
    <w:tmpl w:val="AE7C8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EB144B"/>
    <w:multiLevelType w:val="hybridMultilevel"/>
    <w:tmpl w:val="504CE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CA46E9"/>
    <w:multiLevelType w:val="hybridMultilevel"/>
    <w:tmpl w:val="4DBED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AC0E5F"/>
    <w:multiLevelType w:val="hybridMultilevel"/>
    <w:tmpl w:val="EE0E1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AB091E"/>
    <w:multiLevelType w:val="hybridMultilevel"/>
    <w:tmpl w:val="D49AD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C876CA"/>
    <w:multiLevelType w:val="hybridMultilevel"/>
    <w:tmpl w:val="1562D6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5"/>
  </w:num>
  <w:num w:numId="5">
    <w:abstractNumId w:val="3"/>
  </w:num>
  <w:num w:numId="6">
    <w:abstractNumId w:val="7"/>
  </w:num>
  <w:num w:numId="7">
    <w:abstractNumId w:val="9"/>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81212"/>
    <w:rsid w:val="000D19CD"/>
    <w:rsid w:val="000F182E"/>
    <w:rsid w:val="001A41A7"/>
    <w:rsid w:val="001C469B"/>
    <w:rsid w:val="0022172C"/>
    <w:rsid w:val="00237780"/>
    <w:rsid w:val="00282229"/>
    <w:rsid w:val="00332C2A"/>
    <w:rsid w:val="00336F45"/>
    <w:rsid w:val="00352751"/>
    <w:rsid w:val="00382CD7"/>
    <w:rsid w:val="00385FBB"/>
    <w:rsid w:val="003D7114"/>
    <w:rsid w:val="00440EEB"/>
    <w:rsid w:val="00452138"/>
    <w:rsid w:val="00525BC6"/>
    <w:rsid w:val="00526BA5"/>
    <w:rsid w:val="0053530F"/>
    <w:rsid w:val="0062355D"/>
    <w:rsid w:val="00646697"/>
    <w:rsid w:val="00652CB7"/>
    <w:rsid w:val="006741EE"/>
    <w:rsid w:val="006940D6"/>
    <w:rsid w:val="00720828"/>
    <w:rsid w:val="00746041"/>
    <w:rsid w:val="007942BE"/>
    <w:rsid w:val="007B379D"/>
    <w:rsid w:val="0081585F"/>
    <w:rsid w:val="00857C7E"/>
    <w:rsid w:val="008D2220"/>
    <w:rsid w:val="009049DC"/>
    <w:rsid w:val="00983263"/>
    <w:rsid w:val="009D52B2"/>
    <w:rsid w:val="009E43DC"/>
    <w:rsid w:val="00A25719"/>
    <w:rsid w:val="00A55BC6"/>
    <w:rsid w:val="00A83E14"/>
    <w:rsid w:val="00AF63DE"/>
    <w:rsid w:val="00B34F65"/>
    <w:rsid w:val="00B8088A"/>
    <w:rsid w:val="00BA5901"/>
    <w:rsid w:val="00BD229B"/>
    <w:rsid w:val="00C62ED1"/>
    <w:rsid w:val="00C7460D"/>
    <w:rsid w:val="00C87BD8"/>
    <w:rsid w:val="00CB0764"/>
    <w:rsid w:val="00CF7215"/>
    <w:rsid w:val="00CF7FA4"/>
    <w:rsid w:val="00DF2529"/>
    <w:rsid w:val="00E76046"/>
    <w:rsid w:val="00EB3619"/>
    <w:rsid w:val="00F4231A"/>
    <w:rsid w:val="00F43179"/>
    <w:rsid w:val="00F7696E"/>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54B9"/>
  <w15:docId w15:val="{C0019700-F965-4265-8772-9704B9FA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7B379D"/>
    <w:rPr>
      <w:sz w:val="16"/>
      <w:szCs w:val="16"/>
    </w:rPr>
  </w:style>
  <w:style w:type="paragraph" w:styleId="CommentText">
    <w:name w:val="annotation text"/>
    <w:basedOn w:val="Normal"/>
    <w:link w:val="CommentTextChar"/>
    <w:uiPriority w:val="99"/>
    <w:semiHidden/>
    <w:unhideWhenUsed/>
    <w:rsid w:val="007B379D"/>
    <w:pPr>
      <w:spacing w:line="240" w:lineRule="auto"/>
    </w:pPr>
    <w:rPr>
      <w:szCs w:val="20"/>
    </w:rPr>
  </w:style>
  <w:style w:type="character" w:customStyle="1" w:styleId="CommentTextChar">
    <w:name w:val="Comment Text Char"/>
    <w:basedOn w:val="DefaultParagraphFont"/>
    <w:link w:val="CommentText"/>
    <w:uiPriority w:val="99"/>
    <w:semiHidden/>
    <w:rsid w:val="007B379D"/>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7B379D"/>
    <w:rPr>
      <w:b/>
      <w:bCs/>
    </w:rPr>
  </w:style>
  <w:style w:type="character" w:customStyle="1" w:styleId="CommentSubjectChar">
    <w:name w:val="Comment Subject Char"/>
    <w:basedOn w:val="CommentTextChar"/>
    <w:link w:val="CommentSubject"/>
    <w:uiPriority w:val="99"/>
    <w:semiHidden/>
    <w:rsid w:val="007B379D"/>
    <w:rPr>
      <w:rFonts w:ascii="Verdana" w:hAnsi="Verdana"/>
      <w:b/>
      <w:bCs/>
      <w:sz w:val="20"/>
      <w:szCs w:val="20"/>
    </w:rPr>
  </w:style>
  <w:style w:type="paragraph" w:styleId="PlainText">
    <w:name w:val="Plain Text"/>
    <w:basedOn w:val="Normal"/>
    <w:link w:val="PlainTextChar"/>
    <w:uiPriority w:val="99"/>
    <w:unhideWhenUsed/>
    <w:rsid w:val="00CB0764"/>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CB076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9203">
      <w:bodyDiv w:val="1"/>
      <w:marLeft w:val="0"/>
      <w:marRight w:val="0"/>
      <w:marTop w:val="0"/>
      <w:marBottom w:val="0"/>
      <w:divBdr>
        <w:top w:val="none" w:sz="0" w:space="0" w:color="auto"/>
        <w:left w:val="none" w:sz="0" w:space="0" w:color="auto"/>
        <w:bottom w:val="none" w:sz="0" w:space="0" w:color="auto"/>
        <w:right w:val="none" w:sz="0" w:space="0" w:color="auto"/>
      </w:divBdr>
    </w:div>
    <w:div w:id="575238679">
      <w:bodyDiv w:val="1"/>
      <w:marLeft w:val="0"/>
      <w:marRight w:val="0"/>
      <w:marTop w:val="0"/>
      <w:marBottom w:val="0"/>
      <w:divBdr>
        <w:top w:val="none" w:sz="0" w:space="0" w:color="auto"/>
        <w:left w:val="none" w:sz="0" w:space="0" w:color="auto"/>
        <w:bottom w:val="none" w:sz="0" w:space="0" w:color="auto"/>
        <w:right w:val="none" w:sz="0" w:space="0" w:color="auto"/>
      </w:divBdr>
    </w:div>
    <w:div w:id="1179275191">
      <w:bodyDiv w:val="1"/>
      <w:marLeft w:val="0"/>
      <w:marRight w:val="0"/>
      <w:marTop w:val="0"/>
      <w:marBottom w:val="0"/>
      <w:divBdr>
        <w:top w:val="none" w:sz="0" w:space="0" w:color="auto"/>
        <w:left w:val="none" w:sz="0" w:space="0" w:color="auto"/>
        <w:bottom w:val="none" w:sz="0" w:space="0" w:color="auto"/>
        <w:right w:val="none" w:sz="0" w:space="0" w:color="auto"/>
      </w:divBdr>
    </w:div>
    <w:div w:id="1672180193">
      <w:bodyDiv w:val="1"/>
      <w:marLeft w:val="0"/>
      <w:marRight w:val="0"/>
      <w:marTop w:val="0"/>
      <w:marBottom w:val="0"/>
      <w:divBdr>
        <w:top w:val="none" w:sz="0" w:space="0" w:color="auto"/>
        <w:left w:val="none" w:sz="0" w:space="0" w:color="auto"/>
        <w:bottom w:val="none" w:sz="0" w:space="0" w:color="auto"/>
        <w:right w:val="none" w:sz="0" w:space="0" w:color="auto"/>
      </w:divBdr>
    </w:div>
    <w:div w:id="1674916016">
      <w:bodyDiv w:val="1"/>
      <w:marLeft w:val="0"/>
      <w:marRight w:val="0"/>
      <w:marTop w:val="0"/>
      <w:marBottom w:val="0"/>
      <w:divBdr>
        <w:top w:val="none" w:sz="0" w:space="0" w:color="auto"/>
        <w:left w:val="none" w:sz="0" w:space="0" w:color="auto"/>
        <w:bottom w:val="none" w:sz="0" w:space="0" w:color="auto"/>
        <w:right w:val="none" w:sz="0" w:space="0" w:color="auto"/>
      </w:divBdr>
    </w:div>
    <w:div w:id="214515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3</cp:revision>
  <dcterms:created xsi:type="dcterms:W3CDTF">2021-05-27T13:47:00Z</dcterms:created>
  <dcterms:modified xsi:type="dcterms:W3CDTF">2024-03-19T16:47:00Z</dcterms:modified>
</cp:coreProperties>
</file>