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85A9D" w14:textId="51B4B2E1" w:rsidR="005A3A67" w:rsidRDefault="005A3A67" w:rsidP="000542B7">
      <w:pPr>
        <w:spacing w:line="360" w:lineRule="auto"/>
        <w:jc w:val="center"/>
        <w:rPr>
          <w:b/>
          <w:bCs/>
          <w:sz w:val="26"/>
          <w:szCs w:val="26"/>
          <w:u w:val="single"/>
        </w:rPr>
      </w:pPr>
      <w:r w:rsidRPr="005A3A67">
        <w:rPr>
          <w:b/>
          <w:bCs/>
          <w:sz w:val="26"/>
          <w:szCs w:val="26"/>
          <w:u w:val="single"/>
        </w:rPr>
        <w:t xml:space="preserve">Insight 46 phase one and two </w:t>
      </w:r>
      <w:r w:rsidR="00D35570">
        <w:rPr>
          <w:b/>
          <w:bCs/>
          <w:sz w:val="26"/>
          <w:szCs w:val="26"/>
          <w:u w:val="single"/>
        </w:rPr>
        <w:t>Freesurfer</w:t>
      </w:r>
      <w:r w:rsidRPr="005A3A67">
        <w:rPr>
          <w:b/>
          <w:bCs/>
          <w:sz w:val="26"/>
          <w:szCs w:val="26"/>
          <w:u w:val="single"/>
        </w:rPr>
        <w:t xml:space="preserve"> data</w:t>
      </w:r>
    </w:p>
    <w:p w14:paraId="507A0AE3" w14:textId="71E96163" w:rsidR="000542B7" w:rsidRDefault="000542B7" w:rsidP="000542B7">
      <w:pPr>
        <w:spacing w:line="360" w:lineRule="auto"/>
        <w:jc w:val="center"/>
        <w:rPr>
          <w:b/>
          <w:bCs/>
          <w:sz w:val="26"/>
          <w:szCs w:val="26"/>
          <w:u w:val="single"/>
        </w:rPr>
      </w:pPr>
      <w:r>
        <w:rPr>
          <w:b/>
          <w:bCs/>
          <w:sz w:val="26"/>
          <w:szCs w:val="26"/>
          <w:u w:val="single"/>
        </w:rPr>
        <w:t>Prepared by Sarah Keuss September 2022</w:t>
      </w:r>
    </w:p>
    <w:p w14:paraId="214A00D0" w14:textId="77777777" w:rsidR="000542B7" w:rsidRPr="006E5001" w:rsidRDefault="000542B7" w:rsidP="000542B7">
      <w:pPr>
        <w:spacing w:line="360" w:lineRule="auto"/>
        <w:jc w:val="both"/>
        <w:rPr>
          <w:b/>
          <w:bCs/>
          <w:u w:val="single"/>
        </w:rPr>
      </w:pPr>
    </w:p>
    <w:p w14:paraId="202D186A" w14:textId="4579107B" w:rsidR="005A3A67" w:rsidRPr="000B46D9" w:rsidRDefault="005A3A67" w:rsidP="000542B7">
      <w:pPr>
        <w:spacing w:line="360" w:lineRule="auto"/>
        <w:jc w:val="both"/>
        <w:rPr>
          <w:rFonts w:cs="Calibri"/>
          <w:b/>
          <w:bCs/>
          <w:sz w:val="26"/>
          <w:szCs w:val="26"/>
          <w:u w:val="single"/>
        </w:rPr>
      </w:pPr>
      <w:r w:rsidRPr="000B46D9">
        <w:rPr>
          <w:rFonts w:cs="Calibri"/>
          <w:b/>
          <w:bCs/>
          <w:sz w:val="26"/>
          <w:szCs w:val="26"/>
          <w:u w:val="single"/>
        </w:rPr>
        <w:t>Methods</w:t>
      </w:r>
    </w:p>
    <w:p w14:paraId="3550C805" w14:textId="77777777" w:rsidR="005A3A67" w:rsidRPr="005A3A67" w:rsidRDefault="005A3A67" w:rsidP="000542B7">
      <w:pPr>
        <w:spacing w:line="360" w:lineRule="auto"/>
        <w:jc w:val="both"/>
        <w:rPr>
          <w:rFonts w:cs="Calibri"/>
          <w:b/>
          <w:bCs/>
        </w:rPr>
      </w:pPr>
    </w:p>
    <w:p w14:paraId="7D0E56AC" w14:textId="6713941F" w:rsidR="005A3A67" w:rsidRDefault="005A3A67" w:rsidP="000542B7">
      <w:pPr>
        <w:spacing w:line="360" w:lineRule="auto"/>
        <w:jc w:val="both"/>
        <w:rPr>
          <w:rFonts w:cs="Calibri"/>
        </w:rPr>
      </w:pPr>
      <w:r w:rsidRPr="005A3A67">
        <w:rPr>
          <w:rFonts w:cs="Calibri"/>
        </w:rPr>
        <w:t>T1 MRI data from each time-point</w:t>
      </w:r>
      <w:r>
        <w:rPr>
          <w:rFonts w:cs="Calibri"/>
        </w:rPr>
        <w:t xml:space="preserve"> u</w:t>
      </w:r>
      <w:r w:rsidRPr="005A3A67">
        <w:rPr>
          <w:rFonts w:cs="Calibri"/>
        </w:rPr>
        <w:t xml:space="preserve">nderwent correction for gradient non-linearity </w:t>
      </w:r>
      <w:r w:rsidRPr="005A3A67">
        <w:rPr>
          <w:rFonts w:cs="Calibri"/>
        </w:rPr>
        <w:fldChar w:fldCharType="begin" w:fldLock="1"/>
      </w:r>
      <w:r w:rsidR="000832A1">
        <w:rPr>
          <w:rFonts w:cs="Calibri"/>
        </w:rPr>
        <w:instrText>ADDIN CSL_CITATION {"citationItems":[{"id":"ITEM-1","itemData":{"DOI":"10.1016/j.neuroimage.2005.09.046","ISSN":"10538119","PMID":"16300968","abstract":"Longitudinal and multi-site clinical studies create the imperative to characterize and correct technological sources of variance that limit image reproducibility in high-resolution structural MRI studies, thus facilitating precise, quantitative, platform-independent, multi-site evaluation. In this work, we investigated the effects that imaging gradient non-linearity have on reproducibility of multi-site human MRI. We applied an image distortion correction method based on spherical harmonics description of the gradients and verified the accuracy of the method using phantom data. The correction method was then applied to the brain image data from a group of subjects scanned twice at multiple sites having different 1.5 T platforms. Within-site and across-site variability of the image data was assessed by evaluating voxel-based image intensity reproducibility. The image intensity reproducibility of the human brain data was significantly improved with distortion correction, suggesting that this method may offer improved reproducibility in morphometry studies. We provide the source code for the gradient distortion algorithm together with the phantom data. © 2005 Elsevier Inc. All rights reserved.","author":[{"dropping-particle":"","family":"Jovicich","given":"Jorge","non-dropping-particle":"","parse-names":false,"suffix":""},{"dropping-particle":"","family":"Czanner","given":"Silvester","non-dropping-particle":"","parse-names":false,"suffix":""},{"dropping-particle":"","family":"Greve","given":"Douglas","non-dropping-particle":"","parse-names":false,"suffix":""},{"dropping-particle":"","family":"Haley","given":"Elizabeth","non-dropping-particle":"","parse-names":false,"suffix":""},{"dropping-particle":"","family":"Kouwe","given":"Andre","non-dropping-particle":"Van Der","parse-names":false,"suffix":""},{"dropping-particle":"","family":"Gollub","given":"Randy","non-dropping-particle":"","parse-names":false,"suffix":""},{"dropping-particle":"","family":"Kennedy","given":"David","non-dropping-particle":"","parse-names":false,"suffix":""},{"dropping-particle":"","family":"Schmitt","given":"Franz","non-dropping-particle":"","parse-names":false,"suffix":""},{"dropping-particle":"","family":"Brown","given":"Gregory","non-dropping-particle":"","parse-names":false,"suffix":""},{"dropping-particle":"","family":"MacFall","given":"James","non-dropping-particle":"","parse-names":false,"suffix":""},{"dropping-particle":"","family":"Fischl","given":"Bruce","non-dropping-particle":"","parse-names":false,"suffix":""},{"dropping-particle":"","family":"Dale","given":"Anders","non-dropping-particle":"","parse-names":false,"suffix":""}],"container-title":"NeuroImage","id":"ITEM-1","issue":"2","issued":{"date-parts":[["2006","4","1"]]},"page":"436-443","title":"Reliability in multi-site structural MRI studies: Effects of gradient non-linearity correction on phantom and human data","type":"article-journal","volume":"30"},"uris":["http://www.mendeley.com/documents/?uuid=716b05ef-9a4f-3ccf-938c-344d900cfa2f"]}],"mendeley":{"formattedCitation":"(Jovicich &lt;i&gt;et al.&lt;/i&gt;, 2006)","plainTextFormattedCitation":"(Jovicich et al., 2006)","previouslyFormattedCitation":"(1)"},"properties":{"noteIndex":0},"schema":"https://github.com/citation-style-language/schema/raw/master/csl-citation.json"}</w:instrText>
      </w:r>
      <w:r w:rsidRPr="005A3A67">
        <w:rPr>
          <w:rFonts w:cs="Calibri"/>
        </w:rPr>
        <w:fldChar w:fldCharType="separate"/>
      </w:r>
      <w:r w:rsidR="000832A1" w:rsidRPr="000832A1">
        <w:rPr>
          <w:rFonts w:cs="Calibri"/>
          <w:noProof/>
        </w:rPr>
        <w:t xml:space="preserve">(Jovicich </w:t>
      </w:r>
      <w:r w:rsidR="000832A1" w:rsidRPr="000832A1">
        <w:rPr>
          <w:rFonts w:cs="Calibri"/>
          <w:i/>
          <w:noProof/>
        </w:rPr>
        <w:t>et al.</w:t>
      </w:r>
      <w:r w:rsidR="000832A1" w:rsidRPr="000832A1">
        <w:rPr>
          <w:rFonts w:cs="Calibri"/>
          <w:noProof/>
        </w:rPr>
        <w:t>, 2006)</w:t>
      </w:r>
      <w:r w:rsidRPr="005A3A67">
        <w:rPr>
          <w:rFonts w:cs="Calibri"/>
        </w:rPr>
        <w:fldChar w:fldCharType="end"/>
      </w:r>
      <w:r w:rsidRPr="005A3A67">
        <w:rPr>
          <w:rFonts w:cs="Calibri"/>
        </w:rPr>
        <w:t xml:space="preserve">, and were manually checked by a trained team who assessed motion, anatomical coverage, and other quality control issues. Scan-pairs were also reviewed to check for unacceptable differences in quality between </w:t>
      </w:r>
      <w:r>
        <w:rPr>
          <w:rFonts w:cs="Calibri"/>
        </w:rPr>
        <w:t xml:space="preserve">time-points. A </w:t>
      </w:r>
      <w:r w:rsidR="000A1A4D">
        <w:rPr>
          <w:rFonts w:cs="Calibri"/>
        </w:rPr>
        <w:t>quality control</w:t>
      </w:r>
      <w:r>
        <w:rPr>
          <w:rFonts w:cs="Calibri"/>
        </w:rPr>
        <w:t xml:space="preserve"> summary is </w:t>
      </w:r>
      <w:r w:rsidR="000A1A4D">
        <w:rPr>
          <w:rFonts w:cs="Calibri"/>
        </w:rPr>
        <w:t xml:space="preserve">saved on Icarus </w:t>
      </w:r>
      <w:r w:rsidR="000542B7">
        <w:rPr>
          <w:rFonts w:cs="Calibri"/>
        </w:rPr>
        <w:t>in the following location:</w:t>
      </w:r>
      <w:r>
        <w:rPr>
          <w:rFonts w:cs="Calibri"/>
        </w:rPr>
        <w:t xml:space="preserve"> </w:t>
      </w:r>
      <w:r w:rsidR="000A1A4D">
        <w:rPr>
          <w:rFonts w:cs="Calibri"/>
        </w:rPr>
        <w:t>1946</w:t>
      </w:r>
      <w:r w:rsidR="000542B7">
        <w:rPr>
          <w:rFonts w:cs="Calibri"/>
        </w:rPr>
        <w:t>\</w:t>
      </w:r>
      <w:r w:rsidR="000A1A4D">
        <w:rPr>
          <w:rFonts w:cs="Calibri"/>
        </w:rPr>
        <w:t>Test_Data_and_Video_Files</w:t>
      </w:r>
      <w:r w:rsidR="000542B7">
        <w:rPr>
          <w:rFonts w:cs="Calibri"/>
        </w:rPr>
        <w:t>\</w:t>
      </w:r>
      <w:r w:rsidR="000A1A4D">
        <w:rPr>
          <w:rFonts w:cs="Calibri"/>
        </w:rPr>
        <w:t>Phase_2</w:t>
      </w:r>
      <w:r w:rsidR="000542B7">
        <w:rPr>
          <w:rFonts w:cs="Calibri"/>
        </w:rPr>
        <w:t>\</w:t>
      </w:r>
      <w:r w:rsidR="000A1A4D">
        <w:rPr>
          <w:rFonts w:cs="Calibri"/>
        </w:rPr>
        <w:t>Imaging Data</w:t>
      </w:r>
      <w:r w:rsidR="000542B7">
        <w:rPr>
          <w:rFonts w:cs="Calibri"/>
        </w:rPr>
        <w:t>\</w:t>
      </w:r>
      <w:r w:rsidR="000A1A4D">
        <w:rPr>
          <w:rFonts w:cs="Calibri"/>
        </w:rPr>
        <w:t>Phase2_Data_Freeze</w:t>
      </w:r>
      <w:r w:rsidR="000542B7">
        <w:rPr>
          <w:rFonts w:cs="Calibri"/>
        </w:rPr>
        <w:t>\</w:t>
      </w:r>
      <w:r w:rsidR="000A1A4D" w:rsidRPr="000A1A4D">
        <w:rPr>
          <w:rFonts w:cs="Calibri"/>
        </w:rPr>
        <w:t>Insight46_PHASE2-FREEZE-20201124_QC_SUMMARY</w:t>
      </w:r>
      <w:r w:rsidR="000A1A4D">
        <w:rPr>
          <w:rFonts w:cs="Calibri"/>
        </w:rPr>
        <w:t>.xlsx.</w:t>
      </w:r>
    </w:p>
    <w:p w14:paraId="282A2683" w14:textId="77777777" w:rsidR="005A3A67" w:rsidRPr="005A3A67" w:rsidRDefault="005A3A67" w:rsidP="000542B7">
      <w:pPr>
        <w:spacing w:line="360" w:lineRule="auto"/>
        <w:jc w:val="both"/>
        <w:rPr>
          <w:rFonts w:cs="Calibri"/>
        </w:rPr>
      </w:pPr>
    </w:p>
    <w:p w14:paraId="2A1FFF38" w14:textId="124D2798" w:rsidR="005A3A67" w:rsidRDefault="005A3A67" w:rsidP="000542B7">
      <w:pPr>
        <w:spacing w:line="360" w:lineRule="auto"/>
        <w:jc w:val="both"/>
      </w:pPr>
      <w:r w:rsidRPr="005A3A67">
        <w:rPr>
          <w:rFonts w:cs="Calibri"/>
        </w:rPr>
        <w:t xml:space="preserve">Phase 1 T1 MRI data that passed cross-sectional quality control (n=468) and phase 2 T1 MRI data that passed cross-sectional and longitudinal quality control (n=356) were processed using Freesurfer 7.1.0 </w:t>
      </w:r>
      <w:r w:rsidRPr="005A3A67">
        <w:t>(</w:t>
      </w:r>
      <w:hyperlink r:id="rId6" w:tgtFrame="_blank" w:history="1">
        <w:r w:rsidRPr="005A3A67">
          <w:rPr>
            <w:color w:val="0000FF"/>
            <w:u w:val="single"/>
          </w:rPr>
          <w:t>surfer.nmr.mgh.harvard.edu</w:t>
        </w:r>
      </w:hyperlink>
      <w:r w:rsidRPr="005A3A67">
        <w:t xml:space="preserve">). Images from </w:t>
      </w:r>
      <w:r w:rsidR="001F2202">
        <w:t>each</w:t>
      </w:r>
      <w:r w:rsidRPr="005A3A67">
        <w:t xml:space="preserve"> time-point first underwent cross-sectional processing, including motion correction, removal of the skull, spatial transforms, intensity normalisation, cortical surface reconstruction and parcellation </w:t>
      </w:r>
      <w:r w:rsidRPr="005A3A67">
        <w:fldChar w:fldCharType="begin" w:fldLock="1"/>
      </w:r>
      <w:r w:rsidR="000832A1">
        <w:instrText>ADDIN CSL_CITATION {"citationItems":[{"id":"ITEM-1","itemData":{"DOI":"10.1006/NIMG.1998.0395","ISSN":"1053-8119","abstract":"Several properties of the cerebral cortex, including its columnar and laminar organization, as well as the topographic organization of cortical areas, can only be properly understood in the context of the intrinsic two-dimensional structure of the cortical surface. In order to study such cortical properties in humans, it is necessary to obtain an accurate and explicit representation of the cortical surface in individual subjects. Here we describe a set of automated procedures for obtaining accurate reconstructions of the cortical surface, which have been applied to data from more than 100 subjects, requiring little or no manual intervention. Automated routines for unfolding and flattening the cortical surface are described in a companion paper. These procedures allow for the routine use of cortical surface-based analysis and visualization methods in functional brain imaging.","author":[{"dropping-particle":"","family":"Dale","given":"Anders M.","non-dropping-particle":"","parse-names":false,"suffix":""},{"dropping-particle":"","family":"Fischl","given":"Bruce","non-dropping-particle":"","parse-names":false,"suffix":""},{"dropping-particle":"","family":"Sereno","given":"Martin I.","non-dropping-particle":"","parse-names":false,"suffix":""}],"container-title":"NeuroImage","id":"ITEM-1","issue":"2","issued":{"date-parts":[["1999","2","1"]]},"page":"179-194","title":"Cortical Surface-Based Analysis: I. Segmentation and Surface Reconstruction","type":"article-journal","volume":"9"},"uris":["http://www.mendeley.com/documents/?uuid=2976813f-1a86-34d0-8be0-2f6d191cd6e0"]},{"id":"ITEM-2","itemData":{"DOI":"10.1006/NIMG.1998.0396","ISSN":"1053-8119","abstract":"The surface of the human cerebral cortex is a highly folded sheet with the majority of its surface area buried within folds. As such, it is a difficult domain for computational as well as visualization purposes. We have therefore designed a set of procedures for modifying the representation of the cortical surface to (i) inflate it so that activity buried inside sulci may be visualized, (ii) cut and flatten an entire hemisphere, and (iii) transform a hemisphere into a simple parameterizable surface such as a sphere for the purpose of establishing a surface-based coordinate system.","author":[{"dropping-particle":"","family":"Fischl","given":"Bruce","non-dropping-particle":"","parse-names":false,"suffix":""},{"dropping-particle":"","family":"Sereno","given":"Martin I.","non-dropping-particle":"","parse-names":false,"suffix":""},{"dropping-particle":"","family":"Dale","given":"Anders M.","non-dropping-particle":"","parse-names":false,"suffix":""}],"container-title":"NeuroImage","id":"ITEM-2","issue":"2","issued":{"date-parts":[["1999","2","1"]]},"page":"195-207","title":"Cortical Surface-Based Analysis: II: Inflation, Flattening, and a Surface-Based Coordinate System","type":"article-journal","volume":"9"},"uris":["http://www.mendeley.com/documents/?uuid=698d3dca-bd28-330d-a96c-20383c3900fd"]},{"id":"ITEM-3","itemData":{"DOI":"10.1073/pnas.200033797","ISSN":"0027-8424","PMID":"10984517","abstract":"Accurate and automated methods for measuring the thickness of human cerebral cortex could provide powerful tools for diagnosing and studying a variety of neurodegenerative and psychiatric disorders. Manual methods for estimating cortical thickness from neuroimaging data are labor intensive, requiring several days of effort by a trained anatomist. Furthermore, the highly folded nature of the cortex is problematic for manual techniques, frequently resulting in measurement errors in regions in which the cortical surface is not perpendicular to any of the cardinal axes. As a consequence, it has been impractical to obtain accurate thickness estimates for the entire cortex in individual subjects, or group statistics for patient or control populations. Here, we present an automated method for accurately measuring the thickness of the cerebral cortex across the entire brain and for generating cross-subject statistics in a coordinate system based on cortical anatomy. The intersubject standard deviation of the thickness measures is shown to be less than 0.5 mm, implying the ability to detect focal atrophy in small populations or even individual subjects. The reliability and accuracy of this new method are assessed by within-subject test-retest studies, as well as by comparison of cross-subject regional thickness measures with published values.","author":[{"dropping-particle":"","family":"Fischl","given":"B.","non-dropping-particle":"","parse-names":false,"suffix":""},{"dropping-particle":"","family":"Dale","given":"A. M.","non-dropping-particle":"","parse-names":false,"suffix":""}],"container-title":"Proceedings of the National Academy of Sciences","id":"ITEM-3","issue":"20","issued":{"date-parts":[["2000","9","26"]]},"page":"11050-11055","title":"Measuring the thickness of the human cerebral cortex from magnetic resonance images","type":"article-journal","volume":"97"},"uris":["http://www.mendeley.com/documents/?uuid=dc8a8a54-98c9-3818-b3dd-313ab219fda3"]},{"id":"ITEM-4","itemData":{"DOI":"10.1016/j.neuroimage.2006.01.021","ISSN":"10538119","PMID":"16530430","abstract":"In this study, we have assessed the validity and reliability of an automated labeling system that we have developed for subdividing the human cerebral cortex on magnetic resonance images into gyral based regions of interest (ROIs). Using a dataset of 40 MRI scans we manually identified 34 cortical ROIs in each of the individual hemispheres. This information was then encoded in the form of an atlas that was utilized to automatically label ROIs. To examine the validity, as well as the intra- and inter-rater reliability of the automated system, we used both intraclass correlation coefficients (ICC), and a new method known as mean distance maps, to assess the degree of mismatch between the manual and the automated sets of ROIs. When compared with the manual ROIs, the automated ROIs were highly accurate, with an average ICC of 0.835 across all of the ROIs, and a mean distance error of less than 1 mm. Intra- and inter-rater comparisons yielded little to no difference between the sets of ROIs. These findings suggest that the automated method we have developed for subdividing the human cerebral cortex into standard gyral-based neuroanatomical regions is both anatomically valid and reliable. This method may be useful for both morphometric and functional studies of the cerebral cortex as well as for clinical investigations aimed at tracking the evolution of disease-induced changes over time, including clinical trials in which MRI-based measures are used to examine response to treatment.","author":[{"dropping-particle":"","family":"Desikan","given":"Rahul S.","non-dropping-particle":"","parse-names":false,"suffix":""},{"dropping-particle":"","family":"Ségonne","given":"Florent","non-dropping-particle":"","parse-names":false,"suffix":""},{"dropping-particle":"","family":"Fischl","given":"Bruce","non-dropping-particle":"","parse-names":false,"suffix":""},{"dropping-particle":"","family":"Quinn","given":"Brian T.","non-dropping-particle":"","parse-names":false,"suffix":""},{"dropping-particle":"","family":"Dickerson","given":"Bradford C.","non-dropping-particle":"","parse-names":false,"suffix":""},{"dropping-particle":"","family":"Blacker","given":"Deborah","non-dropping-particle":"","parse-names":false,"suffix":""},{"dropping-particle":"","family":"Buckner","given":"Randy L.","non-dropping-particle":"","parse-names":false,"suffix":""},{"dropping-particle":"","family":"Dale","given":"Anders M.","non-dropping-particle":"","parse-names":false,"suffix":""},{"dropping-particle":"","family":"Maguire","given":"R. Paul","non-dropping-particle":"","parse-names":false,"suffix":""},{"dropping-particle":"","family":"Hyman","given":"Bradley T.","non-dropping-particle":"","parse-names":false,"suffix":""},{"dropping-particle":"","family":"Albert","given":"Marilyn S.","non-dropping-particle":"","parse-names":false,"suffix":""},{"dropping-particle":"","family":"Killiany","given":"Ronald J.","non-dropping-particle":"","parse-names":false,"suffix":""}],"container-title":"NeuroImage","id":"ITEM-4","issue":"3","issued":{"date-parts":[["2006","7","1"]]},"page":"968-980","title":"An automated labeling system for subdividing the human cerebral cortex on MRI scans into gyral based regions of interest","type":"article-journal","volume":"31"},"uris":["http://www.mendeley.com/documents/?uuid=8bf7828e-1474-3456-b0a0-541f4c73f3dd"]}],"mendeley":{"formattedCitation":"(Dale, Fischl and Sereno, 1999; Fischl, Sereno and Dale, 1999; Fischl and Dale, 2000; Desikan &lt;i&gt;et al.&lt;/i&gt;, 2006)","plainTextFormattedCitation":"(Dale, Fischl and Sereno, 1999; Fischl, Sereno and Dale, 1999; Fischl and Dale, 2000; Desikan et al., 2006)","previouslyFormattedCitation":"(2–5)"},"properties":{"noteIndex":0},"schema":"https://github.com/citation-style-language/schema/raw/master/csl-citation.json"}</w:instrText>
      </w:r>
      <w:r w:rsidRPr="005A3A67">
        <w:fldChar w:fldCharType="separate"/>
      </w:r>
      <w:r w:rsidR="000832A1" w:rsidRPr="000832A1">
        <w:rPr>
          <w:noProof/>
        </w:rPr>
        <w:t xml:space="preserve">(Dale, Fischl and Sereno, 1999; Fischl, Sereno and Dale, 1999; Fischl and Dale, 2000; Desikan </w:t>
      </w:r>
      <w:r w:rsidR="000832A1" w:rsidRPr="000832A1">
        <w:rPr>
          <w:i/>
          <w:noProof/>
        </w:rPr>
        <w:t>et al.</w:t>
      </w:r>
      <w:r w:rsidR="000832A1" w:rsidRPr="000832A1">
        <w:rPr>
          <w:noProof/>
        </w:rPr>
        <w:t>, 2006)</w:t>
      </w:r>
      <w:r w:rsidRPr="005A3A67">
        <w:fldChar w:fldCharType="end"/>
      </w:r>
      <w:r w:rsidRPr="005A3A67">
        <w:t xml:space="preserve">. Cross-sectionally processed images were then run through the longitudinal stream in Freesurfer </w:t>
      </w:r>
      <w:r w:rsidRPr="005A3A67">
        <w:fldChar w:fldCharType="begin" w:fldLock="1"/>
      </w:r>
      <w:r w:rsidR="000832A1">
        <w:instrText>ADDIN CSL_CITATION {"citationItems":[{"id":"ITEM-1","itemData":{"DOI":"10.1016/j.neuroimage.2012.02.084","ISSN":"1095-9572","PMID":"22430496","abstract":"Longitudinal image analysis has become increasingly important in clinical studies of normal aging and neurodegenerative disorders. Furthermore, there is a growing appreciation of the potential utility of longitudinally acquired structural images and reliable image processing to evaluate disease modifying therapies. Challenges have been related to the variability that is inherent in the available cross-sectional processing tools, to the introduction of bias in longitudinal processing and to potential over-regularization. In this paper we introduce a novel longitudinal image processing framework, based on unbiased, robust, within-subject template creation, for automatic surface reconstruction and segmentation of brain MRI of arbitrarily many time points. We demonstrate that it is essential to treat all input images exactly the same as removing only interpolation asymmetries is not sufficient to remove processing bias. We successfully reduce variability and avoid over-regularization by initializing the processing in each time point with common information from the subject template. The presented results show a significant increase in precision and discrimination power while preserving the ability to detect large anatomical deviations; as such they hold great potential in clinical applications, e.g. allowing for smaller sample sizes or shorter trials to establish disease specific biomarkers or to quantify drug effects.","author":[{"dropping-particle":"","family":"Reuter","given":"Martin","non-dropping-particle":"","parse-names":false,"suffix":""},{"dropping-particle":"","family":"Schmansky","given":"Nicholas J","non-dropping-particle":"","parse-names":false,"suffix":""},{"dropping-particle":"","family":"Rosas","given":"H Diana","non-dropping-particle":"","parse-names":false,"suffix":""},{"dropping-particle":"","family":"Fischl","given":"Bruce","non-dropping-particle":"","parse-names":false,"suffix":""}],"container-title":"NeuroImage","id":"ITEM-1","issue":"4","issued":{"date-parts":[["2012","7","16"]]},"page":"1402-18","title":"Within-subject template estimation for unbiased longitudinal image analysis.","type":"article-journal","volume":"61"},"uris":["http://www.mendeley.com/documents/?uuid=f4c793b8-d434-341d-9e01-471675ab9002"]}],"mendeley":{"formattedCitation":"(Reuter &lt;i&gt;et al.&lt;/i&gt;, 2012)","plainTextFormattedCitation":"(Reuter et al., 2012)","previouslyFormattedCitation":"(6)"},"properties":{"noteIndex":0},"schema":"https://github.com/citation-style-language/schema/raw/master/csl-citation.json"}</w:instrText>
      </w:r>
      <w:r w:rsidRPr="005A3A67">
        <w:fldChar w:fldCharType="separate"/>
      </w:r>
      <w:r w:rsidR="000832A1" w:rsidRPr="000832A1">
        <w:rPr>
          <w:noProof/>
        </w:rPr>
        <w:t xml:space="preserve">(Reuter </w:t>
      </w:r>
      <w:r w:rsidR="000832A1" w:rsidRPr="000832A1">
        <w:rPr>
          <w:i/>
          <w:noProof/>
        </w:rPr>
        <w:t>et al.</w:t>
      </w:r>
      <w:r w:rsidR="000832A1" w:rsidRPr="000832A1">
        <w:rPr>
          <w:noProof/>
        </w:rPr>
        <w:t>, 2012)</w:t>
      </w:r>
      <w:r w:rsidRPr="005A3A67">
        <w:fldChar w:fldCharType="end"/>
      </w:r>
      <w:r w:rsidRPr="005A3A67">
        <w:t xml:space="preserve">. Specifically, an unbiased within-subject template was created based on data from both time-points using robust inverse, consistent registration </w:t>
      </w:r>
      <w:r w:rsidRPr="005A3A67">
        <w:fldChar w:fldCharType="begin" w:fldLock="1"/>
      </w:r>
      <w:r w:rsidR="000832A1">
        <w:instrText>ADDIN CSL_CITATION {"citationItems":[{"id":"ITEM-1","itemData":{"DOI":"10.1016/j.neuroimage.2010.07.020","ISSN":"10538119","PMID":"20637289","abstract":"The registration of images is a task that is at the core of many applications in computer vision. In computational neuroimaging where the automated segmentation of brain structures is frequently used to quantify change, a highly accurate registration is necessary for motion correction of images taken in the same session, or across time in longitudinal studies where changes in the images can be expected. This paper, inspired by Nestares and Heeger (2000), presents a method based on robust statistics to register images in the presence of differences, such as jaw movement, differential MR distortions and true anatomical change. The approach we present guarantees inverse consistency (symmetry), can deal with different intensity scales and automatically estimates a sensitivity parameter to detect outlier regions in the images. The resulting registrations are highly accurate due to their ability to ignore outlier regions and show superior robustness with respect to noise, to intensity scaling and outliers when compared to state-of-the-art registration tools such as FLIRT (in FSL) or the coregistration tool in SPM. © 2010 Elsevier Inc.","author":[{"dropping-particle":"","family":"Reuter","given":"Martin","non-dropping-particle":"","parse-names":false,"suffix":""},{"dropping-particle":"","family":"Rosas","given":"H. Diana","non-dropping-particle":"","parse-names":false,"suffix":""},{"dropping-particle":"","family":"Fischl","given":"Bruce","non-dropping-particle":"","parse-names":false,"suffix":""}],"container-title":"NeuroImage","id":"ITEM-1","issue":"4","issued":{"date-parts":[["2010","12"]]},"page":"1181-1196","title":"Highly accurate inverse consistent registration: A robust approach","type":"article-journal","volume":"53"},"uris":["http://www.mendeley.com/documents/?uuid=d1a7990d-adae-3e15-955c-db609a53ada1"]},{"id":"ITEM-2","itemData":{"DOI":"10.1016/j.neuroimage.2011.02.076","ISSN":"10538119","PMID":"21376812","abstract":"Longitudinal image processing procedures frequently transfer or pool information across time within subject, with the dual goals of reducing the variability and increasing the accuracy of the derived measures. In this note, we discuss common difficulties in longitudinal image processing, focusing on the introduction of bias, and describe the approaches we have taken to avoid them in the FreeSurfer longitudinal processing stream. © 2011 Elsevier Inc.","author":[{"dropping-particle":"","family":"Reuter","given":"Martin","non-dropping-particle":"","parse-names":false,"suffix":""},{"dropping-particle":"","family":"Fischl","given":"Bruce","non-dropping-particle":"","parse-names":false,"suffix":""}],"container-title":"NeuroImage","id":"ITEM-2","issue":"1","issued":{"date-parts":[["2011","7","1"]]},"page":"19-21","title":"Avoiding asymmetry-induced bias in longitudinal image processing","type":"article","volume":"57"},"uris":["http://www.mendeley.com/documents/?uuid=0abddfe2-5f3f-3947-8483-f812d52dcbb3"]}],"mendeley":{"formattedCitation":"(Reuter, Rosas and Fischl, 2010; Reuter and Fischl, 2011)","plainTextFormattedCitation":"(Reuter, Rosas and Fischl, 2010; Reuter and Fischl, 2011)","previouslyFormattedCitation":"(7,8)"},"properties":{"noteIndex":0},"schema":"https://github.com/citation-style-language/schema/raw/master/csl-citation.json"}</w:instrText>
      </w:r>
      <w:r w:rsidRPr="005A3A67">
        <w:fldChar w:fldCharType="separate"/>
      </w:r>
      <w:r w:rsidR="000832A1" w:rsidRPr="000832A1">
        <w:rPr>
          <w:noProof/>
        </w:rPr>
        <w:t>(Reuter, Rosas and Fischl, 2010; Reuter and Fischl, 2011)</w:t>
      </w:r>
      <w:r w:rsidRPr="005A3A67">
        <w:fldChar w:fldCharType="end"/>
      </w:r>
      <w:r w:rsidRPr="005A3A67">
        <w:t xml:space="preserve">, and then several processing steps were initialised using common information from this template </w:t>
      </w:r>
      <w:r w:rsidRPr="005A3A67">
        <w:fldChar w:fldCharType="begin" w:fldLock="1"/>
      </w:r>
      <w:r w:rsidR="000832A1">
        <w:instrText>ADDIN CSL_CITATION {"citationItems":[{"id":"ITEM-1","itemData":{"DOI":"10.1016/j.neuroimage.2012.02.084","ISSN":"1095-9572","PMID":"22430496","abstract":"Longitudinal image analysis has become increasingly important in clinical studies of normal aging and neurodegenerative disorders. Furthermore, there is a growing appreciation of the potential utility of longitudinally acquired structural images and reliable image processing to evaluate disease modifying therapies. Challenges have been related to the variability that is inherent in the available cross-sectional processing tools, to the introduction of bias in longitudinal processing and to potential over-regularization. In this paper we introduce a novel longitudinal image processing framework, based on unbiased, robust, within-subject template creation, for automatic surface reconstruction and segmentation of brain MRI of arbitrarily many time points. We demonstrate that it is essential to treat all input images exactly the same as removing only interpolation asymmetries is not sufficient to remove processing bias. We successfully reduce variability and avoid over-regularization by initializing the processing in each time point with common information from the subject template. The presented results show a significant increase in precision and discrimination power while preserving the ability to detect large anatomical deviations; as such they hold great potential in clinical applications, e.g. allowing for smaller sample sizes or shorter trials to establish disease specific biomarkers or to quantify drug effects.","author":[{"dropping-particle":"","family":"Reuter","given":"Martin","non-dropping-particle":"","parse-names":false,"suffix":""},{"dropping-particle":"","family":"Schmansky","given":"Nicholas J","non-dropping-particle":"","parse-names":false,"suffix":""},{"dropping-particle":"","family":"Rosas","given":"H Diana","non-dropping-particle":"","parse-names":false,"suffix":""},{"dropping-particle":"","family":"Fischl","given":"Bruce","non-dropping-particle":"","parse-names":false,"suffix":""}],"container-title":"NeuroImage","id":"ITEM-1","issue":"4","issued":{"date-parts":[["2012","7","16"]]},"page":"1402-18","title":"Within-subject template estimation for unbiased longitudinal image analysis.","type":"article-journal","volume":"61"},"uris":["http://www.mendeley.com/documents/?uuid=f4c793b8-d434-341d-9e01-471675ab9002"]}],"mendeley":{"formattedCitation":"(Reuter &lt;i&gt;et al.&lt;/i&gt;, 2012)","plainTextFormattedCitation":"(Reuter et al., 2012)","previouslyFormattedCitation":"(6)"},"properties":{"noteIndex":0},"schema":"https://github.com/citation-style-language/schema/raw/master/csl-citation.json"}</w:instrText>
      </w:r>
      <w:r w:rsidRPr="005A3A67">
        <w:fldChar w:fldCharType="separate"/>
      </w:r>
      <w:r w:rsidR="000832A1" w:rsidRPr="000832A1">
        <w:rPr>
          <w:noProof/>
        </w:rPr>
        <w:t xml:space="preserve">(Reuter </w:t>
      </w:r>
      <w:r w:rsidR="000832A1" w:rsidRPr="000832A1">
        <w:rPr>
          <w:i/>
          <w:noProof/>
        </w:rPr>
        <w:t>et al.</w:t>
      </w:r>
      <w:r w:rsidR="000832A1" w:rsidRPr="000832A1">
        <w:rPr>
          <w:noProof/>
        </w:rPr>
        <w:t>, 2012)</w:t>
      </w:r>
      <w:r w:rsidRPr="005A3A67">
        <w:fldChar w:fldCharType="end"/>
      </w:r>
      <w:r w:rsidRPr="005A3A67">
        <w:t>.</w:t>
      </w:r>
    </w:p>
    <w:p w14:paraId="46B6F0A3" w14:textId="77777777" w:rsidR="005A3A67" w:rsidRPr="005A3A67" w:rsidRDefault="005A3A67" w:rsidP="000542B7">
      <w:pPr>
        <w:spacing w:line="360" w:lineRule="auto"/>
        <w:jc w:val="both"/>
      </w:pPr>
    </w:p>
    <w:p w14:paraId="288ECF34" w14:textId="4D73F32A" w:rsidR="005A3A67" w:rsidRDefault="005A3A67" w:rsidP="000542B7">
      <w:pPr>
        <w:spacing w:line="360" w:lineRule="auto"/>
        <w:jc w:val="both"/>
        <w:rPr>
          <w:rFonts w:cs="Calibri"/>
        </w:rPr>
      </w:pPr>
      <w:r w:rsidRPr="005A3A67">
        <w:rPr>
          <w:rFonts w:cs="Calibri"/>
        </w:rPr>
        <w:t xml:space="preserve">All cortical thickness segmentations were visually inspected for major errors. </w:t>
      </w:r>
    </w:p>
    <w:p w14:paraId="74446BCB" w14:textId="7FE84D45" w:rsidR="00756A84" w:rsidRDefault="00756A84" w:rsidP="000542B7">
      <w:pPr>
        <w:spacing w:line="360" w:lineRule="auto"/>
        <w:jc w:val="both"/>
        <w:rPr>
          <w:rFonts w:cs="Calibri"/>
        </w:rPr>
      </w:pPr>
    </w:p>
    <w:p w14:paraId="3C948E53" w14:textId="1F8BD2FD" w:rsidR="00F034C2" w:rsidRDefault="00756A84" w:rsidP="000542B7">
      <w:pPr>
        <w:spacing w:line="360" w:lineRule="auto"/>
        <w:jc w:val="both"/>
        <w:rPr>
          <w:rFonts w:cs="Calibri"/>
        </w:rPr>
      </w:pPr>
      <w:r>
        <w:rPr>
          <w:rFonts w:cs="Calibri"/>
        </w:rPr>
        <w:t xml:space="preserve">This work was </w:t>
      </w:r>
      <w:r w:rsidR="00B11F6E">
        <w:rPr>
          <w:rFonts w:cs="Calibri"/>
        </w:rPr>
        <w:t>completed by</w:t>
      </w:r>
      <w:r>
        <w:rPr>
          <w:rFonts w:cs="Calibri"/>
        </w:rPr>
        <w:t xml:space="preserve"> Sarah Keuss</w:t>
      </w:r>
      <w:r w:rsidR="00B11F6E">
        <w:rPr>
          <w:rFonts w:cs="Calibri"/>
        </w:rPr>
        <w:t xml:space="preserve"> </w:t>
      </w:r>
      <w:r w:rsidR="005E2DA4">
        <w:rPr>
          <w:rFonts w:cs="Calibri"/>
        </w:rPr>
        <w:t>(</w:t>
      </w:r>
      <w:hyperlink r:id="rId7" w:history="1">
        <w:r w:rsidR="005E2DA4" w:rsidRPr="008D16B5">
          <w:rPr>
            <w:rStyle w:val="Hyperlink"/>
            <w:rFonts w:cs="Calibri"/>
          </w:rPr>
          <w:t>s.keuss@ucl.ac.uk</w:t>
        </w:r>
      </w:hyperlink>
      <w:r w:rsidR="005E2DA4">
        <w:rPr>
          <w:rFonts w:cs="Calibri"/>
        </w:rPr>
        <w:t xml:space="preserve">) </w:t>
      </w:r>
      <w:r w:rsidR="00B11F6E">
        <w:rPr>
          <w:rFonts w:cs="Calibri"/>
        </w:rPr>
        <w:t xml:space="preserve">and </w:t>
      </w:r>
      <w:r>
        <w:rPr>
          <w:rFonts w:cs="Calibri"/>
        </w:rPr>
        <w:t xml:space="preserve">Will </w:t>
      </w:r>
      <w:proofErr w:type="spellStart"/>
      <w:r>
        <w:rPr>
          <w:rFonts w:cs="Calibri"/>
        </w:rPr>
        <w:t>Coath</w:t>
      </w:r>
      <w:proofErr w:type="spellEnd"/>
      <w:r w:rsidR="005E2DA4">
        <w:rPr>
          <w:rFonts w:cs="Calibri"/>
        </w:rPr>
        <w:t xml:space="preserve"> (</w:t>
      </w:r>
      <w:hyperlink r:id="rId8" w:history="1">
        <w:r w:rsidR="005E2DA4" w:rsidRPr="008D16B5">
          <w:rPr>
            <w:rStyle w:val="Hyperlink"/>
            <w:rFonts w:cs="Calibri"/>
          </w:rPr>
          <w:t>w.coath@ucl.ac.uk</w:t>
        </w:r>
      </w:hyperlink>
      <w:r w:rsidR="005E2DA4">
        <w:rPr>
          <w:rFonts w:cs="Calibri"/>
        </w:rPr>
        <w:t>)</w:t>
      </w:r>
      <w:r w:rsidR="00B11F6E">
        <w:rPr>
          <w:rFonts w:cs="Calibri"/>
        </w:rPr>
        <w:t xml:space="preserve"> with </w:t>
      </w:r>
      <w:r>
        <w:rPr>
          <w:rFonts w:cs="Calibri"/>
        </w:rPr>
        <w:t>senior guidance from Dave Cash</w:t>
      </w:r>
      <w:r w:rsidR="005E2DA4">
        <w:rPr>
          <w:rFonts w:cs="Calibri"/>
        </w:rPr>
        <w:t xml:space="preserve"> (</w:t>
      </w:r>
      <w:hyperlink r:id="rId9" w:history="1">
        <w:r w:rsidR="005E2DA4" w:rsidRPr="008D16B5">
          <w:rPr>
            <w:rStyle w:val="Hyperlink"/>
            <w:rFonts w:cs="Calibri"/>
          </w:rPr>
          <w:t>d.cash@ucl.ac.uk</w:t>
        </w:r>
      </w:hyperlink>
      <w:r w:rsidR="005E2DA4">
        <w:rPr>
          <w:rFonts w:cs="Calibri"/>
        </w:rPr>
        <w:t>)</w:t>
      </w:r>
      <w:r>
        <w:rPr>
          <w:rFonts w:cs="Calibri"/>
        </w:rPr>
        <w:t xml:space="preserve">. </w:t>
      </w:r>
      <w:r w:rsidR="00493CC5">
        <w:rPr>
          <w:rFonts w:cs="Calibri"/>
        </w:rPr>
        <w:t>An Insight 46</w:t>
      </w:r>
      <w:r w:rsidR="00B11F6E">
        <w:rPr>
          <w:rFonts w:cs="Calibri"/>
        </w:rPr>
        <w:t xml:space="preserve"> paper which will summarise these methods is currently in progress</w:t>
      </w:r>
      <w:r w:rsidR="00F034C2">
        <w:rPr>
          <w:rFonts w:cs="Calibri"/>
        </w:rPr>
        <w:t>.</w:t>
      </w:r>
    </w:p>
    <w:p w14:paraId="6161BF96" w14:textId="77777777" w:rsidR="00F034C2" w:rsidRDefault="00F034C2" w:rsidP="000542B7">
      <w:pPr>
        <w:spacing w:line="360" w:lineRule="auto"/>
        <w:jc w:val="both"/>
        <w:rPr>
          <w:rFonts w:cs="Calibri"/>
        </w:rPr>
      </w:pPr>
    </w:p>
    <w:p w14:paraId="7D0DB3AA" w14:textId="77777777" w:rsidR="00F034C2" w:rsidRDefault="00F034C2" w:rsidP="000542B7">
      <w:pPr>
        <w:spacing w:line="360" w:lineRule="auto"/>
        <w:jc w:val="both"/>
        <w:rPr>
          <w:rFonts w:cs="Calibri"/>
          <w:u w:val="single"/>
        </w:rPr>
      </w:pPr>
    </w:p>
    <w:p w14:paraId="0DE93A18" w14:textId="0EC6D608" w:rsidR="00756A84" w:rsidRPr="00F034C2" w:rsidRDefault="00F034C2" w:rsidP="000542B7">
      <w:pPr>
        <w:spacing w:line="360" w:lineRule="auto"/>
        <w:jc w:val="both"/>
        <w:rPr>
          <w:rFonts w:cs="Calibri"/>
          <w:b/>
          <w:bCs/>
          <w:sz w:val="26"/>
          <w:szCs w:val="26"/>
          <w:u w:val="single"/>
        </w:rPr>
      </w:pPr>
      <w:r w:rsidRPr="00F034C2">
        <w:rPr>
          <w:rFonts w:cs="Calibri"/>
          <w:b/>
          <w:bCs/>
          <w:sz w:val="26"/>
          <w:szCs w:val="26"/>
          <w:u w:val="single"/>
        </w:rPr>
        <w:lastRenderedPageBreak/>
        <w:t>References</w:t>
      </w:r>
      <w:r w:rsidR="00B11F6E" w:rsidRPr="00F034C2">
        <w:rPr>
          <w:rFonts w:cs="Calibri"/>
          <w:b/>
          <w:bCs/>
          <w:sz w:val="26"/>
          <w:szCs w:val="26"/>
          <w:u w:val="single"/>
        </w:rPr>
        <w:t xml:space="preserve"> </w:t>
      </w:r>
    </w:p>
    <w:p w14:paraId="51B969EB" w14:textId="398C05E2" w:rsidR="000832A1" w:rsidRDefault="000832A1" w:rsidP="000542B7">
      <w:pPr>
        <w:spacing w:line="360" w:lineRule="auto"/>
        <w:jc w:val="both"/>
        <w:rPr>
          <w:rFonts w:cs="Calibri"/>
        </w:rPr>
      </w:pPr>
    </w:p>
    <w:p w14:paraId="579AEFA0" w14:textId="0A382AAF" w:rsidR="000832A1" w:rsidRDefault="000832A1" w:rsidP="000832A1">
      <w:pPr>
        <w:widowControl w:val="0"/>
        <w:autoSpaceDE w:val="0"/>
        <w:autoSpaceDN w:val="0"/>
        <w:adjustRightInd w:val="0"/>
        <w:spacing w:line="360" w:lineRule="auto"/>
        <w:rPr>
          <w:rFonts w:ascii="Calibri" w:hAnsi="Calibri" w:cs="Calibri"/>
          <w:noProof/>
        </w:rPr>
      </w:pPr>
      <w:r>
        <w:rPr>
          <w:rFonts w:cs="Calibri"/>
        </w:rPr>
        <w:fldChar w:fldCharType="begin" w:fldLock="1"/>
      </w:r>
      <w:r>
        <w:rPr>
          <w:rFonts w:cs="Calibri"/>
        </w:rPr>
        <w:instrText xml:space="preserve">ADDIN Mendeley Bibliography CSL_BIBLIOGRAPHY </w:instrText>
      </w:r>
      <w:r>
        <w:rPr>
          <w:rFonts w:cs="Calibri"/>
        </w:rPr>
        <w:fldChar w:fldCharType="separate"/>
      </w:r>
      <w:r w:rsidRPr="000832A1">
        <w:rPr>
          <w:rFonts w:ascii="Calibri" w:hAnsi="Calibri" w:cs="Calibri"/>
          <w:noProof/>
        </w:rPr>
        <w:t xml:space="preserve">Dale, A. M., Fischl, B. and Sereno, M. I. (1999) ‘Cortical Surface-Based Analysis: I. Segmentation and Surface Reconstruction’, </w:t>
      </w:r>
      <w:r w:rsidRPr="000832A1">
        <w:rPr>
          <w:rFonts w:ascii="Calibri" w:hAnsi="Calibri" w:cs="Calibri"/>
          <w:i/>
          <w:iCs/>
          <w:noProof/>
        </w:rPr>
        <w:t>NeuroImage</w:t>
      </w:r>
      <w:r w:rsidRPr="000832A1">
        <w:rPr>
          <w:rFonts w:ascii="Calibri" w:hAnsi="Calibri" w:cs="Calibri"/>
          <w:noProof/>
        </w:rPr>
        <w:t>, 9(2), pp. 179–194. doi: 10.1006/NIMG.1998.0395.</w:t>
      </w:r>
    </w:p>
    <w:p w14:paraId="27CA4382"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6DE7B87F" w14:textId="158C9417"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Desikan, R. S. </w:t>
      </w:r>
      <w:r w:rsidRPr="000832A1">
        <w:rPr>
          <w:rFonts w:ascii="Calibri" w:hAnsi="Calibri" w:cs="Calibri"/>
          <w:i/>
          <w:iCs/>
          <w:noProof/>
        </w:rPr>
        <w:t>et al.</w:t>
      </w:r>
      <w:r w:rsidRPr="000832A1">
        <w:rPr>
          <w:rFonts w:ascii="Calibri" w:hAnsi="Calibri" w:cs="Calibri"/>
          <w:noProof/>
        </w:rPr>
        <w:t xml:space="preserve"> (2006) ‘An automated labeling system for subdividing the human cerebral cortex on MRI scans into gyral based regions of interest’, </w:t>
      </w:r>
      <w:r w:rsidRPr="000832A1">
        <w:rPr>
          <w:rFonts w:ascii="Calibri" w:hAnsi="Calibri" w:cs="Calibri"/>
          <w:i/>
          <w:iCs/>
          <w:noProof/>
        </w:rPr>
        <w:t>NeuroImage</w:t>
      </w:r>
      <w:r w:rsidRPr="000832A1">
        <w:rPr>
          <w:rFonts w:ascii="Calibri" w:hAnsi="Calibri" w:cs="Calibri"/>
          <w:noProof/>
        </w:rPr>
        <w:t>, 31(3), pp. 968–980. doi: 10.1016/j.neuroimage.2006.01.021.</w:t>
      </w:r>
    </w:p>
    <w:p w14:paraId="4D1A033B"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6D9DC523" w14:textId="79FAD635"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Fischl, B. and Dale, A. M. (2000) ‘Measuring the thickness of the human cerebral cortex from magnetic resonance images’, </w:t>
      </w:r>
      <w:r w:rsidRPr="000832A1">
        <w:rPr>
          <w:rFonts w:ascii="Calibri" w:hAnsi="Calibri" w:cs="Calibri"/>
          <w:i/>
          <w:iCs/>
          <w:noProof/>
        </w:rPr>
        <w:t>Proceedings of the National Academy of Sciences</w:t>
      </w:r>
      <w:r w:rsidRPr="000832A1">
        <w:rPr>
          <w:rFonts w:ascii="Calibri" w:hAnsi="Calibri" w:cs="Calibri"/>
          <w:noProof/>
        </w:rPr>
        <w:t>, 97(20), pp. 11050–11055. doi: 10.1073/pnas.200033797.</w:t>
      </w:r>
    </w:p>
    <w:p w14:paraId="26F89F0C"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58A0CA39" w14:textId="2AFA6980"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Fischl, B., Sereno, M. I. and Dale, A. M. (1999) ‘Cortical Surface-Based Analysis: II: Inflation, Flattening, and a Surface-Based Coordinate System’, </w:t>
      </w:r>
      <w:r w:rsidRPr="000832A1">
        <w:rPr>
          <w:rFonts w:ascii="Calibri" w:hAnsi="Calibri" w:cs="Calibri"/>
          <w:i/>
          <w:iCs/>
          <w:noProof/>
        </w:rPr>
        <w:t>NeuroImage</w:t>
      </w:r>
      <w:r w:rsidRPr="000832A1">
        <w:rPr>
          <w:rFonts w:ascii="Calibri" w:hAnsi="Calibri" w:cs="Calibri"/>
          <w:noProof/>
        </w:rPr>
        <w:t>, 9(2), pp. 195–207. doi: 10.1006/NIMG.1998.0396.</w:t>
      </w:r>
    </w:p>
    <w:p w14:paraId="63AE1AAE"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2B7AC5F3" w14:textId="2942747B"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Jovicich, J. </w:t>
      </w:r>
      <w:r w:rsidRPr="000832A1">
        <w:rPr>
          <w:rFonts w:ascii="Calibri" w:hAnsi="Calibri" w:cs="Calibri"/>
          <w:i/>
          <w:iCs/>
          <w:noProof/>
        </w:rPr>
        <w:t>et al.</w:t>
      </w:r>
      <w:r w:rsidRPr="000832A1">
        <w:rPr>
          <w:rFonts w:ascii="Calibri" w:hAnsi="Calibri" w:cs="Calibri"/>
          <w:noProof/>
        </w:rPr>
        <w:t xml:space="preserve"> (2006) ‘Reliability in multi-site structural MRI studies: Effects of gradient non-linearity correction on phantom and human data’, </w:t>
      </w:r>
      <w:r w:rsidRPr="000832A1">
        <w:rPr>
          <w:rFonts w:ascii="Calibri" w:hAnsi="Calibri" w:cs="Calibri"/>
          <w:i/>
          <w:iCs/>
          <w:noProof/>
        </w:rPr>
        <w:t>NeuroImage</w:t>
      </w:r>
      <w:r w:rsidRPr="000832A1">
        <w:rPr>
          <w:rFonts w:ascii="Calibri" w:hAnsi="Calibri" w:cs="Calibri"/>
          <w:noProof/>
        </w:rPr>
        <w:t>, 30(2), pp. 436–443. doi: 10.1016/j.neuroimage.2005.09.046.</w:t>
      </w:r>
    </w:p>
    <w:p w14:paraId="757B6268"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2008BB91" w14:textId="197B13D0"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Reuter, M. </w:t>
      </w:r>
      <w:r w:rsidRPr="000832A1">
        <w:rPr>
          <w:rFonts w:ascii="Calibri" w:hAnsi="Calibri" w:cs="Calibri"/>
          <w:i/>
          <w:iCs/>
          <w:noProof/>
        </w:rPr>
        <w:t>et al.</w:t>
      </w:r>
      <w:r w:rsidRPr="000832A1">
        <w:rPr>
          <w:rFonts w:ascii="Calibri" w:hAnsi="Calibri" w:cs="Calibri"/>
          <w:noProof/>
        </w:rPr>
        <w:t xml:space="preserve"> (2012) ‘Within-subject template estimation for unbiased longitudinal image analysis.’, </w:t>
      </w:r>
      <w:r w:rsidRPr="000832A1">
        <w:rPr>
          <w:rFonts w:ascii="Calibri" w:hAnsi="Calibri" w:cs="Calibri"/>
          <w:i/>
          <w:iCs/>
          <w:noProof/>
        </w:rPr>
        <w:t>NeuroImage</w:t>
      </w:r>
      <w:r w:rsidRPr="000832A1">
        <w:rPr>
          <w:rFonts w:ascii="Calibri" w:hAnsi="Calibri" w:cs="Calibri"/>
          <w:noProof/>
        </w:rPr>
        <w:t>, 61(4), pp. 1402–18. doi: 10.1016/j.neuroimage.2012.02.084.</w:t>
      </w:r>
    </w:p>
    <w:p w14:paraId="21B3D8EC"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0A107DAD" w14:textId="0B959EB8"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Reuter, M. and Fischl, B. (2011) ‘Avoiding asymmetry-induced bias in longitudinal image processing’, </w:t>
      </w:r>
      <w:r w:rsidRPr="000832A1">
        <w:rPr>
          <w:rFonts w:ascii="Calibri" w:hAnsi="Calibri" w:cs="Calibri"/>
          <w:i/>
          <w:iCs/>
          <w:noProof/>
        </w:rPr>
        <w:t>NeuroImage</w:t>
      </w:r>
      <w:r w:rsidRPr="000832A1">
        <w:rPr>
          <w:rFonts w:ascii="Calibri" w:hAnsi="Calibri" w:cs="Calibri"/>
          <w:noProof/>
        </w:rPr>
        <w:t>, pp. 19–21. doi: 10.1016/j.neuroimage.2011.02.076.</w:t>
      </w:r>
    </w:p>
    <w:p w14:paraId="05F6A92D"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35B1FAB7" w14:textId="77777777" w:rsidR="000832A1" w:rsidRP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Reuter, M., Rosas, H. D. and Fischl, B. (2010) ‘Highly accurate inverse consistent registration: A robust approach’, </w:t>
      </w:r>
      <w:r w:rsidRPr="000832A1">
        <w:rPr>
          <w:rFonts w:ascii="Calibri" w:hAnsi="Calibri" w:cs="Calibri"/>
          <w:i/>
          <w:iCs/>
          <w:noProof/>
        </w:rPr>
        <w:t>NeuroImage</w:t>
      </w:r>
      <w:r w:rsidRPr="000832A1">
        <w:rPr>
          <w:rFonts w:ascii="Calibri" w:hAnsi="Calibri" w:cs="Calibri"/>
          <w:noProof/>
        </w:rPr>
        <w:t>, 53(4), pp. 1181–1196. doi: 10.1016/j.neuroimage.2010.07.020.</w:t>
      </w:r>
    </w:p>
    <w:p w14:paraId="7A0EADC3" w14:textId="1D1FA6BC" w:rsidR="005A3A67" w:rsidRDefault="000832A1" w:rsidP="000832A1">
      <w:pPr>
        <w:widowControl w:val="0"/>
        <w:autoSpaceDE w:val="0"/>
        <w:autoSpaceDN w:val="0"/>
        <w:adjustRightInd w:val="0"/>
        <w:spacing w:line="360" w:lineRule="auto"/>
        <w:ind w:left="640" w:hanging="640"/>
        <w:rPr>
          <w:rFonts w:cs="Calibri"/>
        </w:rPr>
      </w:pPr>
      <w:r>
        <w:rPr>
          <w:rFonts w:cs="Calibri"/>
        </w:rPr>
        <w:fldChar w:fldCharType="end"/>
      </w:r>
    </w:p>
    <w:p w14:paraId="0B131678" w14:textId="0CDD01A5" w:rsidR="005A3A67" w:rsidRDefault="000542B7" w:rsidP="000542B7">
      <w:pPr>
        <w:spacing w:line="360" w:lineRule="auto"/>
        <w:rPr>
          <w:rFonts w:cs="Calibri"/>
          <w:b/>
          <w:bCs/>
          <w:sz w:val="26"/>
          <w:szCs w:val="26"/>
          <w:u w:val="single"/>
        </w:rPr>
      </w:pPr>
      <w:r>
        <w:rPr>
          <w:rFonts w:cs="Calibri"/>
          <w:b/>
          <w:bCs/>
          <w:sz w:val="26"/>
          <w:szCs w:val="26"/>
          <w:u w:val="single"/>
        </w:rPr>
        <w:lastRenderedPageBreak/>
        <w:t xml:space="preserve">Freesurfer data </w:t>
      </w:r>
      <w:r w:rsidR="005A3A67" w:rsidRPr="000B46D9">
        <w:rPr>
          <w:rFonts w:cs="Calibri"/>
          <w:b/>
          <w:bCs/>
          <w:sz w:val="26"/>
          <w:szCs w:val="26"/>
          <w:u w:val="single"/>
        </w:rPr>
        <w:t>storage</w:t>
      </w:r>
    </w:p>
    <w:p w14:paraId="1026A2D0" w14:textId="53B4F0B0" w:rsidR="000542B7" w:rsidRPr="000542B7" w:rsidRDefault="000542B7" w:rsidP="000542B7">
      <w:pPr>
        <w:spacing w:line="360" w:lineRule="auto"/>
        <w:rPr>
          <w:rFonts w:cs="Calibri"/>
          <w:b/>
          <w:bCs/>
          <w:u w:val="single"/>
        </w:rPr>
      </w:pPr>
    </w:p>
    <w:p w14:paraId="22266A55" w14:textId="4C435057" w:rsidR="000542B7" w:rsidRPr="006E5001" w:rsidRDefault="000542B7" w:rsidP="000542B7">
      <w:pPr>
        <w:spacing w:line="360" w:lineRule="auto"/>
        <w:rPr>
          <w:rFonts w:ascii="Calibri" w:eastAsia="Times New Roman" w:hAnsi="Calibri" w:cs="Calibri"/>
          <w:color w:val="242424"/>
          <w:shd w:val="clear" w:color="auto" w:fill="FFFFFF"/>
          <w:lang w:eastAsia="en-GB"/>
        </w:rPr>
      </w:pPr>
      <w:r w:rsidRPr="000542B7">
        <w:rPr>
          <w:rFonts w:cs="Calibri"/>
        </w:rPr>
        <w:t xml:space="preserve">All output files are currently zipped and stored on the UCL cluster </w:t>
      </w:r>
      <w:r>
        <w:rPr>
          <w:rFonts w:cs="Calibri"/>
        </w:rPr>
        <w:t xml:space="preserve">in the following location: </w:t>
      </w:r>
      <w:r w:rsidRPr="000542B7">
        <w:rPr>
          <w:rFonts w:ascii="Calibri" w:eastAsia="Times New Roman" w:hAnsi="Calibri" w:cs="Calibri"/>
          <w:color w:val="242424"/>
          <w:shd w:val="clear" w:color="auto" w:fill="FFFFFF"/>
          <w:lang w:eastAsia="en-GB"/>
        </w:rPr>
        <w:t>/SAN/medic/insight46/analysis/freesurfer7_simple</w:t>
      </w:r>
      <w:r w:rsidR="006E5001">
        <w:rPr>
          <w:rFonts w:ascii="Calibri" w:eastAsia="Times New Roman" w:hAnsi="Calibri" w:cs="Calibri"/>
          <w:color w:val="242424"/>
          <w:shd w:val="clear" w:color="auto" w:fill="FFFFFF"/>
          <w:lang w:eastAsia="en-GB"/>
        </w:rPr>
        <w:t xml:space="preserve">. </w:t>
      </w:r>
      <w:r>
        <w:rPr>
          <w:rFonts w:ascii="Calibri" w:eastAsia="Times New Roman" w:hAnsi="Calibri" w:cs="Calibri"/>
          <w:color w:val="242424"/>
          <w:shd w:val="clear" w:color="auto" w:fill="FFFFFF"/>
          <w:lang w:eastAsia="en-GB"/>
        </w:rPr>
        <w:t xml:space="preserve">Please liaise with Will </w:t>
      </w:r>
      <w:proofErr w:type="spellStart"/>
      <w:r>
        <w:rPr>
          <w:rFonts w:ascii="Calibri" w:eastAsia="Times New Roman" w:hAnsi="Calibri" w:cs="Calibri"/>
          <w:color w:val="242424"/>
          <w:shd w:val="clear" w:color="auto" w:fill="FFFFFF"/>
          <w:lang w:eastAsia="en-GB"/>
        </w:rPr>
        <w:t>Coath</w:t>
      </w:r>
      <w:proofErr w:type="spellEnd"/>
      <w:r>
        <w:rPr>
          <w:rFonts w:ascii="Calibri" w:eastAsia="Times New Roman" w:hAnsi="Calibri" w:cs="Calibri"/>
          <w:color w:val="242424"/>
          <w:shd w:val="clear" w:color="auto" w:fill="FFFFFF"/>
          <w:lang w:eastAsia="en-GB"/>
        </w:rPr>
        <w:t xml:space="preserve"> (</w:t>
      </w:r>
      <w:hyperlink r:id="rId10" w:history="1">
        <w:r w:rsidRPr="004C3BF5">
          <w:rPr>
            <w:rStyle w:val="Hyperlink"/>
            <w:rFonts w:ascii="Calibri" w:eastAsia="Times New Roman" w:hAnsi="Calibri" w:cs="Calibri"/>
            <w:shd w:val="clear" w:color="auto" w:fill="FFFFFF"/>
            <w:lang w:eastAsia="en-GB"/>
          </w:rPr>
          <w:t>w.coath@ucl.ac.uk</w:t>
        </w:r>
      </w:hyperlink>
      <w:r>
        <w:rPr>
          <w:rFonts w:ascii="Calibri" w:eastAsia="Times New Roman" w:hAnsi="Calibri" w:cs="Calibri"/>
          <w:color w:val="242424"/>
          <w:shd w:val="clear" w:color="auto" w:fill="FFFFFF"/>
          <w:lang w:eastAsia="en-GB"/>
        </w:rPr>
        <w:t>) and Dave Cash (</w:t>
      </w:r>
      <w:hyperlink r:id="rId11" w:history="1">
        <w:r w:rsidRPr="004C3BF5">
          <w:rPr>
            <w:rStyle w:val="Hyperlink"/>
            <w:rFonts w:ascii="Calibri" w:eastAsia="Times New Roman" w:hAnsi="Calibri" w:cs="Calibri"/>
            <w:shd w:val="clear" w:color="auto" w:fill="FFFFFF"/>
            <w:lang w:eastAsia="en-GB"/>
          </w:rPr>
          <w:t>d.cash@ucl.ac.uk</w:t>
        </w:r>
      </w:hyperlink>
      <w:r>
        <w:rPr>
          <w:rFonts w:ascii="Calibri" w:eastAsia="Times New Roman" w:hAnsi="Calibri" w:cs="Calibri"/>
          <w:color w:val="242424"/>
          <w:shd w:val="clear" w:color="auto" w:fill="FFFFFF"/>
          <w:lang w:eastAsia="en-GB"/>
        </w:rPr>
        <w:t xml:space="preserve">) if access to this data is required. </w:t>
      </w:r>
    </w:p>
    <w:p w14:paraId="7FAF80AF" w14:textId="77777777" w:rsidR="000832A1" w:rsidRDefault="000832A1" w:rsidP="000542B7">
      <w:pPr>
        <w:spacing w:line="360" w:lineRule="auto"/>
        <w:rPr>
          <w:rFonts w:cs="Calibri"/>
          <w:b/>
          <w:bCs/>
          <w:sz w:val="26"/>
          <w:szCs w:val="26"/>
          <w:u w:val="single"/>
        </w:rPr>
      </w:pPr>
    </w:p>
    <w:p w14:paraId="79B4C08A" w14:textId="355B03DA" w:rsidR="000B46D9" w:rsidRDefault="000B46D9" w:rsidP="000542B7">
      <w:pPr>
        <w:spacing w:line="360" w:lineRule="auto"/>
        <w:rPr>
          <w:rFonts w:cs="Calibri"/>
          <w:b/>
          <w:bCs/>
          <w:sz w:val="26"/>
          <w:szCs w:val="26"/>
          <w:u w:val="single"/>
        </w:rPr>
      </w:pPr>
      <w:r>
        <w:rPr>
          <w:rFonts w:cs="Calibri"/>
          <w:b/>
          <w:bCs/>
          <w:sz w:val="26"/>
          <w:szCs w:val="26"/>
          <w:u w:val="single"/>
        </w:rPr>
        <w:t xml:space="preserve">Data </w:t>
      </w:r>
      <w:r w:rsidR="006E5001">
        <w:rPr>
          <w:rFonts w:cs="Calibri"/>
          <w:b/>
          <w:bCs/>
          <w:sz w:val="26"/>
          <w:szCs w:val="26"/>
          <w:u w:val="single"/>
        </w:rPr>
        <w:t>requests</w:t>
      </w:r>
    </w:p>
    <w:p w14:paraId="401292D5" w14:textId="2397CDA6" w:rsidR="006E5001" w:rsidRPr="006E5001" w:rsidRDefault="006E5001" w:rsidP="000542B7">
      <w:pPr>
        <w:spacing w:line="360" w:lineRule="auto"/>
        <w:rPr>
          <w:rFonts w:cs="Calibri"/>
          <w:b/>
          <w:bCs/>
          <w:u w:val="single"/>
        </w:rPr>
      </w:pPr>
    </w:p>
    <w:p w14:paraId="031DF023" w14:textId="61E5098B" w:rsidR="00F4144A" w:rsidRDefault="006E5001" w:rsidP="000542B7">
      <w:pPr>
        <w:spacing w:line="360" w:lineRule="auto"/>
        <w:rPr>
          <w:rFonts w:cs="Calibri"/>
        </w:rPr>
      </w:pPr>
      <w:r w:rsidRPr="006E5001">
        <w:rPr>
          <w:rFonts w:cs="Calibri"/>
        </w:rPr>
        <w:t>Sarah Keuss has shared</w:t>
      </w:r>
      <w:r w:rsidR="007638F6">
        <w:rPr>
          <w:rFonts w:cs="Calibri"/>
        </w:rPr>
        <w:t xml:space="preserve"> AD</w:t>
      </w:r>
      <w:r w:rsidRPr="006E5001">
        <w:rPr>
          <w:rFonts w:cs="Calibri"/>
        </w:rPr>
        <w:t xml:space="preserve"> signature cortical thickness variables with the LHA</w:t>
      </w:r>
      <w:r w:rsidR="00AF3EBF">
        <w:rPr>
          <w:rFonts w:cs="Calibri"/>
        </w:rPr>
        <w:t xml:space="preserve">, </w:t>
      </w:r>
      <w:r w:rsidRPr="006E5001">
        <w:rPr>
          <w:rFonts w:cs="Calibri"/>
        </w:rPr>
        <w:t>and th</w:t>
      </w:r>
      <w:r>
        <w:rPr>
          <w:rFonts w:cs="Calibri"/>
        </w:rPr>
        <w:t>ey</w:t>
      </w:r>
      <w:r w:rsidRPr="006E5001">
        <w:rPr>
          <w:rFonts w:cs="Calibri"/>
        </w:rPr>
        <w:t xml:space="preserve"> will be accessible via the usual route on Skylark in due course. </w:t>
      </w:r>
    </w:p>
    <w:p w14:paraId="5BA66AC4" w14:textId="1A5AC2C3" w:rsidR="006E5001" w:rsidRPr="00EA2194" w:rsidRDefault="006E5001" w:rsidP="000542B7">
      <w:pPr>
        <w:spacing w:line="360" w:lineRule="auto"/>
        <w:rPr>
          <w:rFonts w:ascii="Calibri" w:hAnsi="Calibri" w:cs="Calibri"/>
        </w:rPr>
      </w:pPr>
    </w:p>
    <w:p w14:paraId="102FDB43" w14:textId="57EAF9FE" w:rsidR="006E5001" w:rsidRPr="00EA2194" w:rsidRDefault="006E5001" w:rsidP="000542B7">
      <w:pPr>
        <w:spacing w:line="360" w:lineRule="auto"/>
        <w:rPr>
          <w:rFonts w:ascii="Calibri" w:hAnsi="Calibri" w:cs="Calibri"/>
        </w:rPr>
      </w:pPr>
      <w:r w:rsidRPr="00EA2194">
        <w:rPr>
          <w:rFonts w:ascii="Calibri" w:hAnsi="Calibri" w:cs="Calibri"/>
        </w:rPr>
        <w:t xml:space="preserve">For other variables/analyses involving Freesurfer, the current </w:t>
      </w:r>
      <w:r w:rsidR="00EA2194">
        <w:rPr>
          <w:rFonts w:ascii="Calibri" w:hAnsi="Calibri" w:cs="Calibri"/>
        </w:rPr>
        <w:t xml:space="preserve">working </w:t>
      </w:r>
      <w:r w:rsidRPr="00EA2194">
        <w:rPr>
          <w:rFonts w:ascii="Calibri" w:hAnsi="Calibri" w:cs="Calibri"/>
        </w:rPr>
        <w:t>plan is:</w:t>
      </w:r>
    </w:p>
    <w:p w14:paraId="43FAC5DD" w14:textId="34301697" w:rsidR="006E5001" w:rsidRDefault="006E5001" w:rsidP="006E5001">
      <w:pPr>
        <w:pStyle w:val="ListParagraph"/>
        <w:numPr>
          <w:ilvl w:val="0"/>
          <w:numId w:val="2"/>
        </w:numPr>
        <w:spacing w:line="360" w:lineRule="auto"/>
        <w:rPr>
          <w:rFonts w:ascii="Calibri" w:hAnsi="Calibri" w:cs="Calibri"/>
        </w:rPr>
      </w:pPr>
      <w:r w:rsidRPr="00EA2194">
        <w:rPr>
          <w:rFonts w:ascii="Calibri" w:hAnsi="Calibri" w:cs="Calibri"/>
        </w:rPr>
        <w:t>Internal UCL</w:t>
      </w:r>
      <w:r w:rsidR="00EA2194">
        <w:rPr>
          <w:rFonts w:ascii="Calibri" w:hAnsi="Calibri" w:cs="Calibri"/>
        </w:rPr>
        <w:t xml:space="preserve"> researchers – to be given </w:t>
      </w:r>
      <w:r w:rsidR="007638F6">
        <w:rPr>
          <w:rFonts w:ascii="Calibri" w:hAnsi="Calibri" w:cs="Calibri"/>
        </w:rPr>
        <w:t xml:space="preserve">direct </w:t>
      </w:r>
      <w:r w:rsidR="00EA2194">
        <w:rPr>
          <w:rFonts w:ascii="Calibri" w:hAnsi="Calibri" w:cs="Calibri"/>
        </w:rPr>
        <w:t>access to the output files via the cluster or to copy the files they require into their own folder on the cluster</w:t>
      </w:r>
      <w:r w:rsidR="007416FF">
        <w:rPr>
          <w:rFonts w:ascii="Calibri" w:hAnsi="Calibri" w:cs="Calibri"/>
        </w:rPr>
        <w:t>.</w:t>
      </w:r>
    </w:p>
    <w:p w14:paraId="68A053B8" w14:textId="57E89C72" w:rsidR="00EA2194" w:rsidRDefault="00EA2194" w:rsidP="006E5001">
      <w:pPr>
        <w:pStyle w:val="ListParagraph"/>
        <w:numPr>
          <w:ilvl w:val="0"/>
          <w:numId w:val="2"/>
        </w:numPr>
        <w:spacing w:line="360" w:lineRule="auto"/>
        <w:rPr>
          <w:rFonts w:ascii="Calibri" w:hAnsi="Calibri" w:cs="Calibri"/>
        </w:rPr>
      </w:pPr>
      <w:r>
        <w:rPr>
          <w:rFonts w:ascii="Calibri" w:hAnsi="Calibri" w:cs="Calibri"/>
        </w:rPr>
        <w:t xml:space="preserve">External researchers – </w:t>
      </w:r>
      <w:r w:rsidR="00097280">
        <w:rPr>
          <w:rFonts w:ascii="Calibri" w:hAnsi="Calibri" w:cs="Calibri"/>
        </w:rPr>
        <w:t>TBC (discuss with</w:t>
      </w:r>
      <w:r w:rsidR="007638F6">
        <w:rPr>
          <w:rFonts w:ascii="Calibri" w:hAnsi="Calibri" w:cs="Calibri"/>
        </w:rPr>
        <w:t xml:space="preserve"> Dave Cash</w:t>
      </w:r>
      <w:r w:rsidR="00097280">
        <w:rPr>
          <w:rFonts w:ascii="Calibri" w:hAnsi="Calibri" w:cs="Calibri"/>
        </w:rPr>
        <w:t xml:space="preserve"> and Jon Schott)</w:t>
      </w:r>
      <w:r w:rsidR="007638F6">
        <w:rPr>
          <w:rFonts w:ascii="Calibri" w:hAnsi="Calibri" w:cs="Calibri"/>
        </w:rPr>
        <w:t>;</w:t>
      </w:r>
      <w:r>
        <w:rPr>
          <w:rFonts w:ascii="Calibri" w:hAnsi="Calibri" w:cs="Calibri"/>
        </w:rPr>
        <w:t xml:space="preserve"> one </w:t>
      </w:r>
      <w:r w:rsidR="007638F6">
        <w:rPr>
          <w:rFonts w:ascii="Calibri" w:hAnsi="Calibri" w:cs="Calibri"/>
        </w:rPr>
        <w:t>option is</w:t>
      </w:r>
      <w:r>
        <w:rPr>
          <w:rFonts w:ascii="Calibri" w:hAnsi="Calibri" w:cs="Calibri"/>
        </w:rPr>
        <w:t xml:space="preserve"> </w:t>
      </w:r>
      <w:r w:rsidR="007638F6">
        <w:rPr>
          <w:rFonts w:ascii="Calibri" w:hAnsi="Calibri" w:cs="Calibri"/>
        </w:rPr>
        <w:t>t</w:t>
      </w:r>
      <w:r>
        <w:rPr>
          <w:rFonts w:ascii="Calibri" w:hAnsi="Calibri" w:cs="Calibri"/>
        </w:rPr>
        <w:t>o use the XNAT server and attach the zipped output files to the shared imaging data</w:t>
      </w:r>
      <w:r w:rsidR="007638F6">
        <w:rPr>
          <w:rFonts w:ascii="Calibri" w:hAnsi="Calibri" w:cs="Calibri"/>
        </w:rPr>
        <w:t>.</w:t>
      </w:r>
    </w:p>
    <w:p w14:paraId="1FB01021" w14:textId="77777777" w:rsidR="007416FF" w:rsidRDefault="007416FF" w:rsidP="007416FF">
      <w:pPr>
        <w:spacing w:line="360" w:lineRule="auto"/>
        <w:rPr>
          <w:rFonts w:ascii="Calibri" w:hAnsi="Calibri" w:cs="Calibri"/>
        </w:rPr>
      </w:pPr>
    </w:p>
    <w:p w14:paraId="3EF7168A" w14:textId="01ACEBF7" w:rsidR="007416FF" w:rsidRPr="007416FF" w:rsidRDefault="007416FF" w:rsidP="007416FF">
      <w:pPr>
        <w:spacing w:line="360" w:lineRule="auto"/>
        <w:rPr>
          <w:rFonts w:ascii="Calibri" w:hAnsi="Calibri" w:cs="Calibri"/>
        </w:rPr>
      </w:pPr>
      <w:r>
        <w:rPr>
          <w:rFonts w:ascii="Calibri" w:hAnsi="Calibri" w:cs="Calibri"/>
        </w:rPr>
        <w:t>Anyone requesting data should be given the methods</w:t>
      </w:r>
      <w:r w:rsidR="000832A1">
        <w:rPr>
          <w:rFonts w:ascii="Calibri" w:hAnsi="Calibri" w:cs="Calibri"/>
        </w:rPr>
        <w:t xml:space="preserve"> summary</w:t>
      </w:r>
      <w:r>
        <w:rPr>
          <w:rFonts w:ascii="Calibri" w:hAnsi="Calibri" w:cs="Calibri"/>
        </w:rPr>
        <w:t xml:space="preserve"> above. </w:t>
      </w:r>
    </w:p>
    <w:p w14:paraId="59F3C48F" w14:textId="77777777" w:rsidR="006E5001" w:rsidRPr="006E5001" w:rsidRDefault="006E5001" w:rsidP="000542B7">
      <w:pPr>
        <w:spacing w:line="360" w:lineRule="auto"/>
        <w:rPr>
          <w:rFonts w:cs="Calibri"/>
          <w:sz w:val="26"/>
          <w:szCs w:val="26"/>
        </w:rPr>
      </w:pPr>
    </w:p>
    <w:p w14:paraId="65AD139F" w14:textId="3BD69ABF" w:rsidR="006E5001" w:rsidRDefault="006E5001" w:rsidP="000542B7">
      <w:pPr>
        <w:spacing w:line="360" w:lineRule="auto"/>
        <w:rPr>
          <w:rFonts w:cs="Calibri"/>
          <w:b/>
          <w:bCs/>
          <w:sz w:val="26"/>
          <w:szCs w:val="26"/>
          <w:u w:val="single"/>
        </w:rPr>
      </w:pPr>
    </w:p>
    <w:p w14:paraId="32FB5F03" w14:textId="77777777" w:rsidR="006E5001" w:rsidRPr="000B46D9" w:rsidRDefault="006E5001" w:rsidP="000542B7">
      <w:pPr>
        <w:spacing w:line="360" w:lineRule="auto"/>
        <w:rPr>
          <w:b/>
          <w:bCs/>
          <w:u w:val="single"/>
        </w:rPr>
      </w:pPr>
    </w:p>
    <w:sectPr w:rsidR="006E5001" w:rsidRPr="000B4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D03F1"/>
    <w:multiLevelType w:val="hybridMultilevel"/>
    <w:tmpl w:val="BD8AD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DF3F51"/>
    <w:multiLevelType w:val="multilevel"/>
    <w:tmpl w:val="74684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A67"/>
    <w:rsid w:val="000542B7"/>
    <w:rsid w:val="000832A1"/>
    <w:rsid w:val="00097280"/>
    <w:rsid w:val="000A1A4D"/>
    <w:rsid w:val="000B46D9"/>
    <w:rsid w:val="001F2202"/>
    <w:rsid w:val="00493CC5"/>
    <w:rsid w:val="00504FD8"/>
    <w:rsid w:val="005A3A67"/>
    <w:rsid w:val="005E2DA4"/>
    <w:rsid w:val="006E5001"/>
    <w:rsid w:val="007012F8"/>
    <w:rsid w:val="007416FF"/>
    <w:rsid w:val="00756A84"/>
    <w:rsid w:val="007638F6"/>
    <w:rsid w:val="00782C8C"/>
    <w:rsid w:val="008659AB"/>
    <w:rsid w:val="00A04A46"/>
    <w:rsid w:val="00AF3EBF"/>
    <w:rsid w:val="00B11F6E"/>
    <w:rsid w:val="00C47722"/>
    <w:rsid w:val="00CF69FB"/>
    <w:rsid w:val="00D20BCC"/>
    <w:rsid w:val="00D35570"/>
    <w:rsid w:val="00D4538C"/>
    <w:rsid w:val="00D60CE7"/>
    <w:rsid w:val="00D93950"/>
    <w:rsid w:val="00E179A9"/>
    <w:rsid w:val="00E90474"/>
    <w:rsid w:val="00EA2194"/>
    <w:rsid w:val="00ED2524"/>
    <w:rsid w:val="00F034C2"/>
    <w:rsid w:val="00F414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4D74"/>
  <w15:chartTrackingRefBased/>
  <w15:docId w15:val="{F0108328-A34A-C44A-88FF-7BABD011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42B7"/>
    <w:rPr>
      <w:color w:val="0563C1" w:themeColor="hyperlink"/>
      <w:u w:val="single"/>
    </w:rPr>
  </w:style>
  <w:style w:type="character" w:styleId="UnresolvedMention">
    <w:name w:val="Unresolved Mention"/>
    <w:basedOn w:val="DefaultParagraphFont"/>
    <w:uiPriority w:val="99"/>
    <w:semiHidden/>
    <w:unhideWhenUsed/>
    <w:rsid w:val="000542B7"/>
    <w:rPr>
      <w:color w:val="605E5C"/>
      <w:shd w:val="clear" w:color="auto" w:fill="E1DFDD"/>
    </w:rPr>
  </w:style>
  <w:style w:type="paragraph" w:styleId="ListParagraph">
    <w:name w:val="List Paragraph"/>
    <w:basedOn w:val="Normal"/>
    <w:uiPriority w:val="34"/>
    <w:qFormat/>
    <w:rsid w:val="006E5001"/>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444445">
      <w:bodyDiv w:val="1"/>
      <w:marLeft w:val="0"/>
      <w:marRight w:val="0"/>
      <w:marTop w:val="0"/>
      <w:marBottom w:val="0"/>
      <w:divBdr>
        <w:top w:val="none" w:sz="0" w:space="0" w:color="auto"/>
        <w:left w:val="none" w:sz="0" w:space="0" w:color="auto"/>
        <w:bottom w:val="none" w:sz="0" w:space="0" w:color="auto"/>
        <w:right w:val="none" w:sz="0" w:space="0" w:color="auto"/>
      </w:divBdr>
    </w:div>
    <w:div w:id="115214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coath@ucl.ac.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s.keuss@ucl.ac.uk"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rfer.nmr.mgh.harvard.edu/" TargetMode="External"/><Relationship Id="rId11" Type="http://schemas.openxmlformats.org/officeDocument/2006/relationships/hyperlink" Target="mailto:d.cash@ucl.ac.uk" TargetMode="External"/><Relationship Id="rId5" Type="http://schemas.openxmlformats.org/officeDocument/2006/relationships/webSettings" Target="webSettings.xml"/><Relationship Id="rId10" Type="http://schemas.openxmlformats.org/officeDocument/2006/relationships/hyperlink" Target="mailto:w.coath@ucl.ac.uk" TargetMode="External"/><Relationship Id="rId4" Type="http://schemas.openxmlformats.org/officeDocument/2006/relationships/settings" Target="settings.xml"/><Relationship Id="rId9" Type="http://schemas.openxmlformats.org/officeDocument/2006/relationships/hyperlink" Target="mailto:d.cash@u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4E553-3A0C-A349-AC5B-25C9F39F6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3918</Words>
  <Characters>22334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Keuss, Sarah</dc:creator>
  <cp:keywords/>
  <dc:description/>
  <cp:lastModifiedBy>Imran Shah</cp:lastModifiedBy>
  <cp:revision>3</cp:revision>
  <dcterms:created xsi:type="dcterms:W3CDTF">2022-10-24T10:37:00Z</dcterms:created>
  <dcterms:modified xsi:type="dcterms:W3CDTF">2025-02-28T13:22:00Z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9e849720-5c51-3a9a-b220-9e570388c36f</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