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B94B" w14:textId="61DE8DCA" w:rsidR="001C469B" w:rsidRDefault="00B77788" w:rsidP="00A25719">
      <w:pPr>
        <w:pStyle w:val="Heading1"/>
      </w:pPr>
      <w:r>
        <w:t xml:space="preserve">Documentation - </w:t>
      </w:r>
      <w:r w:rsidRPr="00B77788">
        <w:t>I46_simoaGothenburg</w:t>
      </w:r>
      <w:r>
        <w:t xml:space="preserve"> – Insight46 wave 1</w:t>
      </w:r>
    </w:p>
    <w:p w14:paraId="14DD4B44" w14:textId="31F271EC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4921D631" w14:textId="77777777" w:rsidTr="00C71A21">
        <w:trPr>
          <w:trHeight w:val="453"/>
          <w:jc w:val="center"/>
        </w:trPr>
        <w:tc>
          <w:tcPr>
            <w:tcW w:w="3510" w:type="dxa"/>
          </w:tcPr>
          <w:p w14:paraId="31E5C70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7124E7C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459C230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327B8ECB" w14:textId="6C19A5F4" w:rsidR="00BA5901" w:rsidRDefault="00C81D38" w:rsidP="00F90CDC">
            <w:r>
              <w:t>Simoa blood biomarkers tested on phase 1 plasma and serum samples from the LWBL/UKDRI biobank</w:t>
            </w:r>
          </w:p>
        </w:tc>
      </w:tr>
      <w:tr w:rsidR="00646697" w14:paraId="17DCB76C" w14:textId="77777777" w:rsidTr="00BA5901">
        <w:trPr>
          <w:jc w:val="center"/>
        </w:trPr>
        <w:tc>
          <w:tcPr>
            <w:tcW w:w="3510" w:type="dxa"/>
          </w:tcPr>
          <w:p w14:paraId="3CCDE4F0" w14:textId="77777777" w:rsidR="00646697" w:rsidRPr="00F90CDC" w:rsidRDefault="00F90CDC" w:rsidP="00F90CDC">
            <w:pPr>
              <w:rPr>
                <w:b/>
              </w:rPr>
            </w:pPr>
            <w:r>
              <w:rPr>
                <w:b/>
              </w:rPr>
              <w:t>List any p</w:t>
            </w:r>
            <w:r w:rsidR="00646697"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6379" w:type="dxa"/>
          </w:tcPr>
          <w:p w14:paraId="41D4B2D0" w14:textId="37A3A822" w:rsidR="00C81D38" w:rsidRDefault="00CD74AD" w:rsidP="007C06F0">
            <w:r>
              <w:t xml:space="preserve">1. </w:t>
            </w:r>
            <w:proofErr w:type="spellStart"/>
            <w:r w:rsidR="006D3B10">
              <w:t>Keshavan</w:t>
            </w:r>
            <w:proofErr w:type="spellEnd"/>
            <w:r w:rsidR="006D3B10">
              <w:t xml:space="preserve"> A, </w:t>
            </w:r>
            <w:proofErr w:type="spellStart"/>
            <w:r w:rsidR="006D3B10">
              <w:t>Pannee</w:t>
            </w:r>
            <w:proofErr w:type="spellEnd"/>
            <w:r w:rsidR="006D3B10">
              <w:t xml:space="preserve"> J, </w:t>
            </w:r>
            <w:proofErr w:type="spellStart"/>
            <w:r w:rsidR="006D3B10">
              <w:t>Karikari</w:t>
            </w:r>
            <w:proofErr w:type="spellEnd"/>
            <w:r w:rsidR="006D3B10">
              <w:t xml:space="preserve"> TK et al. </w:t>
            </w:r>
            <w:r w:rsidR="006D3B10" w:rsidRPr="006D3B10">
              <w:t>Population-based blood screening for preclinical Alzheimer's disease in a British birth cohort at age 70</w:t>
            </w:r>
            <w:r w:rsidR="006D3B10">
              <w:t xml:space="preserve">. </w:t>
            </w:r>
            <w:r w:rsidR="006D3B10" w:rsidRPr="006D3B10">
              <w:t xml:space="preserve">Brain. 2021 Jan 22. </w:t>
            </w:r>
            <w:proofErr w:type="spellStart"/>
            <w:r w:rsidR="006D3B10" w:rsidRPr="006D3B10">
              <w:t>pii</w:t>
            </w:r>
            <w:proofErr w:type="spellEnd"/>
            <w:r w:rsidR="006D3B10" w:rsidRPr="006D3B10">
              <w:t xml:space="preserve">: 6105867. </w:t>
            </w:r>
            <w:proofErr w:type="spellStart"/>
            <w:r w:rsidR="006D3B10" w:rsidRPr="006D3B10">
              <w:t>doi</w:t>
            </w:r>
            <w:proofErr w:type="spellEnd"/>
            <w:r w:rsidR="006D3B10" w:rsidRPr="006D3B10">
              <w:t>: 10.1093/brain/awaa403.</w:t>
            </w:r>
          </w:p>
        </w:tc>
      </w:tr>
    </w:tbl>
    <w:p w14:paraId="429E154D" w14:textId="72E71799" w:rsidR="00C32753" w:rsidRDefault="00C32753" w:rsidP="00F90CDC"/>
    <w:p w14:paraId="73C72A15" w14:textId="77777777" w:rsidR="006D3B10" w:rsidRDefault="006D3B10" w:rsidP="00F90CDC">
      <w:pPr>
        <w:rPr>
          <w:szCs w:val="20"/>
        </w:rPr>
      </w:pPr>
    </w:p>
    <w:p w14:paraId="26813588" w14:textId="1C75F1BA" w:rsidR="00C81D38" w:rsidRPr="007C06F0" w:rsidRDefault="00C81D38" w:rsidP="00F90CDC">
      <w:pPr>
        <w:rPr>
          <w:szCs w:val="20"/>
        </w:rPr>
      </w:pPr>
      <w:r w:rsidRPr="007C06F0">
        <w:rPr>
          <w:szCs w:val="20"/>
        </w:rPr>
        <w:t xml:space="preserve">Methods </w:t>
      </w:r>
    </w:p>
    <w:p w14:paraId="63D948A3" w14:textId="77777777" w:rsidR="006D3B10" w:rsidRDefault="006D3B10" w:rsidP="007C06F0">
      <w:pPr>
        <w:autoSpaceDE w:val="0"/>
        <w:autoSpaceDN w:val="0"/>
        <w:adjustRightInd w:val="0"/>
        <w:spacing w:after="0" w:line="480" w:lineRule="auto"/>
        <w:rPr>
          <w:rFonts w:cs="Times New Roman"/>
          <w:szCs w:val="20"/>
          <w:lang w:val="en-US"/>
        </w:rPr>
      </w:pPr>
      <w:r>
        <w:rPr>
          <w:rFonts w:cs="Times New Roman"/>
          <w:szCs w:val="20"/>
          <w:lang w:val="en-US"/>
        </w:rPr>
        <w:t xml:space="preserve">General assay methods are described in </w:t>
      </w:r>
      <w:proofErr w:type="spellStart"/>
      <w:r>
        <w:rPr>
          <w:rFonts w:cs="Times New Roman"/>
          <w:szCs w:val="20"/>
          <w:lang w:val="en-US"/>
        </w:rPr>
        <w:t>Karikari</w:t>
      </w:r>
      <w:proofErr w:type="spellEnd"/>
      <w:r>
        <w:rPr>
          <w:rFonts w:cs="Times New Roman"/>
          <w:szCs w:val="20"/>
          <w:lang w:val="en-US"/>
        </w:rPr>
        <w:t xml:space="preserve"> et al 2020, Lancet Neurology. </w:t>
      </w:r>
    </w:p>
    <w:p w14:paraId="0AB6BD4D" w14:textId="77777777" w:rsidR="006D3B10" w:rsidRDefault="006D3B10" w:rsidP="007C06F0">
      <w:pPr>
        <w:autoSpaceDE w:val="0"/>
        <w:autoSpaceDN w:val="0"/>
        <w:adjustRightInd w:val="0"/>
        <w:spacing w:after="0" w:line="480" w:lineRule="auto"/>
        <w:rPr>
          <w:rFonts w:cs="Times New Roman"/>
          <w:szCs w:val="20"/>
          <w:lang w:val="en-US"/>
        </w:rPr>
      </w:pPr>
    </w:p>
    <w:p w14:paraId="230F37CD" w14:textId="0A8BD5CE" w:rsidR="007C06F0" w:rsidRPr="007C06F0" w:rsidRDefault="006D3B10" w:rsidP="007C06F0">
      <w:pPr>
        <w:autoSpaceDE w:val="0"/>
        <w:autoSpaceDN w:val="0"/>
        <w:adjustRightInd w:val="0"/>
        <w:spacing w:after="0" w:line="480" w:lineRule="auto"/>
        <w:rPr>
          <w:rFonts w:cs="Times New Roman"/>
          <w:szCs w:val="20"/>
          <w:lang w:val="en-US"/>
        </w:rPr>
      </w:pPr>
      <w:r>
        <w:rPr>
          <w:rFonts w:cs="Times New Roman"/>
          <w:szCs w:val="20"/>
          <w:lang w:val="en-US"/>
        </w:rPr>
        <w:t xml:space="preserve">For plasma p-tau181 quantification in Insight 46, </w:t>
      </w:r>
      <w:r>
        <w:rPr>
          <w:szCs w:val="20"/>
        </w:rPr>
        <w:t xml:space="preserve">specific methods are taken from </w:t>
      </w:r>
      <w:r w:rsidRPr="007C06F0">
        <w:rPr>
          <w:szCs w:val="20"/>
        </w:rPr>
        <w:t>reference 1 above</w:t>
      </w:r>
      <w:r>
        <w:rPr>
          <w:szCs w:val="20"/>
        </w:rPr>
        <w:t xml:space="preserve"> as follows</w:t>
      </w:r>
      <w:r w:rsidRPr="007C06F0">
        <w:rPr>
          <w:szCs w:val="20"/>
        </w:rPr>
        <w:t>:</w:t>
      </w:r>
      <w:r>
        <w:rPr>
          <w:szCs w:val="20"/>
        </w:rPr>
        <w:t xml:space="preserve"> </w:t>
      </w:r>
      <w:r>
        <w:rPr>
          <w:rFonts w:cs="Times New Roman"/>
          <w:szCs w:val="20"/>
          <w:lang w:val="en-US"/>
        </w:rPr>
        <w:t>a</w:t>
      </w:r>
      <w:r w:rsidR="007C06F0" w:rsidRPr="007C06F0">
        <w:rPr>
          <w:rFonts w:cs="Times New Roman"/>
          <w:szCs w:val="20"/>
          <w:lang w:val="en-US"/>
        </w:rPr>
        <w:t xml:space="preserve"> 0.5 mL aliquot of plasma for each individual was transported on solid carbon dioxide to the University of Gothenburg, Sweden; samples were immediately stored at -80 </w:t>
      </w:r>
      <w:r w:rsidR="007C06F0" w:rsidRPr="007C06F0">
        <w:rPr>
          <w:rFonts w:ascii="Arial" w:hAnsi="Arial" w:cs="Arial"/>
          <w:szCs w:val="20"/>
          <w:lang w:val="en-US"/>
        </w:rPr>
        <w:t> </w:t>
      </w:r>
      <w:r w:rsidR="007C06F0" w:rsidRPr="007C06F0">
        <w:rPr>
          <w:rFonts w:cs="Times New Roman"/>
          <w:szCs w:val="20"/>
          <w:lang w:val="en-US"/>
        </w:rPr>
        <w:t>C until use. On the day of the analysis, the blood samples were allowed to thaw at room temperature for an</w:t>
      </w:r>
      <w:r>
        <w:rPr>
          <w:rFonts w:cs="Times New Roman"/>
          <w:szCs w:val="20"/>
          <w:lang w:val="en-US"/>
        </w:rPr>
        <w:t xml:space="preserve"> </w:t>
      </w:r>
      <w:r w:rsidR="007C06F0" w:rsidRPr="007C06F0">
        <w:rPr>
          <w:rFonts w:cs="Times New Roman"/>
          <w:szCs w:val="20"/>
          <w:lang w:val="en-US"/>
        </w:rPr>
        <w:t xml:space="preserve">hour, vortexed at 200 rpm for 30 s, and centrifuged at 4000 g for 10 min, then 90 </w:t>
      </w:r>
      <w:proofErr w:type="spellStart"/>
      <w:r w:rsidR="007C06F0" w:rsidRPr="007C06F0">
        <w:rPr>
          <w:rFonts w:cs="Times New Roman"/>
          <w:szCs w:val="20"/>
          <w:lang w:val="en-US"/>
        </w:rPr>
        <w:t>μL</w:t>
      </w:r>
      <w:proofErr w:type="spellEnd"/>
      <w:r w:rsidR="007C06F0" w:rsidRPr="007C06F0">
        <w:rPr>
          <w:rFonts w:cs="Times New Roman"/>
          <w:szCs w:val="20"/>
          <w:lang w:val="en-US"/>
        </w:rPr>
        <w:t xml:space="preserve"> of the supernatant was used for p-tau181 measurements. Separate anonymized plasma samples from the University of Gothenburg, pooled to give two different p-tau181 concentrations, were used as internal quality control (</w:t>
      </w:r>
      <w:proofErr w:type="spellStart"/>
      <w:r w:rsidR="007C06F0" w:rsidRPr="007C06F0">
        <w:rPr>
          <w:rFonts w:cs="Times New Roman"/>
          <w:szCs w:val="20"/>
          <w:lang w:val="en-US"/>
        </w:rPr>
        <w:t>iQC</w:t>
      </w:r>
      <w:proofErr w:type="spellEnd"/>
      <w:r w:rsidR="007C06F0" w:rsidRPr="007C06F0">
        <w:rPr>
          <w:rFonts w:cs="Times New Roman"/>
          <w:szCs w:val="20"/>
          <w:lang w:val="en-US"/>
        </w:rPr>
        <w:t xml:space="preserve">) samples, and were processed identically to the test samples. Each </w:t>
      </w:r>
      <w:proofErr w:type="spellStart"/>
      <w:r w:rsidR="007C06F0" w:rsidRPr="007C06F0">
        <w:rPr>
          <w:rFonts w:cs="Times New Roman"/>
          <w:szCs w:val="20"/>
          <w:lang w:val="en-US"/>
        </w:rPr>
        <w:t>iQC</w:t>
      </w:r>
      <w:proofErr w:type="spellEnd"/>
      <w:r w:rsidR="007C06F0" w:rsidRPr="007C06F0">
        <w:rPr>
          <w:rFonts w:cs="Times New Roman"/>
          <w:szCs w:val="20"/>
          <w:lang w:val="en-US"/>
        </w:rPr>
        <w:t xml:space="preserve"> sample was analyzed in duplicate at the start and the end of each plate. Combined </w:t>
      </w:r>
      <w:proofErr w:type="spellStart"/>
      <w:r w:rsidR="007C06F0" w:rsidRPr="007C06F0">
        <w:rPr>
          <w:rFonts w:cs="Times New Roman"/>
          <w:szCs w:val="20"/>
          <w:lang w:val="en-US"/>
        </w:rPr>
        <w:t>iQC</w:t>
      </w:r>
      <w:proofErr w:type="spellEnd"/>
      <w:r w:rsidR="007C06F0" w:rsidRPr="007C06F0">
        <w:rPr>
          <w:rFonts w:cs="Times New Roman"/>
          <w:szCs w:val="20"/>
          <w:lang w:val="en-US"/>
        </w:rPr>
        <w:t xml:space="preserve"> data from eight separate runs were used to determine the within- and between-run variations, following the recommendations of an international group of </w:t>
      </w:r>
      <w:proofErr w:type="spellStart"/>
      <w:r w:rsidR="007C06F0" w:rsidRPr="007C06F0">
        <w:rPr>
          <w:rFonts w:cs="Times New Roman"/>
          <w:szCs w:val="20"/>
          <w:lang w:val="en-US"/>
        </w:rPr>
        <w:t>neurochemists</w:t>
      </w:r>
      <w:proofErr w:type="spellEnd"/>
      <w:r w:rsidR="007C06F0" w:rsidRPr="007C06F0">
        <w:rPr>
          <w:rFonts w:cs="Times New Roman"/>
          <w:szCs w:val="20"/>
          <w:lang w:val="en-US"/>
        </w:rPr>
        <w:t xml:space="preserve"> (</w:t>
      </w:r>
      <w:proofErr w:type="spellStart"/>
      <w:r w:rsidR="007C06F0" w:rsidRPr="007C06F0">
        <w:rPr>
          <w:rFonts w:cs="Times New Roman"/>
          <w:szCs w:val="20"/>
          <w:lang w:val="en-US"/>
        </w:rPr>
        <w:t>Andreasson</w:t>
      </w:r>
      <w:proofErr w:type="spellEnd"/>
      <w:r w:rsidR="007C06F0" w:rsidRPr="007C06F0">
        <w:rPr>
          <w:rFonts w:cs="Times New Roman"/>
          <w:szCs w:val="20"/>
          <w:lang w:val="en-US"/>
        </w:rPr>
        <w:t xml:space="preserve"> et al., 2015).</w:t>
      </w:r>
    </w:p>
    <w:p w14:paraId="76B87A9F" w14:textId="77777777" w:rsidR="007C06F0" w:rsidRPr="007C06F0" w:rsidRDefault="007C06F0" w:rsidP="007C06F0">
      <w:pPr>
        <w:autoSpaceDE w:val="0"/>
        <w:autoSpaceDN w:val="0"/>
        <w:adjustRightInd w:val="0"/>
        <w:spacing w:after="0" w:line="480" w:lineRule="auto"/>
        <w:rPr>
          <w:rFonts w:cs="Times New Roman"/>
          <w:szCs w:val="20"/>
          <w:lang w:val="en-US"/>
        </w:rPr>
      </w:pPr>
    </w:p>
    <w:p w14:paraId="385A9EF5" w14:textId="1E450C44" w:rsidR="007C06F0" w:rsidRPr="007C06F0" w:rsidRDefault="007C06F0" w:rsidP="007C06F0">
      <w:pPr>
        <w:autoSpaceDE w:val="0"/>
        <w:autoSpaceDN w:val="0"/>
        <w:adjustRightInd w:val="0"/>
        <w:spacing w:after="0" w:line="480" w:lineRule="auto"/>
        <w:rPr>
          <w:rFonts w:cs="Times New Roman"/>
          <w:szCs w:val="20"/>
          <w:lang w:val="en-US"/>
        </w:rPr>
      </w:pPr>
      <w:r w:rsidRPr="007C06F0">
        <w:rPr>
          <w:rFonts w:cs="Times New Roman"/>
          <w:szCs w:val="20"/>
          <w:lang w:val="en-US"/>
        </w:rPr>
        <w:t xml:space="preserve">The high-concentration </w:t>
      </w:r>
      <w:proofErr w:type="spellStart"/>
      <w:r w:rsidRPr="007C06F0">
        <w:rPr>
          <w:rFonts w:cs="Times New Roman"/>
          <w:szCs w:val="20"/>
          <w:lang w:val="en-US"/>
        </w:rPr>
        <w:t>iQC</w:t>
      </w:r>
      <w:proofErr w:type="spellEnd"/>
      <w:r w:rsidRPr="007C06F0">
        <w:rPr>
          <w:rFonts w:cs="Times New Roman"/>
          <w:szCs w:val="20"/>
          <w:lang w:val="en-US"/>
        </w:rPr>
        <w:t xml:space="preserve"> sample (concentration expressed in mean, </w:t>
      </w:r>
      <w:r w:rsidRPr="007C06F0">
        <w:rPr>
          <w:rFonts w:ascii="Arial" w:hAnsi="Arial" w:cs="Arial"/>
          <w:szCs w:val="20"/>
          <w:lang w:val="en-US"/>
        </w:rPr>
        <w:t> </w:t>
      </w:r>
      <w:r w:rsidRPr="007C06F0">
        <w:rPr>
          <w:rFonts w:cs="Times New Roman"/>
          <w:szCs w:val="20"/>
          <w:lang w:val="en-US"/>
        </w:rPr>
        <w:t xml:space="preserve"> standard deviation =17.1, 0.7 </w:t>
      </w:r>
      <w:proofErr w:type="spellStart"/>
      <w:r w:rsidRPr="007C06F0">
        <w:rPr>
          <w:rFonts w:cs="Times New Roman"/>
          <w:szCs w:val="20"/>
          <w:lang w:val="en-US"/>
        </w:rPr>
        <w:t>pg</w:t>
      </w:r>
      <w:proofErr w:type="spellEnd"/>
      <w:r w:rsidRPr="007C06F0">
        <w:rPr>
          <w:rFonts w:cs="Times New Roman"/>
          <w:szCs w:val="20"/>
          <w:lang w:val="en-US"/>
        </w:rPr>
        <w:t>/mL) had a within-run variation of 0.4% and a between-run variation of 10.3%.</w:t>
      </w:r>
    </w:p>
    <w:p w14:paraId="59F452C3" w14:textId="77777777" w:rsidR="007C06F0" w:rsidRPr="007C06F0" w:rsidRDefault="007C06F0" w:rsidP="007C06F0">
      <w:pPr>
        <w:autoSpaceDE w:val="0"/>
        <w:autoSpaceDN w:val="0"/>
        <w:adjustRightInd w:val="0"/>
        <w:spacing w:after="0" w:line="480" w:lineRule="auto"/>
        <w:rPr>
          <w:rFonts w:cs="Times New Roman"/>
          <w:szCs w:val="20"/>
          <w:lang w:val="en-US"/>
        </w:rPr>
      </w:pPr>
    </w:p>
    <w:p w14:paraId="24242545" w14:textId="73F1F863" w:rsidR="00D50501" w:rsidRPr="007C06F0" w:rsidRDefault="007C06F0" w:rsidP="007C06F0">
      <w:pPr>
        <w:autoSpaceDE w:val="0"/>
        <w:autoSpaceDN w:val="0"/>
        <w:adjustRightInd w:val="0"/>
        <w:spacing w:after="0" w:line="480" w:lineRule="auto"/>
        <w:rPr>
          <w:rFonts w:cs="Times New Roman"/>
          <w:szCs w:val="20"/>
          <w:lang w:val="en-US"/>
        </w:rPr>
      </w:pPr>
      <w:r w:rsidRPr="007C06F0">
        <w:rPr>
          <w:rFonts w:cs="Times New Roman"/>
          <w:szCs w:val="20"/>
          <w:lang w:val="en-US"/>
        </w:rPr>
        <w:t xml:space="preserve">For the low-concentration </w:t>
      </w:r>
      <w:proofErr w:type="spellStart"/>
      <w:r w:rsidRPr="007C06F0">
        <w:rPr>
          <w:rFonts w:cs="Times New Roman"/>
          <w:szCs w:val="20"/>
          <w:lang w:val="en-US"/>
        </w:rPr>
        <w:t>iQC</w:t>
      </w:r>
      <w:proofErr w:type="spellEnd"/>
      <w:r w:rsidRPr="007C06F0">
        <w:rPr>
          <w:rFonts w:cs="Times New Roman"/>
          <w:szCs w:val="20"/>
          <w:lang w:val="en-US"/>
        </w:rPr>
        <w:t xml:space="preserve"> sample (concentration = 4.8, 0.5 </w:t>
      </w:r>
      <w:proofErr w:type="spellStart"/>
      <w:r w:rsidRPr="007C06F0">
        <w:rPr>
          <w:rFonts w:cs="Times New Roman"/>
          <w:szCs w:val="20"/>
          <w:lang w:val="en-US"/>
        </w:rPr>
        <w:t>pg</w:t>
      </w:r>
      <w:proofErr w:type="spellEnd"/>
      <w:r w:rsidRPr="007C06F0">
        <w:rPr>
          <w:rFonts w:cs="Times New Roman"/>
          <w:szCs w:val="20"/>
          <w:lang w:val="en-US"/>
        </w:rPr>
        <w:t>/mL), the within- and between-run variations were 10.9% and 13.0% respectively. Identical batches of assay reagents were used throughout the measurements for this cohort.</w:t>
      </w:r>
    </w:p>
    <w:p w14:paraId="73D158A8" w14:textId="3AA66CB4" w:rsidR="00D16E36" w:rsidRDefault="00D16E36" w:rsidP="00D50501">
      <w:pPr>
        <w:spacing w:after="0" w:line="480" w:lineRule="auto"/>
      </w:pPr>
    </w:p>
    <w:p w14:paraId="1DA4FFA6" w14:textId="7C24802E" w:rsidR="006D3B10" w:rsidRDefault="006D3B10" w:rsidP="00D50501">
      <w:pPr>
        <w:spacing w:after="0" w:line="480" w:lineRule="auto"/>
      </w:pPr>
      <w:r>
        <w:t>Notes on sample availability for analysis</w:t>
      </w:r>
    </w:p>
    <w:p w14:paraId="3C5473A0" w14:textId="3DA0D145" w:rsidR="00D16E36" w:rsidRDefault="00D16E36" w:rsidP="00D50501">
      <w:pPr>
        <w:spacing w:after="0" w:line="480" w:lineRule="auto"/>
      </w:pPr>
      <w:r>
        <w:t xml:space="preserve">Where no aliquot of plasma or serum was available in the biobank for a given individual (due to </w:t>
      </w:r>
      <w:r w:rsidR="007C06F0">
        <w:t xml:space="preserve">aliquots having been used up or </w:t>
      </w:r>
      <w:r>
        <w:t>failure of blood sampling or incomplete blood sampling) the variable plasma_available</w:t>
      </w:r>
      <w:r w:rsidR="007C06F0">
        <w:t>_ptau181_Got</w:t>
      </w:r>
      <w:r>
        <w:t xml:space="preserve"> indicate</w:t>
      </w:r>
      <w:r w:rsidR="007C06F0">
        <w:t>s</w:t>
      </w:r>
      <w:r>
        <w:t xml:space="preserve"> this. For the blood biomarker variables, the code -99 indicates</w:t>
      </w:r>
      <w:r w:rsidR="006D3B10">
        <w:t xml:space="preserve"> </w:t>
      </w:r>
      <w:r>
        <w:t>no quantification was performed.</w:t>
      </w:r>
    </w:p>
    <w:p w14:paraId="7260E706" w14:textId="77777777" w:rsidR="006D3B10" w:rsidRDefault="006D3B10" w:rsidP="00D50501">
      <w:pPr>
        <w:spacing w:after="0" w:line="480" w:lineRule="auto"/>
      </w:pPr>
    </w:p>
    <w:p w14:paraId="1836E913" w14:textId="5D892BC4" w:rsidR="00D16E36" w:rsidRDefault="00D16E36" w:rsidP="00D50501">
      <w:pPr>
        <w:spacing w:after="0" w:line="480" w:lineRule="auto"/>
      </w:pPr>
      <w:r>
        <w:t xml:space="preserve">It is recommended that prior to making a request for </w:t>
      </w:r>
      <w:r w:rsidR="007C06F0">
        <w:t>these variable</w:t>
      </w:r>
      <w:r>
        <w:t xml:space="preserve"> researchers discuss the plan with Dr Ashvini Keshavan.</w:t>
      </w:r>
    </w:p>
    <w:p w14:paraId="67ED9C1B" w14:textId="77777777" w:rsidR="00C81D38" w:rsidRDefault="00C81D38" w:rsidP="00F90CDC"/>
    <w:p w14:paraId="3F3FBDE9" w14:textId="77777777" w:rsidR="00C32753" w:rsidRPr="00237780" w:rsidRDefault="00C32753" w:rsidP="00F90CDC"/>
    <w:sectPr w:rsidR="00C32753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459A2"/>
    <w:multiLevelType w:val="hybridMultilevel"/>
    <w:tmpl w:val="D19A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849A9"/>
    <w:multiLevelType w:val="hybridMultilevel"/>
    <w:tmpl w:val="34B21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13B6B"/>
    <w:multiLevelType w:val="hybridMultilevel"/>
    <w:tmpl w:val="66A0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DD17AB"/>
    <w:multiLevelType w:val="hybridMultilevel"/>
    <w:tmpl w:val="70225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0206E6"/>
    <w:rsid w:val="0002763F"/>
    <w:rsid w:val="000C4216"/>
    <w:rsid w:val="000F182E"/>
    <w:rsid w:val="001C29D0"/>
    <w:rsid w:val="001C469B"/>
    <w:rsid w:val="002276F8"/>
    <w:rsid w:val="00237780"/>
    <w:rsid w:val="00303C86"/>
    <w:rsid w:val="00472B1E"/>
    <w:rsid w:val="004D1FF9"/>
    <w:rsid w:val="00571345"/>
    <w:rsid w:val="006337F5"/>
    <w:rsid w:val="00646697"/>
    <w:rsid w:val="006741EE"/>
    <w:rsid w:val="006D3B10"/>
    <w:rsid w:val="00745FC7"/>
    <w:rsid w:val="007C06F0"/>
    <w:rsid w:val="008542EC"/>
    <w:rsid w:val="00857C7E"/>
    <w:rsid w:val="00923613"/>
    <w:rsid w:val="00976E2C"/>
    <w:rsid w:val="009D52B2"/>
    <w:rsid w:val="00A06783"/>
    <w:rsid w:val="00A24279"/>
    <w:rsid w:val="00A25719"/>
    <w:rsid w:val="00B77788"/>
    <w:rsid w:val="00BA5901"/>
    <w:rsid w:val="00C32753"/>
    <w:rsid w:val="00C71A21"/>
    <w:rsid w:val="00C81D38"/>
    <w:rsid w:val="00CD74AD"/>
    <w:rsid w:val="00D16E36"/>
    <w:rsid w:val="00D50501"/>
    <w:rsid w:val="00DA2752"/>
    <w:rsid w:val="00E02A1B"/>
    <w:rsid w:val="00E94014"/>
    <w:rsid w:val="00EA2B52"/>
    <w:rsid w:val="00EE1F7C"/>
    <w:rsid w:val="00F90CDC"/>
    <w:rsid w:val="00F919E3"/>
    <w:rsid w:val="00F9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A64E"/>
  <w15:docId w15:val="{5A295359-F75F-0C48-BE75-466B90BEC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3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4</cp:revision>
  <dcterms:created xsi:type="dcterms:W3CDTF">2021-06-24T14:02:00Z</dcterms:created>
  <dcterms:modified xsi:type="dcterms:W3CDTF">2024-03-19T16:25:00Z</dcterms:modified>
</cp:coreProperties>
</file>