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7CB94B" w14:textId="72F46AF9" w:rsidR="001C469B" w:rsidRDefault="00B57863" w:rsidP="00A25719">
      <w:pPr>
        <w:pStyle w:val="Heading1"/>
      </w:pPr>
      <w:r>
        <w:t xml:space="preserve">Documentation - </w:t>
      </w:r>
      <w:r w:rsidRPr="00B57863">
        <w:t>I46P2_AmyloidPET</w:t>
      </w:r>
      <w:r>
        <w:t xml:space="preserve"> – Insight46 phase 2</w:t>
      </w:r>
    </w:p>
    <w:p w14:paraId="14DD4B44" w14:textId="25B8CAB8" w:rsidR="00A25719" w:rsidRPr="00A25719" w:rsidRDefault="00A25719" w:rsidP="00A25719">
      <w:pPr>
        <w:pStyle w:val="Heading2"/>
        <w:jc w:val="center"/>
      </w:pPr>
    </w:p>
    <w:tbl>
      <w:tblPr>
        <w:tblStyle w:val="TableGrid"/>
        <w:tblW w:w="10215" w:type="dxa"/>
        <w:jc w:val="center"/>
        <w:tblLook w:val="04A0" w:firstRow="1" w:lastRow="0" w:firstColumn="1" w:lastColumn="0" w:noHBand="0" w:noVBand="1"/>
      </w:tblPr>
      <w:tblGrid>
        <w:gridCol w:w="2524"/>
        <w:gridCol w:w="7691"/>
      </w:tblGrid>
      <w:tr w:rsidR="00BA5901" w14:paraId="4921D631" w14:textId="77777777" w:rsidTr="00B57863">
        <w:trPr>
          <w:trHeight w:val="453"/>
          <w:jc w:val="center"/>
        </w:trPr>
        <w:tc>
          <w:tcPr>
            <w:tcW w:w="2524" w:type="dxa"/>
          </w:tcPr>
          <w:p w14:paraId="31E5C70F" w14:textId="77777777" w:rsidR="00BA5901" w:rsidRPr="00F90CDC" w:rsidRDefault="00F90CDC" w:rsidP="00F90CDC">
            <w:pPr>
              <w:rPr>
                <w:b/>
                <w:vertAlign w:val="superscript"/>
              </w:rPr>
            </w:pPr>
            <w:r w:rsidRPr="00F90CDC">
              <w:rPr>
                <w:b/>
              </w:rPr>
              <w:t>Categories</w:t>
            </w:r>
            <w:r w:rsidR="00BA5901" w:rsidRPr="00F90CDC">
              <w:rPr>
                <w:b/>
              </w:rPr>
              <w:t xml:space="preserve"> of variables</w:t>
            </w:r>
            <w:r w:rsidR="00BA5901" w:rsidRPr="00F90CDC">
              <w:rPr>
                <w:b/>
                <w:vertAlign w:val="superscript"/>
              </w:rPr>
              <w:t>*</w:t>
            </w:r>
            <w:r w:rsidRPr="00F90CDC">
              <w:rPr>
                <w:b/>
                <w:vertAlign w:val="superscript"/>
              </w:rPr>
              <w:t>:</w:t>
            </w:r>
          </w:p>
          <w:p w14:paraId="57124E7C" w14:textId="77777777" w:rsidR="00F90CDC" w:rsidRPr="00F90CDC" w:rsidRDefault="00F90CDC" w:rsidP="00F90CDC">
            <w:pPr>
              <w:rPr>
                <w:b/>
                <w:vertAlign w:val="superscript"/>
              </w:rPr>
            </w:pPr>
            <w:r w:rsidRPr="00F90CDC">
              <w:rPr>
                <w:b/>
                <w:vertAlign w:val="superscript"/>
              </w:rPr>
              <w:t>(may be more than one)</w:t>
            </w:r>
          </w:p>
          <w:p w14:paraId="7459C230" w14:textId="77777777" w:rsidR="00F90CDC" w:rsidRPr="00F90CDC" w:rsidRDefault="00F90CDC" w:rsidP="00F90CDC">
            <w:pPr>
              <w:rPr>
                <w:b/>
                <w:vertAlign w:val="superscript"/>
              </w:rPr>
            </w:pPr>
          </w:p>
        </w:tc>
        <w:tc>
          <w:tcPr>
            <w:tcW w:w="7691" w:type="dxa"/>
          </w:tcPr>
          <w:p w14:paraId="0116A48D" w14:textId="11FB1367" w:rsidR="00627081" w:rsidRDefault="00E542A8" w:rsidP="00F90CDC">
            <w:bookmarkStart w:id="0" w:name="OLE_LINK1"/>
            <w:r>
              <w:t xml:space="preserve">Longitudinal </w:t>
            </w:r>
            <w:r w:rsidR="004348F2">
              <w:t xml:space="preserve">regional </w:t>
            </w:r>
            <w:r>
              <w:t xml:space="preserve">amyloid-beta </w:t>
            </w:r>
            <w:r w:rsidR="004B739F">
              <w:t xml:space="preserve">PET </w:t>
            </w:r>
            <w:r>
              <w:t>[18</w:t>
            </w:r>
            <w:proofErr w:type="gramStart"/>
            <w:r>
              <w:t>F]f</w:t>
            </w:r>
            <w:r w:rsidR="004B739F">
              <w:t>lorbetapir</w:t>
            </w:r>
            <w:proofErr w:type="gramEnd"/>
            <w:r w:rsidR="004B739F">
              <w:t xml:space="preserve"> SUVRs</w:t>
            </w:r>
            <w:r>
              <w:t xml:space="preserve"> </w:t>
            </w:r>
            <w:r w:rsidR="004348F2">
              <w:t>and amyloid</w:t>
            </w:r>
            <w:r w:rsidR="001A684C">
              <w:t>-beta</w:t>
            </w:r>
            <w:r w:rsidR="004348F2">
              <w:t xml:space="preserve"> status </w:t>
            </w:r>
            <w:r>
              <w:t>for phase 1 and 2</w:t>
            </w:r>
            <w:r w:rsidR="004348F2">
              <w:t xml:space="preserve"> Insight 46</w:t>
            </w:r>
            <w:r w:rsidR="000D4AF5">
              <w:t xml:space="preserve"> scans</w:t>
            </w:r>
            <w:r w:rsidR="004348F2">
              <w:t xml:space="preserve">. </w:t>
            </w:r>
          </w:p>
          <w:bookmarkEnd w:id="0"/>
          <w:p w14:paraId="68295F31" w14:textId="77777777" w:rsidR="00627081" w:rsidRDefault="00627081" w:rsidP="00F90CDC"/>
          <w:p w14:paraId="327B8ECB" w14:textId="79366E50" w:rsidR="00BA5901" w:rsidRDefault="00BA5901" w:rsidP="00F90CDC"/>
        </w:tc>
      </w:tr>
      <w:tr w:rsidR="00BA5901" w14:paraId="1394C06C" w14:textId="77777777" w:rsidTr="00B57863">
        <w:trPr>
          <w:jc w:val="center"/>
        </w:trPr>
        <w:tc>
          <w:tcPr>
            <w:tcW w:w="2524" w:type="dxa"/>
          </w:tcPr>
          <w:p w14:paraId="3222E47A" w14:textId="77777777" w:rsidR="00BA5901" w:rsidRPr="00F90CDC" w:rsidRDefault="00BA5901" w:rsidP="00F90CDC">
            <w:pPr>
              <w:rPr>
                <w:b/>
              </w:rPr>
            </w:pPr>
            <w:r w:rsidRPr="00F90CDC">
              <w:rPr>
                <w:b/>
              </w:rPr>
              <w:t>Summary of work undertaken</w:t>
            </w:r>
          </w:p>
        </w:tc>
        <w:tc>
          <w:tcPr>
            <w:tcW w:w="7691" w:type="dxa"/>
          </w:tcPr>
          <w:p w14:paraId="0FD82441" w14:textId="18BF892C" w:rsidR="004348F2" w:rsidRDefault="004348F2" w:rsidP="00E542A8">
            <w:pPr>
              <w:pStyle w:val="ListParagraph"/>
              <w:numPr>
                <w:ilvl w:val="0"/>
                <w:numId w:val="7"/>
              </w:numPr>
            </w:pPr>
            <w:r>
              <w:t>Cleaning/derivation work undertaken in R (</w:t>
            </w:r>
            <w:proofErr w:type="spellStart"/>
            <w:r>
              <w:t>Rmarkdown</w:t>
            </w:r>
            <w:proofErr w:type="spellEnd"/>
            <w:r>
              <w:t xml:space="preserve"> script provided).</w:t>
            </w:r>
          </w:p>
          <w:p w14:paraId="03FC0C80" w14:textId="77777777" w:rsidR="00375942" w:rsidRDefault="00375942" w:rsidP="00375942">
            <w:pPr>
              <w:pStyle w:val="ListParagraph"/>
            </w:pPr>
          </w:p>
          <w:p w14:paraId="10ACB829" w14:textId="06F9AFAD" w:rsidR="00E542A8" w:rsidRDefault="00362DEB" w:rsidP="00E542A8">
            <w:pPr>
              <w:pStyle w:val="ListParagraph"/>
              <w:numPr>
                <w:ilvl w:val="0"/>
                <w:numId w:val="7"/>
              </w:numPr>
            </w:pPr>
            <w:r>
              <w:t>First, s</w:t>
            </w:r>
            <w:r w:rsidR="00C81D38">
              <w:t xml:space="preserve">ource data </w:t>
            </w:r>
            <w:r w:rsidR="00E542A8">
              <w:t xml:space="preserve">files </w:t>
            </w:r>
            <w:r>
              <w:t xml:space="preserve">were </w:t>
            </w:r>
            <w:r w:rsidR="00E542A8">
              <w:t>combined</w:t>
            </w:r>
            <w:r w:rsidR="004348F2">
              <w:t>. Each source file contains regional SUVRs from a different methodology (different image reconstruction, reference region and partial volume correction).</w:t>
            </w:r>
          </w:p>
          <w:p w14:paraId="70BD1AB8" w14:textId="77777777" w:rsidR="00375942" w:rsidRDefault="00375942" w:rsidP="00375942">
            <w:pPr>
              <w:pStyle w:val="ListParagraph"/>
            </w:pPr>
          </w:p>
          <w:p w14:paraId="329A8D0C" w14:textId="77777777" w:rsidR="003E4187" w:rsidRDefault="00E542A8" w:rsidP="003E4187">
            <w:pPr>
              <w:pStyle w:val="ListParagraph"/>
              <w:numPr>
                <w:ilvl w:val="0"/>
                <w:numId w:val="7"/>
              </w:numPr>
            </w:pPr>
            <w:r>
              <w:t xml:space="preserve">For sessions that had </w:t>
            </w:r>
            <w:r w:rsidR="004348F2">
              <w:t>no usable</w:t>
            </w:r>
            <w:r>
              <w:t xml:space="preserve"> raw list-mode </w:t>
            </w:r>
            <w:r w:rsidR="00375942">
              <w:t xml:space="preserve">PET data, </w:t>
            </w:r>
            <w:proofErr w:type="spellStart"/>
            <w:r w:rsidR="00375942">
              <w:t>NiftyPET</w:t>
            </w:r>
            <w:proofErr w:type="spellEnd"/>
            <w:r w:rsidR="00375942">
              <w:t xml:space="preserve"> reconstruction with </w:t>
            </w:r>
            <w:proofErr w:type="spellStart"/>
            <w:r w:rsidR="00375942">
              <w:t>psudo</w:t>
            </w:r>
            <w:proofErr w:type="spellEnd"/>
            <w:r w:rsidR="00375942">
              <w:t>-CT (</w:t>
            </w:r>
            <w:proofErr w:type="spellStart"/>
            <w:r w:rsidR="00375942">
              <w:t>pCT</w:t>
            </w:r>
            <w:proofErr w:type="spellEnd"/>
            <w:r w:rsidR="00375942">
              <w:t xml:space="preserve">) was not possible. Therefore, in </w:t>
            </w:r>
            <w:r w:rsidR="0024610A">
              <w:t>the 36 instances where</w:t>
            </w:r>
            <w:r w:rsidR="00375942">
              <w:t xml:space="preserve"> </w:t>
            </w:r>
            <w:r w:rsidR="0024610A">
              <w:t xml:space="preserve">there were </w:t>
            </w:r>
            <w:r w:rsidR="00375942">
              <w:t>a</w:t>
            </w:r>
            <w:r>
              <w:t>cceptable console reconstructions</w:t>
            </w:r>
            <w:r w:rsidR="004348F2">
              <w:t xml:space="preserve"> </w:t>
            </w:r>
            <w:r w:rsidR="00375942">
              <w:t>but</w:t>
            </w:r>
            <w:r w:rsidR="004348F2">
              <w:t xml:space="preserve"> missing NiftyPET pCT SUVRs</w:t>
            </w:r>
            <w:r w:rsidR="00375942">
              <w:t>, we</w:t>
            </w:r>
            <w:r w:rsidR="004348F2">
              <w:t xml:space="preserve"> imputed</w:t>
            </w:r>
            <w:r w:rsidR="00375942">
              <w:t xml:space="preserve"> NiftyPET pCT SUVR</w:t>
            </w:r>
            <w:r w:rsidR="004348F2">
              <w:t xml:space="preserve"> from the console SUVR using </w:t>
            </w:r>
            <w:r w:rsidR="00375942">
              <w:t xml:space="preserve">the prediction from </w:t>
            </w:r>
            <w:r w:rsidR="004348F2">
              <w:t xml:space="preserve">linear regression based on the high correlation between console and NiftyPET pCT SUVRs </w:t>
            </w:r>
            <w:r w:rsidR="00375942">
              <w:t xml:space="preserve">in the whole cohort </w:t>
            </w:r>
            <w:r w:rsidR="004348F2">
              <w:t>(R</w:t>
            </w:r>
            <w:r w:rsidR="004348F2" w:rsidRPr="004348F2">
              <w:rPr>
                <w:vertAlign w:val="superscript"/>
              </w:rPr>
              <w:t>2</w:t>
            </w:r>
            <w:r w:rsidR="004348F2">
              <w:t xml:space="preserve"> between </w:t>
            </w:r>
            <w:r w:rsidR="004348F2" w:rsidRPr="004348F2">
              <w:t>0.9</w:t>
            </w:r>
            <w:r w:rsidR="004348F2">
              <w:t>3 and</w:t>
            </w:r>
            <w:r w:rsidR="004348F2" w:rsidRPr="004348F2">
              <w:t xml:space="preserve"> 0.99</w:t>
            </w:r>
            <w:r w:rsidR="004348F2">
              <w:t xml:space="preserve"> for all methods). Linear regression was used as some</w:t>
            </w:r>
            <w:r w:rsidR="00375942">
              <w:t xml:space="preserve"> </w:t>
            </w:r>
            <w:r w:rsidR="004348F2">
              <w:t>variables were too highly correlated to use multiple imputation.</w:t>
            </w:r>
          </w:p>
          <w:p w14:paraId="22B08DE5" w14:textId="77777777" w:rsidR="003E4187" w:rsidRDefault="003E4187" w:rsidP="003E4187">
            <w:pPr>
              <w:pStyle w:val="ListParagraph"/>
            </w:pPr>
          </w:p>
          <w:p w14:paraId="7BF129FC" w14:textId="6733C037" w:rsidR="0086553E" w:rsidRDefault="004348F2" w:rsidP="003E4187">
            <w:pPr>
              <w:pStyle w:val="ListParagraph"/>
              <w:numPr>
                <w:ilvl w:val="0"/>
                <w:numId w:val="7"/>
              </w:numPr>
            </w:pPr>
            <w:r>
              <w:t xml:space="preserve">Following imputation, </w:t>
            </w:r>
            <w:r w:rsidR="00375942">
              <w:t>p</w:t>
            </w:r>
            <w:r w:rsidRPr="004348F2">
              <w:t xml:space="preserve">ositive </w:t>
            </w:r>
            <w:r w:rsidR="00375942" w:rsidRPr="004348F2">
              <w:t>or negative amyloid</w:t>
            </w:r>
            <w:r w:rsidRPr="004348F2">
              <w:t xml:space="preserve"> </w:t>
            </w:r>
            <w:r w:rsidR="00375942" w:rsidRPr="004348F2">
              <w:t>status was determined using</w:t>
            </w:r>
            <w:r w:rsidRPr="004348F2">
              <w:t xml:space="preserve"> a Gaussian</w:t>
            </w:r>
            <w:r w:rsidR="00375942">
              <w:t>-</w:t>
            </w:r>
            <w:r w:rsidRPr="004348F2">
              <w:t xml:space="preserve">mixture </w:t>
            </w:r>
            <w:r w:rsidR="00627E51">
              <w:t>modelling</w:t>
            </w:r>
            <w:r w:rsidR="00985CAC">
              <w:t xml:space="preserve"> (see below)</w:t>
            </w:r>
            <w:r w:rsidR="00627E51">
              <w:t>.</w:t>
            </w:r>
          </w:p>
          <w:p w14:paraId="20B76772" w14:textId="77777777" w:rsidR="00627E51" w:rsidRDefault="00627E51" w:rsidP="00627E51">
            <w:pPr>
              <w:pStyle w:val="ListParagraph"/>
            </w:pPr>
          </w:p>
          <w:p w14:paraId="543F4094" w14:textId="2DE4ECFF" w:rsidR="00627E51" w:rsidRDefault="00627E51" w:rsidP="003E4187">
            <w:pPr>
              <w:pStyle w:val="ListParagraph"/>
              <w:numPr>
                <w:ilvl w:val="0"/>
                <w:numId w:val="7"/>
              </w:numPr>
            </w:pPr>
            <w:r>
              <w:t>Centiloid values were calculated</w:t>
            </w:r>
            <w:r w:rsidR="00985CAC">
              <w:t xml:space="preserve"> (see below)</w:t>
            </w:r>
            <w:r>
              <w:t>.</w:t>
            </w:r>
          </w:p>
          <w:p w14:paraId="31E19920" w14:textId="77777777" w:rsidR="00650785" w:rsidRDefault="00650785" w:rsidP="00627E51"/>
          <w:p w14:paraId="6EDB05C9" w14:textId="5C2096AA" w:rsidR="0086553E" w:rsidRDefault="00362DEB" w:rsidP="00650785">
            <w:pPr>
              <w:pStyle w:val="ListParagraph"/>
              <w:numPr>
                <w:ilvl w:val="0"/>
                <w:numId w:val="7"/>
              </w:numPr>
            </w:pPr>
            <w:r>
              <w:t xml:space="preserve">Final </w:t>
            </w:r>
            <w:r w:rsidR="00650785">
              <w:t>dataset was then ordered and exported</w:t>
            </w:r>
            <w:r w:rsidR="001A616B">
              <w:t xml:space="preserve"> in wide format</w:t>
            </w:r>
            <w:r w:rsidR="00650785">
              <w:t>.</w:t>
            </w:r>
          </w:p>
          <w:p w14:paraId="57362862" w14:textId="77777777" w:rsidR="00375942" w:rsidRDefault="00375942" w:rsidP="00375942">
            <w:pPr>
              <w:pStyle w:val="ListParagraph"/>
            </w:pPr>
          </w:p>
          <w:p w14:paraId="58173236" w14:textId="3E7E0D9C" w:rsidR="004B739F" w:rsidRDefault="004B739F" w:rsidP="00E542A8">
            <w:pPr>
              <w:pStyle w:val="ListParagraph"/>
              <w:numPr>
                <w:ilvl w:val="0"/>
                <w:numId w:val="7"/>
              </w:numPr>
            </w:pPr>
            <w:r>
              <w:t xml:space="preserve">See below for </w:t>
            </w:r>
            <w:r w:rsidR="00627E51">
              <w:t>details</w:t>
            </w:r>
            <w:r>
              <w:t xml:space="preserve"> of </w:t>
            </w:r>
            <w:r w:rsidR="00E542A8">
              <w:t>methodology</w:t>
            </w:r>
            <w:r w:rsidR="004348F2">
              <w:t>.</w:t>
            </w:r>
          </w:p>
          <w:p w14:paraId="6E281AB0" w14:textId="77782B04" w:rsidR="00375942" w:rsidRPr="00C32753" w:rsidRDefault="00375942" w:rsidP="00375942">
            <w:pPr>
              <w:pStyle w:val="ListParagraph"/>
            </w:pPr>
          </w:p>
        </w:tc>
      </w:tr>
    </w:tbl>
    <w:p w14:paraId="429E154D" w14:textId="72E71799" w:rsidR="00C32753" w:rsidRDefault="00C32753" w:rsidP="00F90CDC"/>
    <w:p w14:paraId="67ED9C1B" w14:textId="7A39B04B" w:rsidR="00C81D38" w:rsidRPr="00B435B4" w:rsidRDefault="008D35EA" w:rsidP="00B435B4">
      <w:pPr>
        <w:jc w:val="center"/>
        <w:rPr>
          <w:b/>
          <w:sz w:val="21"/>
          <w:szCs w:val="24"/>
        </w:rPr>
      </w:pPr>
      <w:r w:rsidRPr="00B435B4">
        <w:rPr>
          <w:b/>
          <w:sz w:val="21"/>
          <w:szCs w:val="24"/>
        </w:rPr>
        <w:t>Methods</w:t>
      </w:r>
    </w:p>
    <w:p w14:paraId="367F33C6" w14:textId="1BF84B1B" w:rsidR="004C241B" w:rsidRPr="004C241B" w:rsidRDefault="004C241B" w:rsidP="00F90CDC">
      <w:pPr>
        <w:rPr>
          <w:b/>
        </w:rPr>
      </w:pPr>
      <w:r w:rsidRPr="004C241B">
        <w:rPr>
          <w:b/>
        </w:rPr>
        <w:br/>
        <w:t xml:space="preserve">Image </w:t>
      </w:r>
      <w:r w:rsidR="009C611C" w:rsidRPr="004C241B">
        <w:rPr>
          <w:b/>
        </w:rPr>
        <w:t>Acquisition</w:t>
      </w:r>
    </w:p>
    <w:p w14:paraId="7BE35BCB" w14:textId="36F9A3FF" w:rsidR="004C241B" w:rsidRDefault="004B739F" w:rsidP="00F90CDC">
      <w:r>
        <w:t xml:space="preserve">Scanning </w:t>
      </w:r>
      <w:r w:rsidR="004C241B">
        <w:t xml:space="preserve">was </w:t>
      </w:r>
      <w:r>
        <w:t xml:space="preserve">performed on a </w:t>
      </w:r>
      <w:r w:rsidRPr="004B739F">
        <w:t xml:space="preserve">Biograph </w:t>
      </w:r>
      <w:proofErr w:type="spellStart"/>
      <w:r w:rsidRPr="004B739F">
        <w:t>mMR</w:t>
      </w:r>
      <w:proofErr w:type="spellEnd"/>
      <w:r w:rsidRPr="004B739F">
        <w:t xml:space="preserve"> 3T PET/MRI scanner (Siemens Healthcare, Erlangen)</w:t>
      </w:r>
      <w:r w:rsidR="004C241B">
        <w:t xml:space="preserve">. </w:t>
      </w:r>
      <w:r w:rsidR="00FC4917">
        <w:t>Amyloid-beta pathology was</w:t>
      </w:r>
      <w:r w:rsidRPr="004B739F">
        <w:t xml:space="preserve"> assessed </w:t>
      </w:r>
      <w:r w:rsidR="00FC4917" w:rsidRPr="004B739F">
        <w:t xml:space="preserve">over a 10-min period, ~50 min </w:t>
      </w:r>
      <w:r w:rsidR="00FC4917">
        <w:t>after intravenous injection of ~</w:t>
      </w:r>
      <w:r w:rsidR="00FC4917" w:rsidRPr="004B739F">
        <w:t xml:space="preserve">370 MBq </w:t>
      </w:r>
      <w:r w:rsidR="00FC4917">
        <w:t>[18</w:t>
      </w:r>
      <w:proofErr w:type="gramStart"/>
      <w:r w:rsidR="00FC4917">
        <w:t>F]</w:t>
      </w:r>
      <w:proofErr w:type="spellStart"/>
      <w:r w:rsidRPr="004B739F">
        <w:t>florbetapir</w:t>
      </w:r>
      <w:proofErr w:type="spellEnd"/>
      <w:proofErr w:type="gramEnd"/>
      <w:r w:rsidR="00FC4917">
        <w:t xml:space="preserve"> </w:t>
      </w:r>
      <w:r w:rsidR="00FC4917" w:rsidRPr="004B739F">
        <w:t>(</w:t>
      </w:r>
      <w:proofErr w:type="spellStart"/>
      <w:r w:rsidR="00FC4917" w:rsidRPr="004B739F">
        <w:t>Amyvid</w:t>
      </w:r>
      <w:proofErr w:type="spellEnd"/>
      <w:r w:rsidR="00FC4917" w:rsidRPr="004B739F">
        <w:t>)</w:t>
      </w:r>
      <w:r w:rsidRPr="004B739F">
        <w:t xml:space="preserve">. </w:t>
      </w:r>
      <w:r w:rsidR="00FC4917" w:rsidRPr="004B739F">
        <w:t>Attenuation maps are computed from the T1-weighted and T2-weighted volumetric scans using a multi-atlas CT synthesis metho</w:t>
      </w:r>
      <w:r w:rsidR="00FC4917">
        <w:t>d</w:t>
      </w:r>
      <w:r w:rsidR="00FC4917" w:rsidRPr="004B739F">
        <w:t xml:space="preserve">, also known as pseudo-CT (pCT). </w:t>
      </w:r>
      <w:r w:rsidRPr="004B739F">
        <w:t xml:space="preserve">PET data, acquired in list-mode, </w:t>
      </w:r>
      <w:r w:rsidR="00FC4917">
        <w:t>was</w:t>
      </w:r>
      <w:r w:rsidRPr="004B739F">
        <w:t xml:space="preserve"> reconstructed </w:t>
      </w:r>
      <w:r w:rsidR="00FC4917">
        <w:t xml:space="preserve">offline </w:t>
      </w:r>
      <w:r w:rsidRPr="004B739F">
        <w:t>using</w:t>
      </w:r>
      <w:r w:rsidR="00FC4917">
        <w:t xml:space="preserve"> NiftyPET software</w:t>
      </w:r>
      <w:r w:rsidR="00126E7D">
        <w:t xml:space="preserve"> with ordered subset expectation maximisation algorithm</w:t>
      </w:r>
      <w:r w:rsidR="00FC4917">
        <w:t xml:space="preserve"> </w:t>
      </w:r>
      <w:r w:rsidR="000579CC">
        <w:t>(</w:t>
      </w:r>
      <w:r w:rsidR="00126E7D">
        <w:t>14 subsets, 4 iterations, 4mm Gaussian kernel)</w:t>
      </w:r>
      <w:r w:rsidR="000579CC">
        <w:t xml:space="preserve"> </w:t>
      </w:r>
      <w:r w:rsidR="00FC4917">
        <w:t>using the pCT for attenuation correction</w:t>
      </w:r>
      <w:r w:rsidRPr="004B739F">
        <w:t xml:space="preserve">. </w:t>
      </w:r>
      <w:r w:rsidR="00FC4917">
        <w:t>PET image</w:t>
      </w:r>
      <w:r w:rsidR="00126E7D">
        <w:t>s</w:t>
      </w:r>
      <w:r w:rsidR="00FC4917">
        <w:t xml:space="preserve"> </w:t>
      </w:r>
      <w:r w:rsidR="00126E7D">
        <w:t>were</w:t>
      </w:r>
      <w:r w:rsidR="00FC4917">
        <w:t xml:space="preserve"> also reconstructed on the scanner console using ultra-short echo time</w:t>
      </w:r>
      <w:r w:rsidR="00C520D8">
        <w:t xml:space="preserve"> (UTE)</w:t>
      </w:r>
      <w:r w:rsidR="00FC4917">
        <w:t xml:space="preserve"> MR attenuation correction. Although reconstruction with pCT </w:t>
      </w:r>
      <w:r w:rsidR="00126E7D">
        <w:t xml:space="preserve">from list-mode </w:t>
      </w:r>
      <w:r w:rsidR="00FC4917">
        <w:t>has been shown to be more accurate than UTE when compared to gold-standard CT (Burgos et al., 2014)</w:t>
      </w:r>
      <w:r w:rsidR="00362DEB">
        <w:t>, correlation</w:t>
      </w:r>
      <w:r w:rsidR="00C520D8">
        <w:t>s</w:t>
      </w:r>
      <w:r w:rsidR="00362DEB">
        <w:t xml:space="preserve"> between SUVRs from each reconstruction </w:t>
      </w:r>
      <w:r w:rsidR="00126E7D">
        <w:t xml:space="preserve">method </w:t>
      </w:r>
      <w:r w:rsidR="00C520D8">
        <w:t>are</w:t>
      </w:r>
      <w:r w:rsidR="00362DEB">
        <w:t xml:space="preserve"> high </w:t>
      </w:r>
      <w:r w:rsidR="00743D6A">
        <w:t>(R</w:t>
      </w:r>
      <w:r w:rsidR="001504FD" w:rsidRPr="001504FD">
        <w:rPr>
          <w:vertAlign w:val="superscript"/>
        </w:rPr>
        <w:t>2</w:t>
      </w:r>
      <w:r w:rsidR="00743D6A">
        <w:t>&gt;0.93)</w:t>
      </w:r>
      <w:r w:rsidR="00126E7D">
        <w:t xml:space="preserve"> allowing missing list-mode SUVRs to be predicted from console SUVRs using linear regression</w:t>
      </w:r>
      <w:r w:rsidR="00FC4917">
        <w:t xml:space="preserve">. </w:t>
      </w:r>
    </w:p>
    <w:p w14:paraId="6D519310" w14:textId="7EC30DE0" w:rsidR="004C241B" w:rsidRDefault="004C241B" w:rsidP="00F90CDC">
      <w:pPr>
        <w:rPr>
          <w:b/>
        </w:rPr>
      </w:pPr>
      <w:r w:rsidRPr="004C241B">
        <w:rPr>
          <w:b/>
        </w:rPr>
        <w:lastRenderedPageBreak/>
        <w:t>Image Processing</w:t>
      </w:r>
    </w:p>
    <w:p w14:paraId="76452A6C" w14:textId="78B3C7A9" w:rsidR="00FC4917" w:rsidRDefault="004C241B" w:rsidP="00F90CDC">
      <w:r w:rsidRPr="004C241B">
        <w:t>T1</w:t>
      </w:r>
      <w:r w:rsidR="00127A77">
        <w:t xml:space="preserve">-weighted MRI scans </w:t>
      </w:r>
      <w:r>
        <w:t>were</w:t>
      </w:r>
      <w:r w:rsidRPr="004C241B">
        <w:t xml:space="preserve"> parcellated using </w:t>
      </w:r>
      <w:r w:rsidR="00743D6A">
        <w:t xml:space="preserve">geodesic information flows (GIF) </w:t>
      </w:r>
      <w:r w:rsidRPr="004C241B">
        <w:t xml:space="preserve">v3 </w:t>
      </w:r>
      <w:r w:rsidR="00127A77">
        <w:t xml:space="preserve">(Cardoso et al., 2015) </w:t>
      </w:r>
      <w:r w:rsidRPr="004C241B">
        <w:t xml:space="preserve">and then parcellations </w:t>
      </w:r>
      <w:r>
        <w:t>were</w:t>
      </w:r>
      <w:r w:rsidRPr="004C241B">
        <w:t xml:space="preserve"> </w:t>
      </w:r>
      <w:r w:rsidR="00F71505">
        <w:t xml:space="preserve">rigidly </w:t>
      </w:r>
      <w:r w:rsidRPr="004C241B">
        <w:t>registered</w:t>
      </w:r>
      <w:r w:rsidR="00542EB2">
        <w:t xml:space="preserve"> and resampled with nearest-neighbour interpolation</w:t>
      </w:r>
      <w:r w:rsidRPr="004C241B">
        <w:t xml:space="preserve"> </w:t>
      </w:r>
      <w:r>
        <w:t>to</w:t>
      </w:r>
      <w:r w:rsidRPr="004C241B">
        <w:t xml:space="preserve"> PET</w:t>
      </w:r>
      <w:r w:rsidR="00542EB2">
        <w:t xml:space="preserve"> native space</w:t>
      </w:r>
      <w:r w:rsidRPr="004C241B">
        <w:t xml:space="preserve"> </w:t>
      </w:r>
      <w:r w:rsidR="00F71505">
        <w:t>using NiftyReg software</w:t>
      </w:r>
      <w:r w:rsidRPr="004C241B">
        <w:t>.</w:t>
      </w:r>
      <w:r w:rsidR="003E4187">
        <w:t xml:space="preserve"> </w:t>
      </w:r>
      <w:r w:rsidR="00542EB2">
        <w:t>S</w:t>
      </w:r>
      <w:r w:rsidR="00542EB2" w:rsidRPr="004C241B">
        <w:t xml:space="preserve">tandardised uptake value ratio (SUVR) </w:t>
      </w:r>
      <w:r w:rsidR="00542EB2">
        <w:t xml:space="preserve">images were then created by dividing </w:t>
      </w:r>
      <w:r w:rsidR="00064247">
        <w:t xml:space="preserve">the whole image by mean uptake in a GIF reference region. SUVRs were calculated using four different reference regions: </w:t>
      </w:r>
      <w:r w:rsidR="00127A77" w:rsidRPr="00FC4917">
        <w:t>white matter</w:t>
      </w:r>
      <w:r w:rsidR="00064247">
        <w:t xml:space="preserve"> (eroded by 1 voxel in PET space; WM)</w:t>
      </w:r>
      <w:r w:rsidR="00127A77" w:rsidRPr="00FC4917">
        <w:t>, whole cerebellum</w:t>
      </w:r>
      <w:r w:rsidR="00064247">
        <w:t xml:space="preserve"> (WC)</w:t>
      </w:r>
      <w:r w:rsidR="00127A77" w:rsidRPr="00FC4917">
        <w:t xml:space="preserve">, cerebellar grey matter </w:t>
      </w:r>
      <w:r w:rsidR="001504FD">
        <w:t xml:space="preserve">(CGM) </w:t>
      </w:r>
      <w:r w:rsidR="00127A77" w:rsidRPr="00FC4917">
        <w:t>and pons</w:t>
      </w:r>
      <w:r w:rsidR="00064247">
        <w:t>.</w:t>
      </w:r>
      <w:r w:rsidR="003E4187">
        <w:t xml:space="preserve"> </w:t>
      </w:r>
      <w:r w:rsidR="001504FD">
        <w:t xml:space="preserve">SUVRs were also calculated with </w:t>
      </w:r>
      <w:r w:rsidR="00127A77" w:rsidRPr="00FC4917">
        <w:t>partial volume correction (PVC)</w:t>
      </w:r>
      <w:r w:rsidR="001504FD">
        <w:t xml:space="preserve"> applied</w:t>
      </w:r>
      <w:r w:rsidR="004222DD">
        <w:t>,</w:t>
      </w:r>
      <w:r w:rsidR="001504FD">
        <w:t xml:space="preserve"> which aims to use anatomical information</w:t>
      </w:r>
      <w:r w:rsidR="004222DD">
        <w:t xml:space="preserve"> from MRI</w:t>
      </w:r>
      <w:r w:rsidR="001504FD">
        <w:t xml:space="preserve"> to reduce spill-in/out of PET signal in adjacent regions due to the low spatial resolution </w:t>
      </w:r>
      <w:r w:rsidR="004222DD">
        <w:t xml:space="preserve">of </w:t>
      </w:r>
      <w:r w:rsidR="001504FD">
        <w:t>PET</w:t>
      </w:r>
      <w:r w:rsidR="00127A77" w:rsidRPr="00FC4917">
        <w:t>.</w:t>
      </w:r>
      <w:r w:rsidR="001504FD">
        <w:t xml:space="preserve"> For PVC, PET images were resampled to T1-space and the GIF regions were used with the iterative-Yang method with a 6.8</w:t>
      </w:r>
      <w:r w:rsidR="000579CC">
        <w:t xml:space="preserve"> </w:t>
      </w:r>
      <w:r w:rsidR="001504FD">
        <w:t>mm</w:t>
      </w:r>
      <w:r w:rsidR="001504FD" w:rsidRPr="001504FD">
        <w:rPr>
          <w:vertAlign w:val="superscript"/>
        </w:rPr>
        <w:t>3</w:t>
      </w:r>
      <w:r w:rsidR="001504FD">
        <w:t xml:space="preserve"> kernel optimised </w:t>
      </w:r>
      <w:r w:rsidR="004222DD">
        <w:t>for</w:t>
      </w:r>
      <w:r w:rsidR="001504FD">
        <w:t xml:space="preserve"> </w:t>
      </w:r>
      <w:r w:rsidR="003E4187">
        <w:t>the</w:t>
      </w:r>
      <w:r w:rsidR="001504FD">
        <w:t xml:space="preserve"> PET/MR scanner</w:t>
      </w:r>
      <w:r w:rsidR="000579CC">
        <w:t xml:space="preserve"> (Hutton et al., 2013)</w:t>
      </w:r>
      <w:r w:rsidR="001504FD">
        <w:t>.</w:t>
      </w:r>
    </w:p>
    <w:p w14:paraId="60590DAE" w14:textId="7CCC4696" w:rsidR="00E7436E" w:rsidRDefault="00542EB2" w:rsidP="00F90CDC">
      <w:r>
        <w:t>For each method, SUVRs were</w:t>
      </w:r>
      <w:r w:rsidRPr="004C241B">
        <w:t xml:space="preserve"> </w:t>
      </w:r>
      <w:r>
        <w:t xml:space="preserve">then extracted from a GIF composite cortical target region closely matched to FreeSurfer regions used in Landau et al. (2013). The composite consists of a volume weighted average of uptake in lateral &amp; medial frontal, anterior &amp; posterior cingulate, lateral parietal, and lateral temporal regions. Separate regional values </w:t>
      </w:r>
      <w:r w:rsidR="003E4187">
        <w:t>were</w:t>
      </w:r>
      <w:r>
        <w:t xml:space="preserve"> also </w:t>
      </w:r>
      <w:r w:rsidR="003E4187">
        <w:t>extracted from</w:t>
      </w:r>
      <w:r>
        <w:t xml:space="preserve"> </w:t>
      </w:r>
      <w:r w:rsidR="003E4187">
        <w:t>the</w:t>
      </w:r>
      <w:r>
        <w:t xml:space="preserve"> </w:t>
      </w:r>
      <w:r w:rsidRPr="00FC4917">
        <w:t>precuneus, post</w:t>
      </w:r>
      <w:r>
        <w:t xml:space="preserve">erior </w:t>
      </w:r>
      <w:r w:rsidRPr="00FC4917">
        <w:t>cingulate, ant</w:t>
      </w:r>
      <w:r>
        <w:t xml:space="preserve">erior to </w:t>
      </w:r>
      <w:r w:rsidRPr="00FC4917">
        <w:t>mid</w:t>
      </w:r>
      <w:r>
        <w:t>-</w:t>
      </w:r>
      <w:r w:rsidRPr="00FC4917">
        <w:t>cingulate, frontal, parietal, temporal, insula</w:t>
      </w:r>
      <w:r>
        <w:t xml:space="preserve"> and </w:t>
      </w:r>
      <w:r w:rsidRPr="00FC4917">
        <w:t>occipital</w:t>
      </w:r>
      <w:r>
        <w:t xml:space="preserve"> cortex. </w:t>
      </w:r>
    </w:p>
    <w:p w14:paraId="43BCF1D6" w14:textId="221729C5" w:rsidR="00985CAC" w:rsidRPr="00985CAC" w:rsidRDefault="00985CAC" w:rsidP="00F90CDC">
      <w:pPr>
        <w:rPr>
          <w:b/>
          <w:bCs/>
        </w:rPr>
      </w:pPr>
      <w:r w:rsidRPr="00985CAC">
        <w:rPr>
          <w:b/>
          <w:bCs/>
        </w:rPr>
        <w:t>Statistical analysis</w:t>
      </w:r>
    </w:p>
    <w:p w14:paraId="4470F898" w14:textId="2ACC07F8" w:rsidR="00285C5B" w:rsidRDefault="00627E51" w:rsidP="00F90CDC">
      <w:r>
        <w:t xml:space="preserve">Amyloid-beta status was then calculated separately for each region and methodology using Gaussian-mixture modelling </w:t>
      </w:r>
      <w:r w:rsidRPr="004348F2">
        <w:t>applied to SUVRs</w:t>
      </w:r>
      <w:r>
        <w:t xml:space="preserve"> with two distributions</w:t>
      </w:r>
      <w:r w:rsidRPr="004348F2">
        <w:t>, with</w:t>
      </w:r>
      <w:r>
        <w:t xml:space="preserve"> </w:t>
      </w:r>
      <w:r w:rsidRPr="004348F2">
        <w:t xml:space="preserve">the </w:t>
      </w:r>
      <w:r>
        <w:t xml:space="preserve">cutpoint set to the </w:t>
      </w:r>
      <w:r w:rsidRPr="004348F2">
        <w:t>99th percentile of the lower</w:t>
      </w:r>
      <w:r>
        <w:t xml:space="preserve"> </w:t>
      </w:r>
      <w:r w:rsidRPr="004348F2">
        <w:t>Gaussia</w:t>
      </w:r>
      <w:r>
        <w:t>n</w:t>
      </w:r>
      <w:r w:rsidRPr="004348F2">
        <w:t>.</w:t>
      </w:r>
      <w:r>
        <w:t xml:space="preserve"> Cutpoints and positivity rates for each region and method are provided in a separate spreadsheet (</w:t>
      </w:r>
      <w:r w:rsidRPr="007A529B">
        <w:t>Insight46_phase2_amyloid-PET_NiftyPET_suvr_rates_20220809-150732</w:t>
      </w:r>
      <w:r>
        <w:t>.csv).</w:t>
      </w:r>
    </w:p>
    <w:p w14:paraId="0A53EE30" w14:textId="0F154333" w:rsidR="00E7436E" w:rsidRDefault="00E7436E" w:rsidP="00F90CDC">
      <w:r w:rsidRPr="00E7436E">
        <w:t xml:space="preserve">Centiloid </w:t>
      </w:r>
      <w:r>
        <w:t xml:space="preserve">(CL) </w:t>
      </w:r>
      <w:r w:rsidRPr="00E7436E">
        <w:t xml:space="preserve">values </w:t>
      </w:r>
      <w:r>
        <w:t>were then calculated to provide a measure</w:t>
      </w:r>
      <w:r w:rsidRPr="00E7436E">
        <w:t xml:space="preserve"> comparable between datasets </w:t>
      </w:r>
      <w:r w:rsidR="00627E51">
        <w:t>compared to</w:t>
      </w:r>
      <w:r>
        <w:t xml:space="preserve"> </w:t>
      </w:r>
      <w:r w:rsidRPr="00E7436E">
        <w:t>SUVR</w:t>
      </w:r>
      <w:r w:rsidR="00627E51">
        <w:t xml:space="preserve"> values (Klunk et al., 2015)</w:t>
      </w:r>
      <w:r>
        <w:t xml:space="preserve">. CL values were only </w:t>
      </w:r>
      <w:r w:rsidRPr="00E7436E">
        <w:t xml:space="preserve">calculated </w:t>
      </w:r>
      <w:r>
        <w:t>for</w:t>
      </w:r>
      <w:r w:rsidRPr="00E7436E">
        <w:t xml:space="preserve"> whole cerebellum and white matter referenced SUVRs using methodology found in Coath et al. </w:t>
      </w:r>
      <w:r>
        <w:t>(</w:t>
      </w:r>
      <w:r w:rsidRPr="00E7436E">
        <w:t>2022</w:t>
      </w:r>
      <w:r>
        <w:t>)</w:t>
      </w:r>
      <w:r w:rsidRPr="00E7436E">
        <w:t>. The adjustment for white matter SUVRs was re-calculated in the R script using this NiftyPET dataset</w:t>
      </w:r>
      <w:r>
        <w:t xml:space="preserve"> due to the difference in reconstruction from the cross-sectional dataset</w:t>
      </w:r>
      <w:r w:rsidRPr="00E7436E">
        <w:t xml:space="preserve">. See Table for </w:t>
      </w:r>
      <w:r>
        <w:t xml:space="preserve">CL </w:t>
      </w:r>
      <w:r w:rsidRPr="00E7436E">
        <w:t>equations and cutpoints.</w:t>
      </w:r>
    </w:p>
    <w:p w14:paraId="5693EBAB" w14:textId="5C72ACE1" w:rsidR="00C520D8" w:rsidRDefault="00F0212A" w:rsidP="00C520D8">
      <w:pPr>
        <w:jc w:val="center"/>
        <w:rPr>
          <w:b/>
          <w:bCs/>
        </w:rPr>
      </w:pPr>
      <w:r>
        <w:rPr>
          <w:b/>
          <w:bCs/>
        </w:rPr>
        <w:t xml:space="preserve">Table. Composite region </w:t>
      </w:r>
      <w:r w:rsidR="00C520D8" w:rsidRPr="00C520D8">
        <w:rPr>
          <w:b/>
          <w:bCs/>
        </w:rPr>
        <w:t>Centiloid (CL) equations and cutpoints: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47"/>
        <w:gridCol w:w="1843"/>
        <w:gridCol w:w="2693"/>
        <w:gridCol w:w="1977"/>
      </w:tblGrid>
      <w:tr w:rsidR="00F0212A" w14:paraId="0851F81C" w14:textId="77777777" w:rsidTr="00745A76">
        <w:trPr>
          <w:trHeight w:val="729"/>
          <w:jc w:val="center"/>
        </w:trPr>
        <w:tc>
          <w:tcPr>
            <w:tcW w:w="2547" w:type="dxa"/>
            <w:vAlign w:val="center"/>
          </w:tcPr>
          <w:p w14:paraId="37111ABF" w14:textId="4BA9B228" w:rsidR="00F0212A" w:rsidRDefault="00F0212A" w:rsidP="00745A7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Reference region/PVC</w:t>
            </w:r>
          </w:p>
        </w:tc>
        <w:tc>
          <w:tcPr>
            <w:tcW w:w="1843" w:type="dxa"/>
            <w:vAlign w:val="center"/>
          </w:tcPr>
          <w:p w14:paraId="628B76F5" w14:textId="2A1B7AE7" w:rsidR="00F0212A" w:rsidRDefault="00F0212A" w:rsidP="00745A7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SUVR cutpoint</w:t>
            </w:r>
          </w:p>
        </w:tc>
        <w:tc>
          <w:tcPr>
            <w:tcW w:w="2693" w:type="dxa"/>
            <w:vAlign w:val="center"/>
          </w:tcPr>
          <w:p w14:paraId="263BF5B8" w14:textId="1DE30039" w:rsidR="00F0212A" w:rsidRDefault="00F0212A" w:rsidP="00745A7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Conversion equation</w:t>
            </w:r>
          </w:p>
        </w:tc>
        <w:tc>
          <w:tcPr>
            <w:tcW w:w="1977" w:type="dxa"/>
            <w:vAlign w:val="center"/>
          </w:tcPr>
          <w:p w14:paraId="654E4FA2" w14:textId="018E21A7" w:rsidR="00F0212A" w:rsidRDefault="00F0212A" w:rsidP="00745A7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Centiloid cutpoint</w:t>
            </w:r>
          </w:p>
        </w:tc>
      </w:tr>
      <w:tr w:rsidR="00F0212A" w14:paraId="53473688" w14:textId="77777777" w:rsidTr="00745A76">
        <w:trPr>
          <w:trHeight w:val="729"/>
          <w:jc w:val="center"/>
        </w:trPr>
        <w:tc>
          <w:tcPr>
            <w:tcW w:w="2547" w:type="dxa"/>
            <w:vAlign w:val="center"/>
          </w:tcPr>
          <w:p w14:paraId="4BA8001F" w14:textId="5C4E4461" w:rsidR="00F0212A" w:rsidRPr="00F0212A" w:rsidRDefault="00F0212A" w:rsidP="00745A76">
            <w:pPr>
              <w:jc w:val="center"/>
            </w:pPr>
            <w:r w:rsidRPr="00F0212A">
              <w:t>Whole cerebellum</w:t>
            </w:r>
          </w:p>
        </w:tc>
        <w:tc>
          <w:tcPr>
            <w:tcW w:w="1843" w:type="dxa"/>
            <w:vAlign w:val="center"/>
          </w:tcPr>
          <w:p w14:paraId="37B61FEF" w14:textId="155738DE" w:rsidR="00F0212A" w:rsidRDefault="00F0212A" w:rsidP="00745A76">
            <w:pPr>
              <w:jc w:val="center"/>
              <w:rPr>
                <w:b/>
                <w:bCs/>
              </w:rPr>
            </w:pPr>
            <w:r>
              <w:t>1.071</w:t>
            </w:r>
          </w:p>
        </w:tc>
        <w:tc>
          <w:tcPr>
            <w:tcW w:w="2693" w:type="dxa"/>
            <w:vAlign w:val="center"/>
          </w:tcPr>
          <w:p w14:paraId="071976B6" w14:textId="7FA448A8" w:rsidR="00F0212A" w:rsidRDefault="00F0212A" w:rsidP="00745A76">
            <w:pPr>
              <w:jc w:val="center"/>
              <w:rPr>
                <w:b/>
                <w:bCs/>
              </w:rPr>
            </w:pPr>
            <w:r>
              <w:t>SUVR*</w:t>
            </w:r>
            <w:r w:rsidRPr="00C520D8">
              <w:t>194.0 - 194.7</w:t>
            </w:r>
          </w:p>
        </w:tc>
        <w:tc>
          <w:tcPr>
            <w:tcW w:w="1977" w:type="dxa"/>
            <w:vAlign w:val="center"/>
          </w:tcPr>
          <w:p w14:paraId="76EBE899" w14:textId="42593721" w:rsidR="00F0212A" w:rsidRDefault="00F0212A" w:rsidP="00745A76">
            <w:pPr>
              <w:jc w:val="center"/>
              <w:rPr>
                <w:b/>
                <w:bCs/>
              </w:rPr>
            </w:pPr>
            <w:r>
              <w:t>13.0</w:t>
            </w:r>
          </w:p>
        </w:tc>
      </w:tr>
      <w:tr w:rsidR="00F0212A" w14:paraId="43C35CD7" w14:textId="77777777" w:rsidTr="00745A76">
        <w:trPr>
          <w:trHeight w:val="729"/>
          <w:jc w:val="center"/>
        </w:trPr>
        <w:tc>
          <w:tcPr>
            <w:tcW w:w="2547" w:type="dxa"/>
            <w:vAlign w:val="center"/>
          </w:tcPr>
          <w:p w14:paraId="0340E87E" w14:textId="1E75C387" w:rsidR="00F0212A" w:rsidRPr="00F0212A" w:rsidRDefault="00F0212A" w:rsidP="00745A76">
            <w:pPr>
              <w:jc w:val="center"/>
            </w:pPr>
            <w:r w:rsidRPr="00F0212A">
              <w:t>Whole cerebellum/PVC</w:t>
            </w:r>
          </w:p>
        </w:tc>
        <w:tc>
          <w:tcPr>
            <w:tcW w:w="1843" w:type="dxa"/>
            <w:vAlign w:val="center"/>
          </w:tcPr>
          <w:p w14:paraId="6C23DFB8" w14:textId="27C9E07A" w:rsidR="00F0212A" w:rsidRDefault="00F0212A" w:rsidP="00745A76">
            <w:pPr>
              <w:jc w:val="center"/>
              <w:rPr>
                <w:b/>
                <w:bCs/>
              </w:rPr>
            </w:pPr>
            <w:r>
              <w:t>1.032</w:t>
            </w:r>
          </w:p>
        </w:tc>
        <w:tc>
          <w:tcPr>
            <w:tcW w:w="2693" w:type="dxa"/>
            <w:vAlign w:val="center"/>
          </w:tcPr>
          <w:p w14:paraId="374A8DA8" w14:textId="2805E63A" w:rsidR="00F0212A" w:rsidRDefault="00F0212A" w:rsidP="00745A76">
            <w:pPr>
              <w:jc w:val="center"/>
              <w:rPr>
                <w:b/>
                <w:bCs/>
              </w:rPr>
            </w:pPr>
            <w:r>
              <w:t>SUVR*</w:t>
            </w:r>
            <w:r w:rsidRPr="00C520D8">
              <w:t>106.9 - 98.4</w:t>
            </w:r>
          </w:p>
        </w:tc>
        <w:tc>
          <w:tcPr>
            <w:tcW w:w="1977" w:type="dxa"/>
            <w:vAlign w:val="center"/>
          </w:tcPr>
          <w:p w14:paraId="42294185" w14:textId="4CD4818E" w:rsidR="00F0212A" w:rsidRDefault="00F0212A" w:rsidP="00745A76">
            <w:pPr>
              <w:jc w:val="center"/>
              <w:rPr>
                <w:b/>
                <w:bCs/>
              </w:rPr>
            </w:pPr>
            <w:r>
              <w:t>11.9</w:t>
            </w:r>
          </w:p>
        </w:tc>
      </w:tr>
      <w:tr w:rsidR="00F0212A" w14:paraId="7F4FD0AF" w14:textId="77777777" w:rsidTr="00745A76">
        <w:trPr>
          <w:trHeight w:val="729"/>
          <w:jc w:val="center"/>
        </w:trPr>
        <w:tc>
          <w:tcPr>
            <w:tcW w:w="2547" w:type="dxa"/>
            <w:vAlign w:val="center"/>
          </w:tcPr>
          <w:p w14:paraId="6E03F078" w14:textId="2217ECE2" w:rsidR="00F0212A" w:rsidRPr="00F0212A" w:rsidRDefault="00F0212A" w:rsidP="00745A76">
            <w:pPr>
              <w:jc w:val="center"/>
            </w:pPr>
            <w:r w:rsidRPr="00F0212A">
              <w:t>White matter</w:t>
            </w:r>
          </w:p>
        </w:tc>
        <w:tc>
          <w:tcPr>
            <w:tcW w:w="1843" w:type="dxa"/>
            <w:vAlign w:val="center"/>
          </w:tcPr>
          <w:p w14:paraId="07FA2F8E" w14:textId="4D65BB35" w:rsidR="00F0212A" w:rsidRDefault="00F0212A" w:rsidP="00745A76">
            <w:pPr>
              <w:jc w:val="center"/>
              <w:rPr>
                <w:b/>
                <w:bCs/>
              </w:rPr>
            </w:pPr>
            <w:r>
              <w:t>0.605</w:t>
            </w:r>
          </w:p>
        </w:tc>
        <w:tc>
          <w:tcPr>
            <w:tcW w:w="2693" w:type="dxa"/>
            <w:vAlign w:val="center"/>
          </w:tcPr>
          <w:p w14:paraId="282D2F78" w14:textId="000A5D07" w:rsidR="00F0212A" w:rsidRDefault="00F0212A" w:rsidP="00745A76">
            <w:pPr>
              <w:jc w:val="center"/>
              <w:rPr>
                <w:b/>
                <w:bCs/>
              </w:rPr>
            </w:pPr>
            <w:r>
              <w:t xml:space="preserve">SUVR*433.2 </w:t>
            </w:r>
            <w:r w:rsidRPr="00C520D8">
              <w:t xml:space="preserve">- </w:t>
            </w:r>
            <w:r>
              <w:t>239.4</w:t>
            </w:r>
          </w:p>
        </w:tc>
        <w:tc>
          <w:tcPr>
            <w:tcW w:w="1977" w:type="dxa"/>
            <w:vAlign w:val="center"/>
          </w:tcPr>
          <w:p w14:paraId="6882DC71" w14:textId="2BEA6A36" w:rsidR="00F0212A" w:rsidRDefault="00F0212A" w:rsidP="00745A76">
            <w:pPr>
              <w:jc w:val="center"/>
              <w:rPr>
                <w:b/>
                <w:bCs/>
              </w:rPr>
            </w:pPr>
            <w:r>
              <w:t>22.6</w:t>
            </w:r>
          </w:p>
        </w:tc>
      </w:tr>
      <w:tr w:rsidR="00F0212A" w14:paraId="1A0D40A1" w14:textId="77777777" w:rsidTr="00745A76">
        <w:trPr>
          <w:trHeight w:val="729"/>
          <w:jc w:val="center"/>
        </w:trPr>
        <w:tc>
          <w:tcPr>
            <w:tcW w:w="2547" w:type="dxa"/>
            <w:vAlign w:val="center"/>
          </w:tcPr>
          <w:p w14:paraId="3405D085" w14:textId="32F1FD27" w:rsidR="00F0212A" w:rsidRPr="00F0212A" w:rsidRDefault="00F0212A" w:rsidP="00745A76">
            <w:pPr>
              <w:jc w:val="center"/>
            </w:pPr>
            <w:r w:rsidRPr="00F0212A">
              <w:lastRenderedPageBreak/>
              <w:t>White matter/PVC</w:t>
            </w:r>
          </w:p>
        </w:tc>
        <w:tc>
          <w:tcPr>
            <w:tcW w:w="1843" w:type="dxa"/>
            <w:vAlign w:val="center"/>
          </w:tcPr>
          <w:p w14:paraId="0C18BE7C" w14:textId="38B67D36" w:rsidR="00F0212A" w:rsidRDefault="00F0212A" w:rsidP="00745A76">
            <w:pPr>
              <w:jc w:val="center"/>
              <w:rPr>
                <w:b/>
                <w:bCs/>
              </w:rPr>
            </w:pPr>
            <w:r>
              <w:t>0.659</w:t>
            </w:r>
          </w:p>
        </w:tc>
        <w:tc>
          <w:tcPr>
            <w:tcW w:w="2693" w:type="dxa"/>
            <w:vAlign w:val="center"/>
          </w:tcPr>
          <w:p w14:paraId="5E1D5D66" w14:textId="468A41C9" w:rsidR="00F0212A" w:rsidRDefault="00F0212A" w:rsidP="00745A76">
            <w:pPr>
              <w:jc w:val="center"/>
              <w:rPr>
                <w:b/>
                <w:bCs/>
              </w:rPr>
            </w:pPr>
            <w:r>
              <w:t>SUVR*220.8 - 126.5</w:t>
            </w:r>
          </w:p>
        </w:tc>
        <w:tc>
          <w:tcPr>
            <w:tcW w:w="1977" w:type="dxa"/>
            <w:vAlign w:val="center"/>
          </w:tcPr>
          <w:p w14:paraId="2794FF27" w14:textId="1C6E1272" w:rsidR="00F0212A" w:rsidRDefault="00F0212A" w:rsidP="00745A76">
            <w:pPr>
              <w:jc w:val="center"/>
              <w:rPr>
                <w:b/>
                <w:bCs/>
              </w:rPr>
            </w:pPr>
            <w:r>
              <w:t>18.9</w:t>
            </w:r>
          </w:p>
        </w:tc>
      </w:tr>
    </w:tbl>
    <w:p w14:paraId="45FB7555" w14:textId="77777777" w:rsidR="00F0212A" w:rsidRPr="00C520D8" w:rsidRDefault="00F0212A" w:rsidP="00C520D8">
      <w:pPr>
        <w:jc w:val="center"/>
        <w:rPr>
          <w:b/>
          <w:bCs/>
        </w:rPr>
      </w:pPr>
    </w:p>
    <w:p w14:paraId="0D6EB717" w14:textId="5DCC4AA2" w:rsidR="00FC4917" w:rsidRPr="00FC4917" w:rsidRDefault="00FC4917" w:rsidP="00F90CDC">
      <w:pPr>
        <w:rPr>
          <w:b/>
          <w:bCs/>
        </w:rPr>
      </w:pPr>
      <w:r w:rsidRPr="00FC4917">
        <w:rPr>
          <w:b/>
          <w:bCs/>
        </w:rPr>
        <w:t>References</w:t>
      </w:r>
    </w:p>
    <w:p w14:paraId="76ACEC8A" w14:textId="395EBC42" w:rsidR="004222DD" w:rsidRDefault="00FC4917" w:rsidP="00F90CDC">
      <w:pPr>
        <w:rPr>
          <w:shd w:val="clear" w:color="auto" w:fill="FFFFFF"/>
        </w:rPr>
      </w:pPr>
      <w:r w:rsidRPr="00FC4917">
        <w:rPr>
          <w:shd w:val="clear" w:color="auto" w:fill="FFFFFF"/>
        </w:rPr>
        <w:t xml:space="preserve">Burgos, Ninon, et al. "Attenuation correction synthesis for hybrid PET-MR scanners: application to brain studies." </w:t>
      </w:r>
      <w:r w:rsidRPr="00FC4917">
        <w:rPr>
          <w:i/>
          <w:iCs/>
          <w:shd w:val="clear" w:color="auto" w:fill="FFFFFF"/>
        </w:rPr>
        <w:t>IEEE transactions on medical imaging</w:t>
      </w:r>
      <w:r w:rsidRPr="00FC4917">
        <w:rPr>
          <w:shd w:val="clear" w:color="auto" w:fill="FFFFFF"/>
        </w:rPr>
        <w:t xml:space="preserve"> 33.12 (2014): 2332-2341.</w:t>
      </w:r>
    </w:p>
    <w:p w14:paraId="764DFF2A" w14:textId="0A18BDFA" w:rsidR="00127A77" w:rsidRDefault="00127A77" w:rsidP="00F90CDC">
      <w:pPr>
        <w:rPr>
          <w:shd w:val="clear" w:color="auto" w:fill="FFFFFF"/>
        </w:rPr>
      </w:pPr>
      <w:r w:rsidRPr="00127A77">
        <w:rPr>
          <w:shd w:val="clear" w:color="auto" w:fill="FFFFFF"/>
        </w:rPr>
        <w:t xml:space="preserve">Cardoso, M. Jorge, et al. "Geodesic information flows: spatially-variant graphs and their application to segmentation and fusion." </w:t>
      </w:r>
      <w:r w:rsidRPr="00127A77">
        <w:rPr>
          <w:i/>
          <w:iCs/>
          <w:shd w:val="clear" w:color="auto" w:fill="FFFFFF"/>
        </w:rPr>
        <w:t>IEEE transactions on medical imaging</w:t>
      </w:r>
      <w:r w:rsidRPr="00127A77">
        <w:rPr>
          <w:shd w:val="clear" w:color="auto" w:fill="FFFFFF"/>
        </w:rPr>
        <w:t xml:space="preserve"> 34.9 (2015): 1976-1988.</w:t>
      </w:r>
    </w:p>
    <w:p w14:paraId="723CDFE2" w14:textId="19030341" w:rsidR="00E7436E" w:rsidRDefault="00E7436E" w:rsidP="00F90CDC">
      <w:pPr>
        <w:rPr>
          <w:shd w:val="clear" w:color="auto" w:fill="FFFFFF"/>
        </w:rPr>
      </w:pPr>
      <w:r w:rsidRPr="00E7436E">
        <w:rPr>
          <w:shd w:val="clear" w:color="auto" w:fill="FFFFFF"/>
        </w:rPr>
        <w:t xml:space="preserve">Coath, William, et al. "Operationalising the Centiloid Scale for [18F] florbetapir PET Studies on PET/MR." </w:t>
      </w:r>
      <w:proofErr w:type="spellStart"/>
      <w:r w:rsidRPr="00E7436E">
        <w:rPr>
          <w:i/>
          <w:iCs/>
          <w:shd w:val="clear" w:color="auto" w:fill="FFFFFF"/>
        </w:rPr>
        <w:t>medRxiv</w:t>
      </w:r>
      <w:proofErr w:type="spellEnd"/>
      <w:r w:rsidRPr="00E7436E">
        <w:rPr>
          <w:shd w:val="clear" w:color="auto" w:fill="FFFFFF"/>
        </w:rPr>
        <w:t xml:space="preserve"> (2022).</w:t>
      </w:r>
    </w:p>
    <w:p w14:paraId="10268592" w14:textId="3DBFA5DD" w:rsidR="004222DD" w:rsidRDefault="004222DD" w:rsidP="00F90CDC">
      <w:pPr>
        <w:rPr>
          <w:shd w:val="clear" w:color="auto" w:fill="FFFFFF"/>
        </w:rPr>
      </w:pPr>
      <w:r w:rsidRPr="004222DD">
        <w:rPr>
          <w:shd w:val="clear" w:color="auto" w:fill="FFFFFF"/>
        </w:rPr>
        <w:t>Hutton, Brian F., et al. "What approach to brain partial volume correction is best for PET/</w:t>
      </w:r>
      <w:proofErr w:type="gramStart"/>
      <w:r w:rsidRPr="004222DD">
        <w:rPr>
          <w:shd w:val="clear" w:color="auto" w:fill="FFFFFF"/>
        </w:rPr>
        <w:t>MRI?.</w:t>
      </w:r>
      <w:proofErr w:type="gramEnd"/>
      <w:r w:rsidRPr="004222DD">
        <w:rPr>
          <w:shd w:val="clear" w:color="auto" w:fill="FFFFFF"/>
        </w:rPr>
        <w:t xml:space="preserve">" </w:t>
      </w:r>
      <w:r w:rsidRPr="004222DD">
        <w:rPr>
          <w:i/>
          <w:iCs/>
          <w:shd w:val="clear" w:color="auto" w:fill="FFFFFF"/>
        </w:rPr>
        <w:t>Nuclear Instruments and Methods in Physics Research Section A: Accelerators, Spectrometers, Detectors and Associated Equipment</w:t>
      </w:r>
      <w:r w:rsidRPr="004222DD">
        <w:rPr>
          <w:shd w:val="clear" w:color="auto" w:fill="FFFFFF"/>
        </w:rPr>
        <w:t xml:space="preserve"> 702 (2013): 29-33</w:t>
      </w:r>
      <w:r>
        <w:rPr>
          <w:shd w:val="clear" w:color="auto" w:fill="FFFFFF"/>
        </w:rPr>
        <w:t>.</w:t>
      </w:r>
    </w:p>
    <w:p w14:paraId="7C4ADACF" w14:textId="7E7DD6AF" w:rsidR="00627E51" w:rsidRDefault="00627E51" w:rsidP="00F90CDC">
      <w:pPr>
        <w:rPr>
          <w:shd w:val="clear" w:color="auto" w:fill="FFFFFF"/>
        </w:rPr>
      </w:pPr>
      <w:r w:rsidRPr="00627E51">
        <w:rPr>
          <w:shd w:val="clear" w:color="auto" w:fill="FFFFFF"/>
        </w:rPr>
        <w:t xml:space="preserve">Klunk, William E., et al. "The Centiloid Project: standardizing quantitative amyloid plaque estimation by PET." </w:t>
      </w:r>
      <w:r w:rsidRPr="00627E51">
        <w:rPr>
          <w:i/>
          <w:iCs/>
          <w:shd w:val="clear" w:color="auto" w:fill="FFFFFF"/>
        </w:rPr>
        <w:t>Alzheimer's &amp; dementia</w:t>
      </w:r>
      <w:r w:rsidRPr="00627E51">
        <w:rPr>
          <w:shd w:val="clear" w:color="auto" w:fill="FFFFFF"/>
        </w:rPr>
        <w:t xml:space="preserve"> 11.1 (2015): 1-15.</w:t>
      </w:r>
    </w:p>
    <w:p w14:paraId="737F8424" w14:textId="409BBEEE" w:rsidR="00743D6A" w:rsidRDefault="00743D6A" w:rsidP="00F90CDC">
      <w:pPr>
        <w:rPr>
          <w:shd w:val="clear" w:color="auto" w:fill="FFFFFF"/>
        </w:rPr>
      </w:pPr>
      <w:r w:rsidRPr="00743D6A">
        <w:rPr>
          <w:shd w:val="clear" w:color="auto" w:fill="FFFFFF"/>
        </w:rPr>
        <w:t>Landau, Susan M., et al. "Amyloid-β imaging with Pittsburgh compound B and florbetapir: comparing radiotracers and quantification methods." Journal of Nuclear Medicine 54.1 (2013): 70-77.</w:t>
      </w:r>
    </w:p>
    <w:p w14:paraId="74A3AC78" w14:textId="3E6EBB93" w:rsidR="00FC4917" w:rsidRPr="004348F2" w:rsidRDefault="00FC4917" w:rsidP="00F90CDC">
      <w:pPr>
        <w:rPr>
          <w:shd w:val="clear" w:color="auto" w:fill="FFFFFF"/>
        </w:rPr>
      </w:pPr>
      <w:r w:rsidRPr="00FC4917">
        <w:rPr>
          <w:shd w:val="clear" w:color="auto" w:fill="FFFFFF"/>
        </w:rPr>
        <w:t xml:space="preserve">Markiewicz, Pawel J., et al. "NiftyPET: a high-throughput software platform for high quantitative accuracy and precision PET imaging and analysis." </w:t>
      </w:r>
      <w:proofErr w:type="spellStart"/>
      <w:r w:rsidRPr="00FC4917">
        <w:rPr>
          <w:i/>
          <w:iCs/>
          <w:shd w:val="clear" w:color="auto" w:fill="FFFFFF"/>
        </w:rPr>
        <w:t>Neuroinformatics</w:t>
      </w:r>
      <w:proofErr w:type="spellEnd"/>
      <w:r w:rsidRPr="00FC4917">
        <w:rPr>
          <w:shd w:val="clear" w:color="auto" w:fill="FFFFFF"/>
        </w:rPr>
        <w:t xml:space="preserve"> 16.1 (2018): 95-115.</w:t>
      </w:r>
    </w:p>
    <w:sectPr w:rsidR="00FC4917" w:rsidRPr="004348F2" w:rsidSect="00BA5901">
      <w:pgSz w:w="11906" w:h="16838"/>
      <w:pgMar w:top="1418" w:right="1418" w:bottom="1418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46420"/>
    <w:multiLevelType w:val="hybridMultilevel"/>
    <w:tmpl w:val="CE10E8BC"/>
    <w:lvl w:ilvl="0" w:tplc="0178D5A6">
      <w:start w:val="149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B100FC"/>
    <w:multiLevelType w:val="hybridMultilevel"/>
    <w:tmpl w:val="2EB8A35E"/>
    <w:lvl w:ilvl="0" w:tplc="ACA2379E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A459A2"/>
    <w:multiLevelType w:val="hybridMultilevel"/>
    <w:tmpl w:val="D19ABD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7849A9"/>
    <w:multiLevelType w:val="hybridMultilevel"/>
    <w:tmpl w:val="34B211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113B6B"/>
    <w:multiLevelType w:val="hybridMultilevel"/>
    <w:tmpl w:val="66A09D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EDD17AB"/>
    <w:multiLevelType w:val="hybridMultilevel"/>
    <w:tmpl w:val="70225F1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44C1314"/>
    <w:multiLevelType w:val="hybridMultilevel"/>
    <w:tmpl w:val="E9E830E4"/>
    <w:lvl w:ilvl="0" w:tplc="17E86624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4"/>
  </w:num>
  <w:num w:numId="4">
    <w:abstractNumId w:val="2"/>
  </w:num>
  <w:num w:numId="5">
    <w:abstractNumId w:val="3"/>
  </w:num>
  <w:num w:numId="6">
    <w:abstractNumId w:val="5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5901"/>
    <w:rsid w:val="000206E6"/>
    <w:rsid w:val="000579CC"/>
    <w:rsid w:val="00064247"/>
    <w:rsid w:val="000D4AF5"/>
    <w:rsid w:val="000F182E"/>
    <w:rsid w:val="00126E7D"/>
    <w:rsid w:val="00127A77"/>
    <w:rsid w:val="001504FD"/>
    <w:rsid w:val="001A616B"/>
    <w:rsid w:val="001A684C"/>
    <w:rsid w:val="001C29D0"/>
    <w:rsid w:val="001C469B"/>
    <w:rsid w:val="002276F8"/>
    <w:rsid w:val="00237780"/>
    <w:rsid w:val="0024610A"/>
    <w:rsid w:val="0025752F"/>
    <w:rsid w:val="00272549"/>
    <w:rsid w:val="00285C5B"/>
    <w:rsid w:val="002E4335"/>
    <w:rsid w:val="00303C86"/>
    <w:rsid w:val="00362DEB"/>
    <w:rsid w:val="00375942"/>
    <w:rsid w:val="003E4187"/>
    <w:rsid w:val="004222DD"/>
    <w:rsid w:val="00431797"/>
    <w:rsid w:val="004348F2"/>
    <w:rsid w:val="00470814"/>
    <w:rsid w:val="00472B1E"/>
    <w:rsid w:val="004B739F"/>
    <w:rsid w:val="004C241B"/>
    <w:rsid w:val="004C329C"/>
    <w:rsid w:val="004D1FF9"/>
    <w:rsid w:val="004F73EF"/>
    <w:rsid w:val="00501848"/>
    <w:rsid w:val="00516A50"/>
    <w:rsid w:val="00542EB2"/>
    <w:rsid w:val="005A4A90"/>
    <w:rsid w:val="00627081"/>
    <w:rsid w:val="00627E51"/>
    <w:rsid w:val="006337F5"/>
    <w:rsid w:val="00646697"/>
    <w:rsid w:val="00650785"/>
    <w:rsid w:val="006741EE"/>
    <w:rsid w:val="00743D6A"/>
    <w:rsid w:val="00745A76"/>
    <w:rsid w:val="00745FC7"/>
    <w:rsid w:val="007A529B"/>
    <w:rsid w:val="008542EC"/>
    <w:rsid w:val="00857C7E"/>
    <w:rsid w:val="0086553E"/>
    <w:rsid w:val="008D35EA"/>
    <w:rsid w:val="00911CA1"/>
    <w:rsid w:val="00923613"/>
    <w:rsid w:val="00976E2C"/>
    <w:rsid w:val="00985CAC"/>
    <w:rsid w:val="00995D32"/>
    <w:rsid w:val="009C611C"/>
    <w:rsid w:val="009D52B2"/>
    <w:rsid w:val="00A06783"/>
    <w:rsid w:val="00A16E07"/>
    <w:rsid w:val="00A24279"/>
    <w:rsid w:val="00A25719"/>
    <w:rsid w:val="00A319BF"/>
    <w:rsid w:val="00B435B4"/>
    <w:rsid w:val="00B57863"/>
    <w:rsid w:val="00B97836"/>
    <w:rsid w:val="00BA5901"/>
    <w:rsid w:val="00C32753"/>
    <w:rsid w:val="00C520D8"/>
    <w:rsid w:val="00C71A21"/>
    <w:rsid w:val="00C81D38"/>
    <w:rsid w:val="00C82847"/>
    <w:rsid w:val="00C848F1"/>
    <w:rsid w:val="00CD74AD"/>
    <w:rsid w:val="00D16E36"/>
    <w:rsid w:val="00D50501"/>
    <w:rsid w:val="00DA2752"/>
    <w:rsid w:val="00E542A8"/>
    <w:rsid w:val="00E7436E"/>
    <w:rsid w:val="00E94014"/>
    <w:rsid w:val="00EE1F7C"/>
    <w:rsid w:val="00F0212A"/>
    <w:rsid w:val="00F71505"/>
    <w:rsid w:val="00F90CDC"/>
    <w:rsid w:val="00F919E3"/>
    <w:rsid w:val="00F956A7"/>
    <w:rsid w:val="00FC4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4FA64E"/>
  <w15:docId w15:val="{B627F47B-3584-4AA6-9D38-D8722E8D8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469B"/>
    <w:rPr>
      <w:rFonts w:ascii="Verdana" w:hAnsi="Verdana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25719"/>
    <w:pPr>
      <w:keepNext/>
      <w:keepLines/>
      <w:spacing w:before="240" w:after="0"/>
      <w:outlineLvl w:val="0"/>
    </w:pPr>
    <w:rPr>
      <w:rFonts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5719"/>
    <w:pPr>
      <w:keepNext/>
      <w:keepLines/>
      <w:spacing w:before="120" w:after="0"/>
      <w:outlineLvl w:val="1"/>
    </w:pPr>
    <w:rPr>
      <w:rFonts w:eastAsiaTheme="majorEastAsia" w:cstheme="majorBidi"/>
      <w:b/>
      <w:bCs/>
      <w:color w:val="4F81BD" w:themeColor="accent1"/>
      <w:sz w:val="24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A59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A590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C46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469B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A25719"/>
    <w:rPr>
      <w:rFonts w:ascii="Verdana" w:eastAsiaTheme="majorEastAsia" w:hAnsi="Verdana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25719"/>
    <w:rPr>
      <w:rFonts w:ascii="Verdana" w:eastAsiaTheme="majorEastAsia" w:hAnsi="Verdana" w:cstheme="majorBidi"/>
      <w:b/>
      <w:bCs/>
      <w:color w:val="4F81BD" w:themeColor="accent1"/>
      <w:sz w:val="24"/>
      <w:szCs w:val="26"/>
    </w:rPr>
  </w:style>
  <w:style w:type="character" w:styleId="CommentReference">
    <w:name w:val="annotation reference"/>
    <w:basedOn w:val="DefaultParagraphFont"/>
    <w:uiPriority w:val="99"/>
    <w:semiHidden/>
    <w:unhideWhenUsed/>
    <w:rsid w:val="009C611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C611C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C611C"/>
    <w:rPr>
      <w:rFonts w:ascii="Verdana" w:hAnsi="Verdana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C611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C611C"/>
    <w:rPr>
      <w:rFonts w:ascii="Verdana" w:hAnsi="Verdana"/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86553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553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6553E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61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9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9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61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86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73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1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1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66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1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5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9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29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1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0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0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3</Pages>
  <Words>957</Words>
  <Characters>5461</Characters>
  <Application>Microsoft Office Word</Application>
  <DocSecurity>0</DocSecurity>
  <Lines>45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/>
      <vt:lpstr>CLEANED/DERIVED VARIABLE METADATA TOP SHEET</vt:lpstr>
      <vt:lpstr>    For Submission to the NSHD Scientific Support Team</vt:lpstr>
    </vt:vector>
  </TitlesOfParts>
  <Company>MRC</Company>
  <LinksUpToDate>false</LinksUpToDate>
  <CharactersWithSpaces>6406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Rachel Cooper</dc:creator>
  <cp:lastModifiedBy>Imran Shah</cp:lastModifiedBy>
  <cp:revision>29</cp:revision>
  <dcterms:created xsi:type="dcterms:W3CDTF">2022-08-09T11:38:00Z</dcterms:created>
  <dcterms:modified xsi:type="dcterms:W3CDTF">2024-03-19T17:28:00Z</dcterms:modified>
</cp:coreProperties>
</file>