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51F19" w14:textId="1D12D35B" w:rsidR="00BC385B" w:rsidRDefault="00BC385B" w:rsidP="00BC385B">
      <w:pPr>
        <w:pStyle w:val="Heading1"/>
      </w:pPr>
      <w:r>
        <w:t xml:space="preserve">Documentation - </w:t>
      </w:r>
      <w:r w:rsidRPr="00BC385B">
        <w:t>I46_amyloidstatus_erodedwm</w:t>
      </w:r>
      <w:r>
        <w:t xml:space="preserve"> – Insight46 Wave 1</w:t>
      </w:r>
    </w:p>
    <w:p w14:paraId="14DD4B44"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3BCB75CD" w14:textId="77777777" w:rsidTr="00BA5901">
        <w:trPr>
          <w:jc w:val="center"/>
        </w:trPr>
        <w:tc>
          <w:tcPr>
            <w:tcW w:w="3510" w:type="dxa"/>
          </w:tcPr>
          <w:p w14:paraId="089D1B17"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6379" w:type="dxa"/>
          </w:tcPr>
          <w:p w14:paraId="0E24FB5A" w14:textId="75E08B5F" w:rsidR="00BA5901" w:rsidRDefault="00B97836" w:rsidP="00F90CDC">
            <w:r>
              <w:t>Will Coath</w:t>
            </w:r>
          </w:p>
        </w:tc>
      </w:tr>
      <w:tr w:rsidR="00BA5901" w14:paraId="4921D631" w14:textId="77777777" w:rsidTr="00C71A21">
        <w:trPr>
          <w:trHeight w:val="453"/>
          <w:jc w:val="center"/>
        </w:trPr>
        <w:tc>
          <w:tcPr>
            <w:tcW w:w="3510" w:type="dxa"/>
          </w:tcPr>
          <w:p w14:paraId="31E5C70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57124E7C" w14:textId="77777777" w:rsidR="00F90CDC" w:rsidRPr="00F90CDC" w:rsidRDefault="00F90CDC" w:rsidP="00F90CDC">
            <w:pPr>
              <w:rPr>
                <w:b/>
                <w:vertAlign w:val="superscript"/>
              </w:rPr>
            </w:pPr>
            <w:r w:rsidRPr="00F90CDC">
              <w:rPr>
                <w:b/>
                <w:vertAlign w:val="superscript"/>
              </w:rPr>
              <w:t>(may be more than one)</w:t>
            </w:r>
          </w:p>
          <w:p w14:paraId="7459C230" w14:textId="77777777" w:rsidR="00F90CDC" w:rsidRPr="00F90CDC" w:rsidRDefault="00F90CDC" w:rsidP="00F90CDC">
            <w:pPr>
              <w:rPr>
                <w:b/>
                <w:vertAlign w:val="superscript"/>
              </w:rPr>
            </w:pPr>
          </w:p>
        </w:tc>
        <w:tc>
          <w:tcPr>
            <w:tcW w:w="6379" w:type="dxa"/>
          </w:tcPr>
          <w:p w14:paraId="327B8ECB" w14:textId="16887249" w:rsidR="00BA5901" w:rsidRDefault="004B739F" w:rsidP="00F90CDC">
            <w:r>
              <w:t>PET Florbetapir SUVRs</w:t>
            </w:r>
            <w:r w:rsidR="004C241B">
              <w:t xml:space="preserve"> (eroded WM reference region)</w:t>
            </w:r>
          </w:p>
        </w:tc>
      </w:tr>
      <w:tr w:rsidR="00646697" w14:paraId="17DCB76C" w14:textId="77777777" w:rsidTr="00BA5901">
        <w:trPr>
          <w:jc w:val="center"/>
        </w:trPr>
        <w:tc>
          <w:tcPr>
            <w:tcW w:w="3510" w:type="dxa"/>
          </w:tcPr>
          <w:p w14:paraId="3CCDE4F0"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6379" w:type="dxa"/>
          </w:tcPr>
          <w:p w14:paraId="5D0ADE8B" w14:textId="2644A6ED" w:rsidR="00C81D38" w:rsidRDefault="00CD74AD" w:rsidP="00F90CDC">
            <w:r>
              <w:t xml:space="preserve">1. </w:t>
            </w:r>
            <w:r w:rsidR="00C81D38">
              <w:t>Blood and cerebrospinal fluid biomarkers in Alzheimer’s disease – from clinical to preclinical cohorts. PhD thesis (Ashvini Keshavan).</w:t>
            </w:r>
          </w:p>
          <w:p w14:paraId="2AFFDFC5" w14:textId="77777777" w:rsidR="00C81D38" w:rsidRDefault="00C81D38" w:rsidP="00F90CDC"/>
          <w:p w14:paraId="63A51B80" w14:textId="404C7D39" w:rsidR="00976E2C" w:rsidRDefault="00CD74AD" w:rsidP="00F90CDC">
            <w:r>
              <w:t xml:space="preserve">2. </w:t>
            </w:r>
            <w:r w:rsidR="00C81D38">
              <w:t>Plasma amyloid, tau and serum neurofilament light chain in Insight 46 – associations with cognition and brain imaging. AAIC 2019 poster (Keshavan et al.)</w:t>
            </w:r>
          </w:p>
          <w:p w14:paraId="7D7B1667" w14:textId="77777777" w:rsidR="00C81D38" w:rsidRDefault="00C81D38" w:rsidP="00F90CDC"/>
          <w:p w14:paraId="0BC48D4B" w14:textId="06BBBC45" w:rsidR="00C81D38" w:rsidRDefault="00CD74AD" w:rsidP="00F90CDC">
            <w:r>
              <w:t xml:space="preserve">3. </w:t>
            </w:r>
            <w:r w:rsidR="00C81D38" w:rsidRPr="00C81D38">
              <w:t>The Insight 46 Cohort – Relationships with Cerebral PET Amyloid positivity Using Two Independent Methods for Plasma Amyloid Beta Measurement</w:t>
            </w:r>
            <w:r w:rsidR="00C81D38">
              <w:t>. AAIC 2019 Featured Research Session Oral presentation. (Schott et al.)</w:t>
            </w:r>
          </w:p>
          <w:p w14:paraId="6B3262C1" w14:textId="07036F17" w:rsidR="00C82847" w:rsidRDefault="00C82847" w:rsidP="00F90CDC"/>
          <w:p w14:paraId="29C98B44" w14:textId="2AADF193" w:rsidR="00C82847" w:rsidRDefault="00C82847" w:rsidP="00F90CDC">
            <w:r>
              <w:t xml:space="preserve">4. </w:t>
            </w:r>
            <w:r w:rsidRPr="00C82847">
              <w:t>Associations between blood pressure across adulthood and late-life brain structure and pathology in the neuroscience substudy of the 1946 British birth cohort (Insight 46): an epidemiological study. The Lancet Neurology.</w:t>
            </w:r>
            <w:r>
              <w:t xml:space="preserve"> (Lane et al. 2019)</w:t>
            </w:r>
          </w:p>
          <w:p w14:paraId="41D4B2D0" w14:textId="0E6D29CD" w:rsidR="00C81D38" w:rsidRDefault="00C81D38" w:rsidP="00F90CDC"/>
        </w:tc>
      </w:tr>
    </w:tbl>
    <w:p w14:paraId="429E154D" w14:textId="72E71799" w:rsidR="00C32753" w:rsidRDefault="00C32753" w:rsidP="00F90CDC"/>
    <w:p w14:paraId="67ED9C1B" w14:textId="130EDBCA" w:rsidR="00C81D38" w:rsidRPr="008D35EA" w:rsidRDefault="008D35EA" w:rsidP="00F90CDC">
      <w:pPr>
        <w:rPr>
          <w:b/>
        </w:rPr>
      </w:pPr>
      <w:r w:rsidRPr="008D35EA">
        <w:rPr>
          <w:b/>
        </w:rPr>
        <w:t>Methods:</w:t>
      </w:r>
    </w:p>
    <w:p w14:paraId="618A0C31" w14:textId="59BCAE7F" w:rsidR="004B739F" w:rsidRDefault="004C241B" w:rsidP="00F90CDC">
      <w:r w:rsidRPr="004C241B">
        <w:rPr>
          <w:b/>
        </w:rPr>
        <w:t>Adapted from:</w:t>
      </w:r>
      <w:r>
        <w:t xml:space="preserve"> </w:t>
      </w:r>
      <w:r w:rsidRPr="004C241B">
        <w:t>Lane, C. A., Parker, T. D., Cash, D. M., Macpherson, K., Donnachie, E., Murray-Smith, H., ... &amp; Brown, D. (2017). Study protocol: Insight 46–a neuroscience sub-study of the mrc national survey of health and development. BMC neurology, 17(1), 75.</w:t>
      </w:r>
    </w:p>
    <w:p w14:paraId="367F33C6" w14:textId="0BB2B143" w:rsidR="004C241B" w:rsidRPr="004C241B" w:rsidRDefault="004C241B" w:rsidP="00F90CDC">
      <w:pPr>
        <w:rPr>
          <w:b/>
        </w:rPr>
      </w:pPr>
      <w:r w:rsidRPr="004C241B">
        <w:rPr>
          <w:b/>
        </w:rPr>
        <w:br/>
        <w:t xml:space="preserve">Image </w:t>
      </w:r>
      <w:r w:rsidR="009C611C" w:rsidRPr="004C241B">
        <w:rPr>
          <w:b/>
        </w:rPr>
        <w:t>Acquisition</w:t>
      </w:r>
      <w:r w:rsidRPr="004C241B">
        <w:rPr>
          <w:b/>
        </w:rPr>
        <w:t>:</w:t>
      </w:r>
    </w:p>
    <w:p w14:paraId="0AACBDD9" w14:textId="0FA65A50" w:rsidR="004B739F" w:rsidRDefault="004B739F" w:rsidP="00F90CDC">
      <w:r>
        <w:t xml:space="preserve">Scanning </w:t>
      </w:r>
      <w:r w:rsidR="004C241B">
        <w:t xml:space="preserve">was </w:t>
      </w:r>
      <w:r>
        <w:t xml:space="preserve">performed on a </w:t>
      </w:r>
      <w:r w:rsidRPr="004B739F">
        <w:t>Biograph mMR 3 T PET/MRI scanner (Siemens Healthcare, Erlangen)</w:t>
      </w:r>
      <w:r w:rsidR="004C241B">
        <w:t xml:space="preserve">. </w:t>
      </w:r>
      <w:r w:rsidRPr="004B739F">
        <w:t xml:space="preserve">Amyloid load is assessed using the 18F amyloid PET ligand, florbetapir. After intravenous cannulation, 370 MBq florbetapir F18 (Amyvid) is injected. PET data are acquired continuously during and following injection to allow florbetapir uptake dynamics to be assessed. Final amyloid burden is assessed over a 10-min period, ~50 min after injection, with scope for the previous 10-min period to be used if longer scan periods are not tolerated. </w:t>
      </w:r>
      <w:commentRangeStart w:id="0"/>
      <w:r w:rsidRPr="004B739F">
        <w:t>PET data, acquired in list-mode, is reconstructed using a 3D ordered-subset expectation-maximisation algorithm with three iterations and 21 subsets, and smoothed with a 4 mm Gaussian kernel.</w:t>
      </w:r>
      <w:commentRangeEnd w:id="0"/>
      <w:r w:rsidR="009C611C">
        <w:rPr>
          <w:rStyle w:val="CommentReference"/>
        </w:rPr>
        <w:commentReference w:id="0"/>
      </w:r>
      <w:r w:rsidRPr="004B739F">
        <w:t xml:space="preserve"> Attenuation maps are computed from the T1-weighted and T2-weighted volumetric scans using a multi-atlas CT synthesis method [76], also known as pseudo-CT (pCT). </w:t>
      </w:r>
    </w:p>
    <w:p w14:paraId="7BE35BCB" w14:textId="5C456571" w:rsidR="004C241B" w:rsidRDefault="004C241B" w:rsidP="00F90CDC"/>
    <w:p w14:paraId="6D519310" w14:textId="07C4EBD3" w:rsidR="004C241B" w:rsidRDefault="004C241B" w:rsidP="00F90CDC">
      <w:pPr>
        <w:rPr>
          <w:b/>
        </w:rPr>
      </w:pPr>
      <w:r w:rsidRPr="004C241B">
        <w:rPr>
          <w:b/>
        </w:rPr>
        <w:t xml:space="preserve">Image Processing: </w:t>
      </w:r>
    </w:p>
    <w:p w14:paraId="2897AD29" w14:textId="5B766CEC" w:rsidR="004C241B" w:rsidRDefault="004C241B" w:rsidP="00F90CDC">
      <w:pPr>
        <w:rPr>
          <w:shd w:val="clear" w:color="auto" w:fill="FFFFFF"/>
        </w:rPr>
      </w:pPr>
      <w:r w:rsidRPr="004C241B">
        <w:lastRenderedPageBreak/>
        <w:t xml:space="preserve">T1 images </w:t>
      </w:r>
      <w:r>
        <w:t>were</w:t>
      </w:r>
      <w:r w:rsidRPr="004C241B">
        <w:t xml:space="preserve"> parcellated using GIF v3 and then parcellations </w:t>
      </w:r>
      <w:r>
        <w:t>were</w:t>
      </w:r>
      <w:r w:rsidRPr="004C241B">
        <w:t xml:space="preserve"> registered </w:t>
      </w:r>
      <w:r>
        <w:t>to</w:t>
      </w:r>
      <w:r w:rsidRPr="004C241B">
        <w:t xml:space="preserve"> the PET images.</w:t>
      </w:r>
      <w:r>
        <w:t xml:space="preserve"> Global s</w:t>
      </w:r>
      <w:r w:rsidRPr="004C241B">
        <w:t>tandardised uptake value ratios (SUVR</w:t>
      </w:r>
      <w:r>
        <w:t>s</w:t>
      </w:r>
      <w:r w:rsidRPr="004C241B">
        <w:t xml:space="preserve">) </w:t>
      </w:r>
      <w:r>
        <w:t>were</w:t>
      </w:r>
      <w:r w:rsidRPr="004C241B">
        <w:t xml:space="preserve"> calculated</w:t>
      </w:r>
      <w:r>
        <w:t xml:space="preserve"> </w:t>
      </w:r>
      <w:r w:rsidR="00C82847">
        <w:t xml:space="preserve">from a composite cortical target region normalised to an </w:t>
      </w:r>
      <w:r>
        <w:t xml:space="preserve">eroded white matter reference region and with and without </w:t>
      </w:r>
      <w:r w:rsidR="009C611C">
        <w:t>partial volume correction (</w:t>
      </w:r>
      <w:r>
        <w:t>PVC</w:t>
      </w:r>
      <w:r w:rsidR="009C611C">
        <w:t>) using the Discrete Iterative Yang technique</w:t>
      </w:r>
      <w:r>
        <w:t>.</w:t>
      </w:r>
      <w:r w:rsidR="00C82847">
        <w:t xml:space="preserve"> </w:t>
      </w:r>
      <w:r>
        <w:rPr>
          <w:shd w:val="clear" w:color="auto" w:fill="FFFFFF"/>
        </w:rPr>
        <w:t>Positive  or  negative  amyloid</w:t>
      </w:r>
      <w:r w:rsidR="00C82847">
        <w:rPr>
          <w:shd w:val="clear" w:color="auto" w:fill="FFFFFF"/>
        </w:rPr>
        <w:t xml:space="preserve"> </w:t>
      </w:r>
      <w:r>
        <w:rPr>
          <w:shd w:val="clear" w:color="auto" w:fill="FFFFFF"/>
        </w:rPr>
        <w:t xml:space="preserve">status  was  determined  using  a  Gaussian  mixture  model  applied  to  </w:t>
      </w:r>
      <w:r w:rsidR="00C82847">
        <w:rPr>
          <w:shd w:val="clear" w:color="auto" w:fill="FFFFFF"/>
        </w:rPr>
        <w:t>SUVRs</w:t>
      </w:r>
      <w:r>
        <w:rPr>
          <w:shd w:val="clear" w:color="auto" w:fill="FFFFFF"/>
        </w:rPr>
        <w:t xml:space="preserve">,  </w:t>
      </w:r>
      <w:r w:rsidR="00C82847">
        <w:rPr>
          <w:shd w:val="clear" w:color="auto" w:fill="FFFFFF"/>
        </w:rPr>
        <w:t>with</w:t>
      </w:r>
      <w:r>
        <w:rPr>
          <w:shd w:val="clear" w:color="auto" w:fill="FFFFFF"/>
        </w:rPr>
        <w:t xml:space="preserve">  the  99th  percentile  of  the  lower  Gaussian  as  the  cutoff  (0·6104).</w:t>
      </w:r>
    </w:p>
    <w:p w14:paraId="693D73B9" w14:textId="758D5FD0" w:rsidR="009C611C" w:rsidRDefault="009C611C" w:rsidP="00F90CDC"/>
    <w:p w14:paraId="4BA1A613" w14:textId="0B6D162D" w:rsidR="009C611C" w:rsidRPr="004C241B" w:rsidRDefault="009C611C" w:rsidP="00F90CDC">
      <w:r w:rsidRPr="004C329C">
        <w:rPr>
          <w:b/>
        </w:rPr>
        <w:t>PLEASE NOTE</w:t>
      </w:r>
      <w:r>
        <w:t xml:space="preserve"> that this pipeline has been performed for the cross-sectional analysis of SUVR only. SUVR will be computed in a longitudinally consistent fashion on both timepoints, and this may result in small changes in SUVR (&lt;0.5% in most cases and &lt; 2% in nearly all cases) when comparing values generated in cross-sectional pipeline with those in the longitudinal pipeline. </w:t>
      </w:r>
    </w:p>
    <w:sectPr w:rsidR="009C611C" w:rsidRPr="004C241B" w:rsidSect="00BA5901">
      <w:pgSz w:w="11906" w:h="16838"/>
      <w:pgMar w:top="1418" w:right="1418" w:bottom="1418"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ker" w:date="2019-09-27T10:35:00Z" w:initials="M">
    <w:p w14:paraId="032AFF57" w14:textId="65C0895B" w:rsidR="009C611C" w:rsidRDefault="009C611C">
      <w:pPr>
        <w:pStyle w:val="CommentText"/>
      </w:pPr>
      <w:r>
        <w:rPr>
          <w:rStyle w:val="CommentReference"/>
        </w:rPr>
        <w:annotationRef/>
      </w:r>
      <w:r>
        <w:t>I need to check if this is what is setup for the PCT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2AFF5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2AFF57" w16cid:durableId="213864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420"/>
    <w:multiLevelType w:val="hybridMultilevel"/>
    <w:tmpl w:val="CE10E8BC"/>
    <w:lvl w:ilvl="0" w:tplc="0178D5A6">
      <w:start w:val="149"/>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A459A2"/>
    <w:multiLevelType w:val="hybridMultilevel"/>
    <w:tmpl w:val="D19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7849A9"/>
    <w:multiLevelType w:val="hybridMultilevel"/>
    <w:tmpl w:val="34B21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113B6B"/>
    <w:multiLevelType w:val="hybridMultilevel"/>
    <w:tmpl w:val="66A0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D17AB"/>
    <w:multiLevelType w:val="hybridMultilevel"/>
    <w:tmpl w:val="70225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4"/>
  </w:num>
  <w:num w:numId="4">
    <w:abstractNumId w:val="2"/>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revisionView w:comments="0" w:insDel="0"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206E6"/>
    <w:rsid w:val="000F182E"/>
    <w:rsid w:val="001C29D0"/>
    <w:rsid w:val="001C469B"/>
    <w:rsid w:val="001E3526"/>
    <w:rsid w:val="002276F8"/>
    <w:rsid w:val="00237780"/>
    <w:rsid w:val="00272549"/>
    <w:rsid w:val="00303C86"/>
    <w:rsid w:val="00472B1E"/>
    <w:rsid w:val="004B739F"/>
    <w:rsid w:val="004C241B"/>
    <w:rsid w:val="004C329C"/>
    <w:rsid w:val="004D1FF9"/>
    <w:rsid w:val="006337F5"/>
    <w:rsid w:val="00646697"/>
    <w:rsid w:val="006741EE"/>
    <w:rsid w:val="006D0C37"/>
    <w:rsid w:val="00745FC7"/>
    <w:rsid w:val="008542EC"/>
    <w:rsid w:val="00857C7E"/>
    <w:rsid w:val="008D35EA"/>
    <w:rsid w:val="00923613"/>
    <w:rsid w:val="00976E2C"/>
    <w:rsid w:val="009C611C"/>
    <w:rsid w:val="009D52B2"/>
    <w:rsid w:val="00A06783"/>
    <w:rsid w:val="00A24279"/>
    <w:rsid w:val="00A25719"/>
    <w:rsid w:val="00A319BF"/>
    <w:rsid w:val="00B77209"/>
    <w:rsid w:val="00B97836"/>
    <w:rsid w:val="00BA5901"/>
    <w:rsid w:val="00BC385B"/>
    <w:rsid w:val="00C32753"/>
    <w:rsid w:val="00C71A21"/>
    <w:rsid w:val="00C81D38"/>
    <w:rsid w:val="00C82847"/>
    <w:rsid w:val="00C848F1"/>
    <w:rsid w:val="00CD74AD"/>
    <w:rsid w:val="00D16E36"/>
    <w:rsid w:val="00D50501"/>
    <w:rsid w:val="00DA2752"/>
    <w:rsid w:val="00E94014"/>
    <w:rsid w:val="00EE1F7C"/>
    <w:rsid w:val="00F90CDC"/>
    <w:rsid w:val="00F919E3"/>
    <w:rsid w:val="00F956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A64E"/>
  <w15:docId w15:val="{B627F47B-3584-4AA6-9D38-D8722E8D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CommentReference">
    <w:name w:val="annotation reference"/>
    <w:basedOn w:val="DefaultParagraphFont"/>
    <w:uiPriority w:val="99"/>
    <w:semiHidden/>
    <w:unhideWhenUsed/>
    <w:rsid w:val="009C611C"/>
    <w:rPr>
      <w:sz w:val="16"/>
      <w:szCs w:val="16"/>
    </w:rPr>
  </w:style>
  <w:style w:type="paragraph" w:styleId="CommentText">
    <w:name w:val="annotation text"/>
    <w:basedOn w:val="Normal"/>
    <w:link w:val="CommentTextChar"/>
    <w:uiPriority w:val="99"/>
    <w:semiHidden/>
    <w:unhideWhenUsed/>
    <w:rsid w:val="009C611C"/>
    <w:pPr>
      <w:spacing w:line="240" w:lineRule="auto"/>
    </w:pPr>
    <w:rPr>
      <w:szCs w:val="20"/>
    </w:rPr>
  </w:style>
  <w:style w:type="character" w:customStyle="1" w:styleId="CommentTextChar">
    <w:name w:val="Comment Text Char"/>
    <w:basedOn w:val="DefaultParagraphFont"/>
    <w:link w:val="CommentText"/>
    <w:uiPriority w:val="99"/>
    <w:semiHidden/>
    <w:rsid w:val="009C611C"/>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C611C"/>
    <w:rPr>
      <w:b/>
      <w:bCs/>
    </w:rPr>
  </w:style>
  <w:style w:type="character" w:customStyle="1" w:styleId="CommentSubjectChar">
    <w:name w:val="Comment Subject Char"/>
    <w:basedOn w:val="CommentTextChar"/>
    <w:link w:val="CommentSubject"/>
    <w:uiPriority w:val="99"/>
    <w:semiHidden/>
    <w:rsid w:val="009C611C"/>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394535">
      <w:bodyDiv w:val="1"/>
      <w:marLeft w:val="0"/>
      <w:marRight w:val="0"/>
      <w:marTop w:val="0"/>
      <w:marBottom w:val="0"/>
      <w:divBdr>
        <w:top w:val="none" w:sz="0" w:space="0" w:color="auto"/>
        <w:left w:val="none" w:sz="0" w:space="0" w:color="auto"/>
        <w:bottom w:val="none" w:sz="0" w:space="0" w:color="auto"/>
        <w:right w:val="none" w:sz="0" w:space="0" w:color="auto"/>
      </w:divBdr>
    </w:div>
    <w:div w:id="126873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7</cp:revision>
  <dcterms:created xsi:type="dcterms:W3CDTF">2019-09-27T09:40:00Z</dcterms:created>
  <dcterms:modified xsi:type="dcterms:W3CDTF">2025-02-28T13:18:00Z</dcterms:modified>
</cp:coreProperties>
</file>