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2F3F0" w14:textId="6BA5D098" w:rsidR="001C469B" w:rsidRDefault="00B0623F" w:rsidP="00A25719">
      <w:pPr>
        <w:pStyle w:val="Heading1"/>
      </w:pPr>
      <w:r>
        <w:t xml:space="preserve">Documentation - </w:t>
      </w:r>
      <w:r w:rsidRPr="00B0623F">
        <w:t>I46_apoe</w:t>
      </w:r>
      <w:r w:rsidR="00475AFC">
        <w:t xml:space="preserve"> – </w:t>
      </w:r>
      <w:r w:rsidR="009B6D1E">
        <w:t xml:space="preserve">Insight46 </w:t>
      </w:r>
      <w:r w:rsidR="00475AFC">
        <w:t>Wave 1</w:t>
      </w:r>
    </w:p>
    <w:p w14:paraId="5504ED2B" w14:textId="44B211BD" w:rsidR="00A25719" w:rsidRPr="00A25719" w:rsidRDefault="00A25719" w:rsidP="00A25719">
      <w:pPr>
        <w:pStyle w:val="Heading2"/>
        <w:jc w:val="center"/>
      </w:pPr>
    </w:p>
    <w:tbl>
      <w:tblPr>
        <w:tblStyle w:val="TableGrid"/>
        <w:tblW w:w="9889" w:type="dxa"/>
        <w:jc w:val="center"/>
        <w:tblLook w:val="04A0" w:firstRow="1" w:lastRow="0" w:firstColumn="1" w:lastColumn="0" w:noHBand="0" w:noVBand="1"/>
      </w:tblPr>
      <w:tblGrid>
        <w:gridCol w:w="3510"/>
        <w:gridCol w:w="6379"/>
      </w:tblGrid>
      <w:tr w:rsidR="00BA5901" w14:paraId="46A9E49F" w14:textId="77777777" w:rsidTr="00BA5901">
        <w:trPr>
          <w:jc w:val="center"/>
        </w:trPr>
        <w:tc>
          <w:tcPr>
            <w:tcW w:w="3510" w:type="dxa"/>
          </w:tcPr>
          <w:p w14:paraId="165CEBA7"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05C92C1B" w14:textId="77777777" w:rsidR="00F90CDC" w:rsidRPr="00F90CDC" w:rsidRDefault="00F90CDC" w:rsidP="00F90CDC">
            <w:pPr>
              <w:rPr>
                <w:b/>
                <w:vertAlign w:val="superscript"/>
              </w:rPr>
            </w:pPr>
            <w:r w:rsidRPr="00F90CDC">
              <w:rPr>
                <w:b/>
                <w:vertAlign w:val="superscript"/>
              </w:rPr>
              <w:t>(may be more than one)</w:t>
            </w:r>
          </w:p>
          <w:p w14:paraId="11ADB166" w14:textId="77777777" w:rsidR="00F90CDC" w:rsidRPr="00F90CDC" w:rsidRDefault="00F90CDC" w:rsidP="00F90CDC">
            <w:pPr>
              <w:rPr>
                <w:b/>
                <w:vertAlign w:val="superscript"/>
              </w:rPr>
            </w:pPr>
          </w:p>
        </w:tc>
        <w:tc>
          <w:tcPr>
            <w:tcW w:w="6379" w:type="dxa"/>
          </w:tcPr>
          <w:p w14:paraId="4F7B4243" w14:textId="40A73317" w:rsidR="00BA5901" w:rsidRDefault="004235DA" w:rsidP="00F90CDC">
            <w:r>
              <w:t>Genetic</w:t>
            </w:r>
          </w:p>
        </w:tc>
      </w:tr>
    </w:tbl>
    <w:p w14:paraId="22C82E45" w14:textId="77777777" w:rsidR="004235DA" w:rsidRDefault="004235DA" w:rsidP="00170DAC"/>
    <w:p w14:paraId="660356B7" w14:textId="72CD7F47" w:rsidR="00170DAC" w:rsidRPr="006C115A" w:rsidRDefault="004235DA" w:rsidP="00170DAC">
      <w:r w:rsidRPr="004235DA">
        <w:rPr>
          <w:b/>
          <w:i/>
        </w:rPr>
        <w:t>APOE</w:t>
      </w:r>
      <w:r>
        <w:rPr>
          <w:b/>
        </w:rPr>
        <w:t xml:space="preserve"> status</w:t>
      </w:r>
      <w:r w:rsidR="00170DAC" w:rsidRPr="00073D03">
        <w:rPr>
          <w:b/>
        </w:rPr>
        <w:t xml:space="preserve"> (Phase 1 Insight 46) (2019-CL)</w:t>
      </w:r>
    </w:p>
    <w:p w14:paraId="7E8CE7C3" w14:textId="77F1885E" w:rsidR="00170DAC" w:rsidRDefault="00E65377" w:rsidP="00627354">
      <w:r w:rsidRPr="00CC4157">
        <w:rPr>
          <w:i/>
        </w:rPr>
        <w:t>APOE</w:t>
      </w:r>
      <w:r w:rsidRPr="00FA0A43">
        <w:t xml:space="preserve"> genotype </w:t>
      </w:r>
      <w:r>
        <w:t>was determined using the</w:t>
      </w:r>
      <w:r w:rsidR="00FA0A43" w:rsidRPr="00FA0A43">
        <w:t xml:space="preserve"> two SNPs, rs439358 and rs7412, using genetic data derived from a blood sample at age 53,</w:t>
      </w:r>
      <w:r w:rsidR="00FA0A43" w:rsidRPr="00E65377">
        <w:rPr>
          <w:vertAlign w:val="superscript"/>
        </w:rPr>
        <w:fldChar w:fldCharType="begin" w:fldLock="1"/>
      </w:r>
      <w:r>
        <w:rPr>
          <w:vertAlign w:val="superscript"/>
        </w:rPr>
        <w:instrText xml:space="preserve">ADDIN CSL_CITATION {"citationItems":[{"id":"ITEM-1","itemData":{"DOI":"10.1038/s41398-017-0064-8","ISBN":"4139801700","ISSN":"21583188","abstract":"We tested the association between APOE-ε4 and processing speed and memory between ages 43 and 69 in a population-based birth cohort. Analyses of processing speed (using a timed letter search task) and episodic memory (a 15-item word learning test) were conducted at ages 43, 53, 60–64 and 69 years using linear and multivariable regression, adjusting for gender and childhood cognition. Linear mixed models, with random intercepts and slopes, were conducted to test the association between APOE and the rate of decline in these cognitive scores from age 43 to 69. Model fit was assessed with the Bayesian Information Criterion. A cross-sectional association between APOE-ε4 and memory scores was detected at age 69 for both heterozygotes and homozygotes (β = −0.68 and β = −1.38, respectively, p = 0.03) with stronger associations in homozygotes; no associations were observed before this age. Homozygous carriers of APOE-ε4 had a faster rate of decline in memory between ages 43 and 69, when compared to non-carriers, after adjusting for gender and childhood cognition (β = −0.05, p = 0.04). There were no cross-sectional or longitudinal associations between APOE-ε4 and processing speed. We conclude that APOE-ε4 is associated with a subtly faster rate of memory decline from midlife to early old age; this may be due to effects of APOE-ε4 becoming manifest around the latter stage of life. Continuing follow-up will determine what proportion of this increase will become clinically significant.","author":[{"dropping-particle":"","family":"Rawle","given":"Mark James","non-dropping-particle":"","parse-names":false,"suffix":""},{"dropping-particle":"","family":"Davis","given":"Daniel","non-dropping-particle":"","parse-names":false,"suffix":""},{"dropping-particle":"","family":"Bendayan","given":"Rebecca","non-dropping-particle":"","parse-names":false,"suffix":""},{"dropping-particle":"","family":"Wong","given":"Andrew","non-dropping-particle":"","parse-names":false,"suffix":""},{"dropping-particle":"","family":"Kuh","given":"Diana","non-dropping-particle":"","parse-names":false,"suffix":""},{"dropping-particle":"","family":"Richards","given":"Marcus","non-dropping-particle":"","parse-names":false,"suffix":""}],"container-title":"Translational Psychiatry","id":"ITEM-1","issue":"8(1)","issued":{"date-parts":[["2018"]]},"page":"18","title":"Apolipoprotein-E (Apoe) </w:instrText>
      </w:r>
      <w:r>
        <w:rPr>
          <w:rFonts w:ascii="Calibri" w:hAnsi="Calibri" w:cs="Calibri"/>
          <w:vertAlign w:val="superscript"/>
        </w:rPr>
        <w:instrText>ϵ</w:instrText>
      </w:r>
      <w:r>
        <w:rPr>
          <w:vertAlign w:val="superscript"/>
        </w:rPr>
        <w:instrText>4 and cognitive decline over the adult life course","type":"article-journal","volume":"10"},"uris":["http://www.mendeley.com/documents/?uuid=c24ae911-e8b9-4a14-84c5-dd1ae908e521"]}],"mendeley":{"formattedCitation":"&lt;sup&gt;1&lt;/sup&gt;","plainTextFormattedCitation":"1","previouslyFormattedCitation":"&lt;sup&gt;27&lt;/sup&gt;"},"properties":{"noteIndex":0},"schema":"https://github.com/citation-style-language/schema/raw/master/csl-citation.json"}</w:instrText>
      </w:r>
      <w:r w:rsidR="00FA0A43" w:rsidRPr="00E65377">
        <w:rPr>
          <w:vertAlign w:val="superscript"/>
        </w:rPr>
        <w:fldChar w:fldCharType="separate"/>
      </w:r>
      <w:r w:rsidRPr="00E65377">
        <w:rPr>
          <w:noProof/>
          <w:vertAlign w:val="superscript"/>
        </w:rPr>
        <w:t>1</w:t>
      </w:r>
      <w:r w:rsidR="00FA0A43" w:rsidRPr="00E65377">
        <w:rPr>
          <w:vertAlign w:val="superscript"/>
        </w:rPr>
        <w:fldChar w:fldCharType="end"/>
      </w:r>
      <w:r w:rsidR="00FA0A43" w:rsidRPr="00FA0A43">
        <w:t xml:space="preserve"> or if missing, a blood sample at age 69-71 years. </w:t>
      </w:r>
      <w:r>
        <w:t>Individuals were coded according to the presence of e2, e3 and e4 alleles.</w:t>
      </w:r>
    </w:p>
    <w:p w14:paraId="080980FA" w14:textId="0BF7F2E2" w:rsidR="00E65377" w:rsidRDefault="00E65377" w:rsidP="00627354">
      <w:r>
        <w:t>Two Insight 46 participants did not have available data at age 53 or 69-71 years.</w:t>
      </w:r>
    </w:p>
    <w:p w14:paraId="7EA4180D" w14:textId="16A5F696" w:rsidR="00170DAC" w:rsidRDefault="00170DAC" w:rsidP="00170DAC">
      <w:pPr>
        <w:spacing w:after="0" w:line="240" w:lineRule="auto"/>
        <w:rPr>
          <w:b/>
        </w:rPr>
      </w:pPr>
      <w:r w:rsidRPr="00573619">
        <w:rPr>
          <w:b/>
        </w:rPr>
        <w:t>Variable:</w:t>
      </w:r>
    </w:p>
    <w:p w14:paraId="783BA06F" w14:textId="77777777" w:rsidR="00170DAC" w:rsidRDefault="00170DAC" w:rsidP="00170DAC">
      <w:pPr>
        <w:spacing w:after="0" w:line="240" w:lineRule="auto"/>
        <w:rPr>
          <w:b/>
        </w:rPr>
      </w:pPr>
    </w:p>
    <w:p w14:paraId="2286A9F4" w14:textId="2B03B563" w:rsidR="00170DAC" w:rsidRDefault="00B0623F" w:rsidP="00170DAC">
      <w:pPr>
        <w:spacing w:after="0" w:line="240" w:lineRule="auto"/>
      </w:pPr>
      <w:r w:rsidRPr="00B0623F">
        <w:rPr>
          <w:b/>
        </w:rPr>
        <w:t>ins_apoe_I46P1</w:t>
      </w:r>
      <w:r w:rsidR="00170DAC">
        <w:rPr>
          <w:b/>
        </w:rPr>
        <w:t xml:space="preserve">– </w:t>
      </w:r>
      <w:r w:rsidR="00E65377" w:rsidRPr="00CC4157">
        <w:rPr>
          <w:i/>
        </w:rPr>
        <w:t>APOE</w:t>
      </w:r>
      <w:r w:rsidR="00E65377">
        <w:t xml:space="preserve"> genotype</w:t>
      </w:r>
    </w:p>
    <w:p w14:paraId="25106BB0" w14:textId="77777777" w:rsidR="006C115A" w:rsidRDefault="006C115A" w:rsidP="00170DAC">
      <w:pPr>
        <w:spacing w:after="0" w:line="240" w:lineRule="auto"/>
      </w:pPr>
    </w:p>
    <w:p w14:paraId="6AC5279A" w14:textId="6399F9C8" w:rsidR="00170DAC" w:rsidRDefault="00170DAC" w:rsidP="00170DAC">
      <w:pPr>
        <w:spacing w:after="0" w:line="240" w:lineRule="auto"/>
      </w:pPr>
      <w:r>
        <w:t>Coded as:</w:t>
      </w:r>
    </w:p>
    <w:p w14:paraId="288D279F" w14:textId="77777777" w:rsidR="00170DAC" w:rsidRDefault="00170DAC" w:rsidP="00170DAC">
      <w:pPr>
        <w:spacing w:after="0" w:line="240" w:lineRule="auto"/>
      </w:pPr>
    </w:p>
    <w:p w14:paraId="4A35CF29" w14:textId="6E1F2FA1" w:rsidR="00170DAC" w:rsidRDefault="00170DAC" w:rsidP="00E65377">
      <w:pPr>
        <w:pStyle w:val="ListParagraph"/>
        <w:numPr>
          <w:ilvl w:val="0"/>
          <w:numId w:val="3"/>
        </w:numPr>
        <w:spacing w:after="0" w:line="240" w:lineRule="auto"/>
      </w:pPr>
      <w:r>
        <w:t xml:space="preserve">= </w:t>
      </w:r>
      <w:r w:rsidR="00E65377">
        <w:t>genotype missing</w:t>
      </w:r>
    </w:p>
    <w:p w14:paraId="1E1D890B" w14:textId="0C9206FB" w:rsidR="00E65377" w:rsidRDefault="00E65377" w:rsidP="00E65377">
      <w:pPr>
        <w:pStyle w:val="ListParagraph"/>
        <w:numPr>
          <w:ilvl w:val="0"/>
          <w:numId w:val="3"/>
        </w:numPr>
        <w:spacing w:after="0" w:line="240" w:lineRule="auto"/>
      </w:pPr>
      <w:r>
        <w:t>= e2/e2</w:t>
      </w:r>
    </w:p>
    <w:p w14:paraId="31433191" w14:textId="0991AD9B" w:rsidR="00170DAC" w:rsidRDefault="00170DAC" w:rsidP="00E65377">
      <w:pPr>
        <w:pStyle w:val="ListParagraph"/>
        <w:numPr>
          <w:ilvl w:val="0"/>
          <w:numId w:val="3"/>
        </w:numPr>
        <w:spacing w:after="0" w:line="240" w:lineRule="auto"/>
      </w:pPr>
      <w:r>
        <w:t xml:space="preserve">= </w:t>
      </w:r>
      <w:r w:rsidR="00E65377">
        <w:t>e2/e3</w:t>
      </w:r>
    </w:p>
    <w:p w14:paraId="449B0167" w14:textId="212A5385" w:rsidR="00E65377" w:rsidRDefault="00E65377" w:rsidP="00E65377">
      <w:pPr>
        <w:pStyle w:val="ListParagraph"/>
        <w:numPr>
          <w:ilvl w:val="0"/>
          <w:numId w:val="3"/>
        </w:numPr>
        <w:spacing w:after="0" w:line="240" w:lineRule="auto"/>
      </w:pPr>
      <w:r>
        <w:t>= e2/e4</w:t>
      </w:r>
    </w:p>
    <w:p w14:paraId="6FD2CB1D" w14:textId="497D9BA2" w:rsidR="00E65377" w:rsidRDefault="00E65377" w:rsidP="00E65377">
      <w:pPr>
        <w:pStyle w:val="ListParagraph"/>
        <w:numPr>
          <w:ilvl w:val="0"/>
          <w:numId w:val="3"/>
        </w:numPr>
        <w:spacing w:after="0" w:line="240" w:lineRule="auto"/>
      </w:pPr>
      <w:r>
        <w:t>= e3/e3</w:t>
      </w:r>
    </w:p>
    <w:p w14:paraId="72C861C0" w14:textId="4C606458" w:rsidR="00E65377" w:rsidRDefault="00E65377" w:rsidP="00E65377">
      <w:pPr>
        <w:pStyle w:val="ListParagraph"/>
        <w:numPr>
          <w:ilvl w:val="0"/>
          <w:numId w:val="3"/>
        </w:numPr>
        <w:spacing w:after="0" w:line="240" w:lineRule="auto"/>
      </w:pPr>
      <w:r>
        <w:t>= e3/e4</w:t>
      </w:r>
    </w:p>
    <w:p w14:paraId="28F665AD" w14:textId="4A8E1934" w:rsidR="00E65377" w:rsidRDefault="00E65377" w:rsidP="00E65377">
      <w:pPr>
        <w:pStyle w:val="ListParagraph"/>
        <w:numPr>
          <w:ilvl w:val="0"/>
          <w:numId w:val="3"/>
        </w:numPr>
        <w:spacing w:after="0" w:line="240" w:lineRule="auto"/>
      </w:pPr>
      <w:r>
        <w:t>= e4/e4</w:t>
      </w:r>
    </w:p>
    <w:p w14:paraId="79D14D0E" w14:textId="77777777" w:rsidR="00170DAC" w:rsidRDefault="00170DAC" w:rsidP="00170DAC">
      <w:pPr>
        <w:spacing w:after="0" w:line="240" w:lineRule="auto"/>
      </w:pPr>
    </w:p>
    <w:p w14:paraId="439FB4DC" w14:textId="5238AFAE" w:rsidR="003C5656" w:rsidRDefault="00627354" w:rsidP="00F90CDC">
      <w:pPr>
        <w:rPr>
          <w:b/>
        </w:rPr>
      </w:pPr>
      <w:r w:rsidRPr="00627354">
        <w:rPr>
          <w:b/>
        </w:rPr>
        <w:t>Summary statistics</w:t>
      </w:r>
    </w:p>
    <w:tbl>
      <w:tblPr>
        <w:tblStyle w:val="TableGrid"/>
        <w:tblW w:w="0" w:type="auto"/>
        <w:tblLook w:val="04A0" w:firstRow="1" w:lastRow="0" w:firstColumn="1" w:lastColumn="0" w:noHBand="0" w:noVBand="1"/>
      </w:tblPr>
      <w:tblGrid>
        <w:gridCol w:w="3020"/>
        <w:gridCol w:w="3020"/>
        <w:gridCol w:w="3020"/>
      </w:tblGrid>
      <w:tr w:rsidR="00E65377" w14:paraId="08C5A008" w14:textId="77777777" w:rsidTr="00627354">
        <w:tc>
          <w:tcPr>
            <w:tcW w:w="3020" w:type="dxa"/>
          </w:tcPr>
          <w:p w14:paraId="4060661B" w14:textId="0B1015E1" w:rsidR="00E65377" w:rsidRPr="00E65377" w:rsidRDefault="00E65377" w:rsidP="00E65377">
            <w:pPr>
              <w:rPr>
                <w:b/>
              </w:rPr>
            </w:pPr>
            <w:r w:rsidRPr="00E65377">
              <w:rPr>
                <w:b/>
              </w:rPr>
              <w:t>APOE allele status</w:t>
            </w:r>
          </w:p>
        </w:tc>
        <w:tc>
          <w:tcPr>
            <w:tcW w:w="3020" w:type="dxa"/>
          </w:tcPr>
          <w:p w14:paraId="4D39FEBD" w14:textId="760070E8" w:rsidR="00E65377" w:rsidRDefault="00E65377" w:rsidP="00E65377">
            <w:pPr>
              <w:rPr>
                <w:b/>
              </w:rPr>
            </w:pPr>
            <w:r>
              <w:rPr>
                <w:b/>
              </w:rPr>
              <w:t>Frequency</w:t>
            </w:r>
          </w:p>
        </w:tc>
        <w:tc>
          <w:tcPr>
            <w:tcW w:w="3020" w:type="dxa"/>
          </w:tcPr>
          <w:p w14:paraId="44EE65D6" w14:textId="0518D97B" w:rsidR="00E65377" w:rsidRDefault="00E65377" w:rsidP="00E65377">
            <w:pPr>
              <w:rPr>
                <w:b/>
              </w:rPr>
            </w:pPr>
            <w:r>
              <w:rPr>
                <w:b/>
              </w:rPr>
              <w:t>Percent</w:t>
            </w:r>
          </w:p>
        </w:tc>
      </w:tr>
      <w:tr w:rsidR="00E65377" w14:paraId="392E6672" w14:textId="77777777" w:rsidTr="00627354">
        <w:tc>
          <w:tcPr>
            <w:tcW w:w="3020" w:type="dxa"/>
          </w:tcPr>
          <w:p w14:paraId="5C339F1F" w14:textId="49DB07B0" w:rsidR="00E65377" w:rsidRPr="00BE2D9D" w:rsidRDefault="00E65377" w:rsidP="00E65377">
            <w:r>
              <w:t>M</w:t>
            </w:r>
            <w:r w:rsidRPr="00454A1A">
              <w:t>issing</w:t>
            </w:r>
            <w:r>
              <w:t xml:space="preserve"> (0)</w:t>
            </w:r>
          </w:p>
        </w:tc>
        <w:tc>
          <w:tcPr>
            <w:tcW w:w="3020" w:type="dxa"/>
          </w:tcPr>
          <w:p w14:paraId="436C440D" w14:textId="7D4709A9" w:rsidR="00E65377" w:rsidRPr="00BE2D9D" w:rsidRDefault="00E65377" w:rsidP="00E65377">
            <w:r w:rsidRPr="00454A1A">
              <w:t>2</w:t>
            </w:r>
          </w:p>
        </w:tc>
        <w:tc>
          <w:tcPr>
            <w:tcW w:w="3020" w:type="dxa"/>
          </w:tcPr>
          <w:p w14:paraId="2B7B6DC2" w14:textId="2F4E2600" w:rsidR="00E65377" w:rsidRPr="00BE2D9D" w:rsidRDefault="00E65377" w:rsidP="00E65377">
            <w:r w:rsidRPr="00454A1A">
              <w:t>0.40</w:t>
            </w:r>
          </w:p>
        </w:tc>
      </w:tr>
      <w:tr w:rsidR="00CC4157" w14:paraId="30F154A6" w14:textId="77777777" w:rsidTr="00627354">
        <w:tc>
          <w:tcPr>
            <w:tcW w:w="3020" w:type="dxa"/>
          </w:tcPr>
          <w:p w14:paraId="76E61B68" w14:textId="2835EB97" w:rsidR="00CC4157" w:rsidRDefault="00CC4157" w:rsidP="00E65377">
            <w:r>
              <w:t>e2/e2 (1)</w:t>
            </w:r>
          </w:p>
        </w:tc>
        <w:tc>
          <w:tcPr>
            <w:tcW w:w="3020" w:type="dxa"/>
          </w:tcPr>
          <w:p w14:paraId="74B651B9" w14:textId="79EC3009" w:rsidR="00CC4157" w:rsidRPr="00454A1A" w:rsidRDefault="00CC4157" w:rsidP="00E65377">
            <w:r>
              <w:t>0</w:t>
            </w:r>
          </w:p>
        </w:tc>
        <w:tc>
          <w:tcPr>
            <w:tcW w:w="3020" w:type="dxa"/>
          </w:tcPr>
          <w:p w14:paraId="116A2A9C" w14:textId="74FBBEC1" w:rsidR="00CC4157" w:rsidRPr="00454A1A" w:rsidRDefault="00CC4157" w:rsidP="00E65377">
            <w:r>
              <w:t>0</w:t>
            </w:r>
          </w:p>
        </w:tc>
      </w:tr>
      <w:tr w:rsidR="00E65377" w14:paraId="3A2ACFBC" w14:textId="77777777" w:rsidTr="00627354">
        <w:tc>
          <w:tcPr>
            <w:tcW w:w="3020" w:type="dxa"/>
          </w:tcPr>
          <w:p w14:paraId="46B820CD" w14:textId="05955724" w:rsidR="00E65377" w:rsidRPr="00BE2D9D" w:rsidRDefault="00E65377" w:rsidP="00E65377">
            <w:r w:rsidRPr="00454A1A">
              <w:t>e2/e3</w:t>
            </w:r>
            <w:r>
              <w:t xml:space="preserve"> (2)</w:t>
            </w:r>
          </w:p>
        </w:tc>
        <w:tc>
          <w:tcPr>
            <w:tcW w:w="3020" w:type="dxa"/>
          </w:tcPr>
          <w:p w14:paraId="20CF2F8B" w14:textId="5CA1737B" w:rsidR="00E65377" w:rsidRPr="00BE2D9D" w:rsidRDefault="00E65377" w:rsidP="00E65377">
            <w:r w:rsidRPr="00454A1A">
              <w:t>72</w:t>
            </w:r>
          </w:p>
        </w:tc>
        <w:tc>
          <w:tcPr>
            <w:tcW w:w="3020" w:type="dxa"/>
          </w:tcPr>
          <w:p w14:paraId="475F9D85" w14:textId="54EF2CCE" w:rsidR="00E65377" w:rsidRPr="00BE2D9D" w:rsidRDefault="00E65377" w:rsidP="00E65377">
            <w:r w:rsidRPr="00454A1A">
              <w:t>14.34</w:t>
            </w:r>
          </w:p>
        </w:tc>
      </w:tr>
      <w:tr w:rsidR="00E65377" w14:paraId="3FD4D826" w14:textId="77777777" w:rsidTr="00627354">
        <w:tc>
          <w:tcPr>
            <w:tcW w:w="3020" w:type="dxa"/>
          </w:tcPr>
          <w:p w14:paraId="52802C58" w14:textId="125D259B" w:rsidR="00E65377" w:rsidRPr="00BE2D9D" w:rsidRDefault="00E65377" w:rsidP="00E65377">
            <w:r w:rsidRPr="00454A1A">
              <w:t>e2/e4</w:t>
            </w:r>
            <w:r w:rsidR="00CC4157">
              <w:t xml:space="preserve"> (3)</w:t>
            </w:r>
          </w:p>
        </w:tc>
        <w:tc>
          <w:tcPr>
            <w:tcW w:w="3020" w:type="dxa"/>
          </w:tcPr>
          <w:p w14:paraId="1A31FFD1" w14:textId="2A9EF5DB" w:rsidR="00E65377" w:rsidRPr="00BE2D9D" w:rsidRDefault="00E65377" w:rsidP="00E65377">
            <w:r w:rsidRPr="00454A1A">
              <w:t>11</w:t>
            </w:r>
          </w:p>
        </w:tc>
        <w:tc>
          <w:tcPr>
            <w:tcW w:w="3020" w:type="dxa"/>
          </w:tcPr>
          <w:p w14:paraId="0B2FB238" w14:textId="5DB0A324" w:rsidR="00E65377" w:rsidRPr="00BE2D9D" w:rsidRDefault="00E65377" w:rsidP="00E65377">
            <w:r w:rsidRPr="00454A1A">
              <w:t>2.19</w:t>
            </w:r>
          </w:p>
        </w:tc>
      </w:tr>
      <w:tr w:rsidR="00E65377" w14:paraId="29732CB8" w14:textId="77777777" w:rsidTr="00627354">
        <w:tc>
          <w:tcPr>
            <w:tcW w:w="3020" w:type="dxa"/>
          </w:tcPr>
          <w:p w14:paraId="617CBD1A" w14:textId="7AC4460A" w:rsidR="00E65377" w:rsidRPr="00BE2D9D" w:rsidRDefault="00E65377" w:rsidP="00E65377">
            <w:r w:rsidRPr="00454A1A">
              <w:t>e3/e3</w:t>
            </w:r>
            <w:r w:rsidR="00CC4157">
              <w:t xml:space="preserve"> (4)</w:t>
            </w:r>
          </w:p>
        </w:tc>
        <w:tc>
          <w:tcPr>
            <w:tcW w:w="3020" w:type="dxa"/>
          </w:tcPr>
          <w:p w14:paraId="096F7E8B" w14:textId="6913606A" w:rsidR="00E65377" w:rsidRPr="00BE2D9D" w:rsidRDefault="00E65377" w:rsidP="00E65377">
            <w:r w:rsidRPr="00454A1A">
              <w:t>280</w:t>
            </w:r>
          </w:p>
        </w:tc>
        <w:tc>
          <w:tcPr>
            <w:tcW w:w="3020" w:type="dxa"/>
          </w:tcPr>
          <w:p w14:paraId="155643C9" w14:textId="2962F328" w:rsidR="00E65377" w:rsidRPr="00BE2D9D" w:rsidRDefault="00E65377" w:rsidP="00E65377">
            <w:r w:rsidRPr="00454A1A">
              <w:t>55.78</w:t>
            </w:r>
          </w:p>
        </w:tc>
      </w:tr>
      <w:tr w:rsidR="00E65377" w14:paraId="7C52D184" w14:textId="77777777" w:rsidTr="00627354">
        <w:tc>
          <w:tcPr>
            <w:tcW w:w="3020" w:type="dxa"/>
          </w:tcPr>
          <w:p w14:paraId="416F7540" w14:textId="7F68C38D" w:rsidR="00E65377" w:rsidRPr="00BE2D9D" w:rsidRDefault="00E65377" w:rsidP="00E65377">
            <w:r w:rsidRPr="00454A1A">
              <w:t>e3/e4</w:t>
            </w:r>
            <w:r w:rsidR="00CC4157">
              <w:t xml:space="preserve"> (5)</w:t>
            </w:r>
          </w:p>
        </w:tc>
        <w:tc>
          <w:tcPr>
            <w:tcW w:w="3020" w:type="dxa"/>
          </w:tcPr>
          <w:p w14:paraId="6BF1E08E" w14:textId="652071A2" w:rsidR="00E65377" w:rsidRPr="00BE2D9D" w:rsidRDefault="00E65377" w:rsidP="00E65377">
            <w:r w:rsidRPr="00454A1A">
              <w:t>124</w:t>
            </w:r>
          </w:p>
        </w:tc>
        <w:tc>
          <w:tcPr>
            <w:tcW w:w="3020" w:type="dxa"/>
          </w:tcPr>
          <w:p w14:paraId="39408C4A" w14:textId="26A80A2D" w:rsidR="00E65377" w:rsidRPr="00BE2D9D" w:rsidRDefault="00E65377" w:rsidP="00E65377">
            <w:r w:rsidRPr="00454A1A">
              <w:t>24.70</w:t>
            </w:r>
          </w:p>
        </w:tc>
      </w:tr>
      <w:tr w:rsidR="00E65377" w14:paraId="0797A0FB" w14:textId="77777777" w:rsidTr="00627354">
        <w:tc>
          <w:tcPr>
            <w:tcW w:w="3020" w:type="dxa"/>
          </w:tcPr>
          <w:p w14:paraId="68261DC6" w14:textId="4DBD2C88" w:rsidR="00E65377" w:rsidRPr="00E52A7D" w:rsidRDefault="00E65377" w:rsidP="00E65377">
            <w:r w:rsidRPr="00454A1A">
              <w:t>e4/e4</w:t>
            </w:r>
            <w:r w:rsidR="00CC4157">
              <w:t xml:space="preserve"> (6)</w:t>
            </w:r>
          </w:p>
        </w:tc>
        <w:tc>
          <w:tcPr>
            <w:tcW w:w="3020" w:type="dxa"/>
          </w:tcPr>
          <w:p w14:paraId="19511C2F" w14:textId="37B564E3" w:rsidR="00E65377" w:rsidRPr="00E52A7D" w:rsidRDefault="00E65377" w:rsidP="00E65377">
            <w:r w:rsidRPr="00454A1A">
              <w:t>13</w:t>
            </w:r>
          </w:p>
        </w:tc>
        <w:tc>
          <w:tcPr>
            <w:tcW w:w="3020" w:type="dxa"/>
          </w:tcPr>
          <w:p w14:paraId="57B2F616" w14:textId="44EC35E7" w:rsidR="00E65377" w:rsidRPr="00E52A7D" w:rsidRDefault="00E65377" w:rsidP="00E65377">
            <w:r w:rsidRPr="00454A1A">
              <w:t>2.59</w:t>
            </w:r>
          </w:p>
        </w:tc>
      </w:tr>
    </w:tbl>
    <w:p w14:paraId="63B87662" w14:textId="77777777" w:rsidR="00627354" w:rsidRPr="00627354" w:rsidRDefault="00627354" w:rsidP="00F90CDC">
      <w:pPr>
        <w:rPr>
          <w:b/>
        </w:rPr>
      </w:pPr>
    </w:p>
    <w:p w14:paraId="16CC4C9B" w14:textId="1BC690BF" w:rsidR="003C5656" w:rsidRPr="00237780" w:rsidRDefault="003C5656" w:rsidP="00F84A60"/>
    <w:sectPr w:rsidR="003C5656"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BD6D20"/>
    <w:multiLevelType w:val="hybridMultilevel"/>
    <w:tmpl w:val="7AE4080C"/>
    <w:lvl w:ilvl="0" w:tplc="52A4C9D2">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01"/>
    <w:rsid w:val="000F182E"/>
    <w:rsid w:val="00170DAC"/>
    <w:rsid w:val="00172477"/>
    <w:rsid w:val="001C469B"/>
    <w:rsid w:val="00237780"/>
    <w:rsid w:val="00343AAC"/>
    <w:rsid w:val="003C5656"/>
    <w:rsid w:val="004235DA"/>
    <w:rsid w:val="00430350"/>
    <w:rsid w:val="00475AFC"/>
    <w:rsid w:val="00627354"/>
    <w:rsid w:val="00646697"/>
    <w:rsid w:val="006741EE"/>
    <w:rsid w:val="006C115A"/>
    <w:rsid w:val="00857C7E"/>
    <w:rsid w:val="009371AC"/>
    <w:rsid w:val="009B6D1E"/>
    <w:rsid w:val="009D52B2"/>
    <w:rsid w:val="00A25719"/>
    <w:rsid w:val="00B0623F"/>
    <w:rsid w:val="00BA5901"/>
    <w:rsid w:val="00CC4157"/>
    <w:rsid w:val="00E65377"/>
    <w:rsid w:val="00F84A60"/>
    <w:rsid w:val="00F90CDC"/>
    <w:rsid w:val="00FA0A43"/>
    <w:rsid w:val="00FA7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E2D7"/>
  <w15:docId w15:val="{18311D88-BDFB-464B-B2C7-72BFD561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FC60C-BB46-1946-A4A1-F8746418E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7</cp:revision>
  <dcterms:created xsi:type="dcterms:W3CDTF">2019-05-10T08:26:00Z</dcterms:created>
  <dcterms:modified xsi:type="dcterms:W3CDTF">2024-03-19T08:30:00Z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http://www.zotero.org/styles/harvard-cite-them-right</vt:lpwstr>
  </property>
  <property fmtid="{D5CDD505-2E9C-101B-9397-08002B2CF9AE}" pid="5" name="Mendeley Recent Style Name 1_1">
    <vt:lpwstr>Cite Them Right 10th edition - Harvard</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http://www.zotero.org/styles/jama</vt:lpwstr>
  </property>
  <property fmtid="{D5CDD505-2E9C-101B-9397-08002B2CF9AE}" pid="9" name="Mendeley Recent Style Name 3_1">
    <vt:lpwstr>JAMA (The Journal of the American Medical Association)</vt:lpwstr>
  </property>
  <property fmtid="{D5CDD505-2E9C-101B-9397-08002B2CF9AE}" pid="10" name="Mendeley Recent Style Id 4_1">
    <vt:lpwstr>http://www.zotero.org/styles/modern-humanities-research-association</vt:lpwstr>
  </property>
  <property fmtid="{D5CDD505-2E9C-101B-9397-08002B2CF9AE}" pid="11" name="Mendeley Recent Style Name 4_1">
    <vt:lpwstr>Modern Humanities Research Association 3rd edition (note with bibliography)</vt:lpwstr>
  </property>
  <property fmtid="{D5CDD505-2E9C-101B-9397-08002B2CF9AE}" pid="12" name="Mendeley Recent Style Id 5_1">
    <vt:lpwstr>http://www.zotero.org/styles/modern-language-association</vt:lpwstr>
  </property>
  <property fmtid="{D5CDD505-2E9C-101B-9397-08002B2CF9AE}" pid="13" name="Mendeley Recent Style Name 5_1">
    <vt:lpwstr>Modern Language Association 7th edition</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http://www.zotero.org/styles/neurology</vt:lpwstr>
  </property>
  <property fmtid="{D5CDD505-2E9C-101B-9397-08002B2CF9AE}" pid="17" name="Mendeley Recent Style Name 7_1">
    <vt:lpwstr>Neurology</vt:lpwstr>
  </property>
  <property fmtid="{D5CDD505-2E9C-101B-9397-08002B2CF9AE}" pid="18" name="Mendeley Recent Style Id 8_1">
    <vt:lpwstr>http://www.zotero.org/styles/springer-vancouver-brackets</vt:lpwstr>
  </property>
  <property fmtid="{D5CDD505-2E9C-101B-9397-08002B2CF9AE}" pid="19" name="Mendeley Recent Style Name 8_1">
    <vt:lpwstr>Springer - Vancouver (brackets)</vt:lpwstr>
  </property>
  <property fmtid="{D5CDD505-2E9C-101B-9397-08002B2CF9AE}" pid="20" name="Mendeley Recent Style Id 9_1">
    <vt:lpwstr>http://www.zotero.org/styles/the-lancet-neurology</vt:lpwstr>
  </property>
  <property fmtid="{D5CDD505-2E9C-101B-9397-08002B2CF9AE}" pid="21" name="Mendeley Recent Style Name 9_1">
    <vt:lpwstr>The Lancet Neurology</vt:lpwstr>
  </property>
  <property fmtid="{D5CDD505-2E9C-101B-9397-08002B2CF9AE}" pid="22" name="Mendeley Document_1">
    <vt:lpwstr>True</vt:lpwstr>
  </property>
  <property fmtid="{D5CDD505-2E9C-101B-9397-08002B2CF9AE}" pid="23" name="Mendeley Citation Style_1">
    <vt:lpwstr>http://www.zotero.org/styles/neurology</vt:lpwstr>
  </property>
  <property fmtid="{D5CDD505-2E9C-101B-9397-08002B2CF9AE}" pid="24" name="Mendeley Unique User Id_1">
    <vt:lpwstr>68a61f2d-4676-3b30-b972-3e8261d5631b</vt:lpwstr>
  </property>
</Properties>
</file>