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2D162" w14:textId="77777777" w:rsidR="0092578D" w:rsidRPr="0058130D" w:rsidRDefault="0092578D" w:rsidP="0092578D">
      <w:pPr>
        <w:spacing w:before="100" w:beforeAutospacing="1" w:after="100" w:afterAutospacing="1" w:line="240" w:lineRule="auto"/>
        <w:rPr>
          <w:rFonts w:ascii="Segoe UI" w:eastAsia="Times New Roman" w:hAnsi="Segoe UI" w:cs="Segoe UI"/>
          <w:sz w:val="18"/>
          <w:szCs w:val="18"/>
          <w:lang w:eastAsia="en-GB"/>
        </w:rPr>
      </w:pPr>
      <w:r>
        <w:rPr>
          <w:rFonts w:ascii="Segoe UI" w:eastAsia="Times New Roman" w:hAnsi="Segoe UI" w:cs="Segoe UI"/>
          <w:sz w:val="18"/>
          <w:szCs w:val="18"/>
          <w:lang w:eastAsia="en-GB"/>
        </w:rPr>
        <w:t>Potential cancer symptoms included in the study and s</w:t>
      </w:r>
      <w:r w:rsidRPr="0058130D">
        <w:rPr>
          <w:rFonts w:ascii="Segoe UI" w:eastAsia="Times New Roman" w:hAnsi="Segoe UI" w:cs="Segoe UI"/>
          <w:sz w:val="18"/>
          <w:szCs w:val="18"/>
          <w:lang w:eastAsia="en-GB"/>
        </w:rPr>
        <w:t>ources of Read code lists used to define</w:t>
      </w:r>
      <w:r>
        <w:rPr>
          <w:rFonts w:ascii="Segoe UI" w:eastAsia="Times New Roman" w:hAnsi="Segoe UI" w:cs="Segoe UI"/>
          <w:sz w:val="18"/>
          <w:szCs w:val="18"/>
          <w:lang w:eastAsia="en-GB"/>
        </w:rPr>
        <w:t xml:space="preserve"> them.</w:t>
      </w:r>
    </w:p>
    <w:p w14:paraId="5E45B88C" w14:textId="112BE9A0" w:rsidR="00804EB9" w:rsidRPr="00963BD8" w:rsidRDefault="00804EB9" w:rsidP="0074479E">
      <w:pPr>
        <w:spacing w:before="100" w:beforeAutospacing="1" w:after="100" w:afterAutospacing="1" w:line="240" w:lineRule="auto"/>
        <w:rPr>
          <w:rFonts w:ascii="Segoe UI" w:eastAsia="Times New Roman" w:hAnsi="Segoe UI" w:cs="Segoe UI"/>
          <w:sz w:val="18"/>
          <w:szCs w:val="18"/>
          <w:lang w:eastAsia="en-GB"/>
        </w:rPr>
      </w:pPr>
      <w:r w:rsidRPr="00804EB9">
        <w:rPr>
          <w:rFonts w:ascii="Segoe UI" w:eastAsia="Times New Roman" w:hAnsi="Segoe UI" w:cs="Segoe UI"/>
          <w:sz w:val="18"/>
          <w:szCs w:val="18"/>
          <w:lang w:eastAsia="en-GB"/>
        </w:rPr>
        <w:t>We identified fatigue and 35 additional symptoms, based on symptoms listed in NICE NG 12 (2015) recommendations for suspected cancer</w:t>
      </w:r>
      <w:r w:rsidRPr="00804EB9">
        <w:rPr>
          <w:rFonts w:ascii="Segoe UI" w:eastAsia="Times New Roman" w:hAnsi="Segoe UI" w:cs="Segoe UI"/>
          <w:sz w:val="18"/>
          <w:szCs w:val="18"/>
          <w:lang w:eastAsia="en-GB"/>
        </w:rPr>
        <w:fldChar w:fldCharType="begin" w:fldLock="1"/>
      </w:r>
      <w:r w:rsidR="007165EC">
        <w:rPr>
          <w:rFonts w:ascii="Segoe UI" w:eastAsia="Times New Roman" w:hAnsi="Segoe UI" w:cs="Segoe UI"/>
          <w:sz w:val="18"/>
          <w:szCs w:val="18"/>
          <w:lang w:eastAsia="en-GB"/>
        </w:rPr>
        <w:instrText>ADDIN CSL_CITATION {"citationItems":[{"id":"ITEM-1","itemData":{"author":[{"dropping-particle":"","family":"National Institute for Health and Care Excellence","given":"","non-dropping-particle":"","parse-names":false,"suffix":""}],"id":"ITEM-1","issued":{"date-parts":[["2015"]]},"title":"Suspected cancer: recognition and referral NICE Guideline Suspected cancer Contents","type":"report"},"uris":["http://www.mendeley.com/documents/?uuid=c5947af5-8794-30b1-a059-85a9b7ccfca3"]},{"id":"ITEM-2","itemData":{"author":[{"dropping-particle":"","family":"National Institute for Health and Care Excellence","given":"","non-dropping-particle":"","parse-names":false,"suffix":""}],"id":"ITEM-2","issued":{"date-parts":[["2011"]]},"title":"The recognition and initial management of ovarian cancer: evidence review 1 Ovarian cancer: the recognition and initial management of ovarian cancer Evidence review The recognition and initial management of ovarian cancer: evidence review 2","type":"report"},"uris":["http://www.mendeley.com/documents/?uuid=6f7f6f77-183d-3996-a9e6-e9efa1fbf039"]},{"id":"ITEM-3","itemData":{"URL":"https://www.nice.org.uk/guidance/ng12/chapter/Recommendations-organised-by-symptom-and-findings-of-primary-care-investigations","accessed":{"date-parts":[["2020","8","5"]]},"author":[{"dropping-particle":"","family":"National Institute for Health and Care Excellence","given":"","non-dropping-particle":"","parse-names":false,"suffix":""}],"id":"ITEM-3","issued":{"date-parts":[["2015"]]},"publisher":"NICE","title":"Recommendations organised by symptom and findings of primary care investigations, suspected cancer: recognition and referral","type":"webpage"},"uris":["http://www.mendeley.com/documents/?uuid=6db809c9-169a-3001-bf7c-2cbc5a3a6ae5"]}],"mendeley":{"formattedCitation":"[1–3]","plainTextFormattedCitation":"[1–3]","previouslyFormattedCitation":"&lt;sup&gt;6–8&lt;/sup&gt;"},"properties":{"noteIndex":0},"schema":"https://github.com/citation-style-language/schema/raw/master/csl-citation.json"}</w:instrText>
      </w:r>
      <w:r w:rsidRPr="00804EB9">
        <w:rPr>
          <w:rFonts w:ascii="Segoe UI" w:eastAsia="Times New Roman" w:hAnsi="Segoe UI" w:cs="Segoe UI"/>
          <w:sz w:val="18"/>
          <w:szCs w:val="18"/>
          <w:lang w:eastAsia="en-GB"/>
        </w:rPr>
        <w:fldChar w:fldCharType="separate"/>
      </w:r>
      <w:r w:rsidR="007165EC" w:rsidRPr="007165EC">
        <w:rPr>
          <w:rFonts w:ascii="Segoe UI" w:eastAsia="Times New Roman" w:hAnsi="Segoe UI" w:cs="Segoe UI"/>
          <w:noProof/>
          <w:sz w:val="18"/>
          <w:szCs w:val="18"/>
          <w:lang w:eastAsia="en-GB"/>
        </w:rPr>
        <w:t>[1–3]</w:t>
      </w:r>
      <w:r w:rsidRPr="00804EB9">
        <w:rPr>
          <w:rFonts w:ascii="Segoe UI" w:eastAsia="Times New Roman" w:hAnsi="Segoe UI" w:cs="Segoe UI"/>
          <w:sz w:val="18"/>
          <w:szCs w:val="18"/>
          <w:lang w:eastAsia="en-GB"/>
        </w:rPr>
        <w:fldChar w:fldCharType="end"/>
      </w:r>
      <w:r w:rsidRPr="00804EB9">
        <w:rPr>
          <w:rFonts w:ascii="Segoe UI" w:eastAsia="Times New Roman" w:hAnsi="Segoe UI" w:cs="Segoe UI"/>
          <w:sz w:val="18"/>
          <w:szCs w:val="18"/>
          <w:lang w:eastAsia="en-GB"/>
        </w:rPr>
        <w:t xml:space="preserve"> and additional sources,</w:t>
      </w:r>
      <w:r w:rsidRPr="00804EB9">
        <w:rPr>
          <w:rFonts w:ascii="Segoe UI" w:eastAsia="Times New Roman" w:hAnsi="Segoe UI" w:cs="Segoe UI"/>
          <w:sz w:val="18"/>
          <w:szCs w:val="18"/>
          <w:lang w:eastAsia="en-GB"/>
        </w:rPr>
        <w:fldChar w:fldCharType="begin" w:fldLock="1"/>
      </w:r>
      <w:r w:rsidR="007165EC">
        <w:rPr>
          <w:rFonts w:ascii="Segoe UI" w:eastAsia="Times New Roman" w:hAnsi="Segoe UI" w:cs="Segoe UI"/>
          <w:sz w:val="18"/>
          <w:szCs w:val="18"/>
          <w:lang w:eastAsia="en-GB"/>
        </w:rPr>
        <w:instrText>ADDIN CSL_CITATION {"citationItems":[{"id":"ITEM-1","itemData":{"DOI":"10.1038/s41416-020-0947-y","ISSN":"0007-0920","abstract":"Patients with non-specific symptoms often experience longer times to diagnosis and poorer clinical outcomes than those with site-specific symptoms. This paper reports initial results from five multidisciplinary diagnostic centre (MDC) projects in England, piloting rapid referral for patients with non-specific symptoms. The evaluation covered MDC activity from 1st December 2016 to 31st July 2018, with projects using a common dataset. Logistical regression analyses were conducted, with a diagnosis of any cancer as the dependent variable. Exploratory analysis was conducted on presenting symptoms and diagnoses of cancer, and on comparisons within these groupings. In total, 2961 patients were referred into the MDCs and 241 cancers were diagnosed. The pathway detected cancers across a broad range of tumour sites, including several rare and less common cancers. An association between patient age and cancer was identified (p &lt; 0.001). GP ‘clinical suspicion’ was identified as a strong predictor of cancer (p = 0.006), with a reduced association with cancer observed in patients with higher numbers of GP consultation before referral (p = 0.008). The MDC model diagnoses cancer in patients with non-specific symptoms, with a conversion rate of 8%, demonstrating the diagnostic potential of a non-site-specific symptomatic referral pathway.","author":[{"dropping-particle":"","family":"Chapman","given":"D.","non-dropping-particle":"","parse-names":false,"suffix":""},{"dropping-particle":"","family":"Poirier","given":"V.","non-dropping-particle":"","parse-names":false,"suffix":""},{"dropping-particle":"","family":"Vulkan","given":"D.","non-dropping-particle":"","parse-names":false,"suffix":""},{"dropping-particle":"","family":"Fitzgerald","given":"K.","non-dropping-particle":"","parse-names":false,"suffix":""},{"dropping-particle":"","family":"Rubin","given":"G.","non-dropping-particle":"","parse-names":false,"suffix":""},{"dropping-particle":"","family":"Hamilton","given":"W.","non-dropping-particle":"","parse-names":false,"suffix":""},{"dropping-particle":"","family":"Duffy","given":"S. W.","non-dropping-particle":"","parse-names":false,"suffix":""},{"dropping-particle":"","family":"Thomas","given":"Alan Hart","non-dropping-particle":"","parse-names":false,"suffix":""},{"dropping-particle":"","family":"Gulliford","given":"Dawn","non-dropping-particle":"","parse-names":false,"suffix":""},{"dropping-particle":"","family":"Rolfe","given":"Helena","non-dropping-particle":"","parse-names":false,"suffix":""},{"dropping-particle":"","family":"Hohmann","given":"Matthias","non-dropping-particle":"","parse-names":false,"suffix":""},{"dropping-particle":"","family":"Repperday","given":"Chris","non-dropping-particle":"","parse-names":false,"suffix":""},{"dropping-particle":"","family":"Sykes","given":"Susan","non-dropping-particle":"","parse-names":false,"suffix":""},{"dropping-particle":"","family":"Taylor","given":"Sarah","non-dropping-particle":"","parse-names":false,"suffix":""},{"dropping-particle":"","family":"Craig","given":"Angie","non-dropping-particle":"","parse-names":false,"suffix":""},{"dropping-particle":"","family":"Dawson","given":"James","non-dropping-particle":"","parse-names":false,"suffix":""},{"dropping-particle":"","family":"Forbes","given":"Sarah","non-dropping-particle":"","parse-names":false,"suffix":""},{"dropping-particle":"","family":"Ryan","given":"Helen","non-dropping-particle":"","parse-names":false,"suffix":""},{"dropping-particle":"","family":"Turner","given":"Rob","non-dropping-particle":"","parse-names":false,"suffix":""},{"dropping-particle":"","family":"Ahmad","given":"Mush","non-dropping-particle":"","parse-names":false,"suffix":""},{"dropping-particle":"","family":"Chung","given":"Donna","non-dropping-particle":"","parse-names":false,"suffix":""},{"dropping-particle":"","family":"Graham","given":"David","non-dropping-particle":"","parse-names":false,"suffix":""},{"dropping-particle":"","family":"Millar","given":"Andrew","non-dropping-particle":"","parse-names":false,"suffix":""},{"dropping-particle":"","family":"Taiyari","given":"Sara","non-dropping-particle":"","parse-names":false,"suffix":""},{"dropping-particle":"","family":"Smith","given":"Claire Friedemann","non-dropping-particle":"","parse-names":false,"suffix":""},{"dropping-particle":"","family":"Gleeson","given":"Fergus","non-dropping-particle":"","parse-names":false,"suffix":""},{"dropping-particle":"","family":"Hayles","given":"Shelley","non-dropping-particle":"","parse-names":false,"suffix":""},{"dropping-particle":"","family":"Kaveney","given":"Zoe","non-dropping-particle":"","parse-names":false,"suffix":""},{"dropping-particle":"","family":"Nicholson","given":"Brian","non-dropping-particle":"","parse-names":false,"suffix":""}],"container-title":"British Journal of Cancer","id":"ITEM-1","issue":"5","issued":{"date-parts":[["2020","9","1"]]},"page":"722-729","publisher":"Nature Publishing Group","title":"First results from five multidisciplinary diagnostic centre (MDC) projects for non-specific but concerning symptoms, possibly indicative of cancer","type":"article-journal","volume":"123"},"uris":["http://www.mendeley.com/documents/?uuid=5fabb523-da5c-3477-ab50-e663066cb4bf"]},{"id":"ITEM-2","itemData":{"DOI":"10.3399/BJGP.2020.1108","ISSN":"0960-1643","PMID":"34097639","abstract":"Background Although less common cancers account for almost half of all cancer diagnoses in England, their relative scarcity and complex presentation, often with non-specific symptoms, means that patients often experience multiple primary care consultations, long times to diagnosis, and poor clinical outcomes. An urgent referral pathway for non-specific symptoms, the Multidisciplinary Diagnostic Centre (MDC), may address this problem. Aim To examine the less common cancers identified during the MDC pilots and consider whether such an approach improves the diagnosis of these cancers. Design and setting A service evaluation of five MDC pilot projects in England from December 2016 to March 2019. Method Data items were collected by pilot sites in near-real time, based mainly on the English cancer outcomes and services dataset, with additional project-specific items. Simple descriptive and comparative statistics were used, including χ2 tests for proportions and t -tests for means where appropriate. Results From 5134 referrals, 378 cancers were diagnosed, of which 218 (58%) were less common. More than 30 different less common tumour types were diagnosed in this cohort. Of the MDC patients with less common cancers, 23% ( n = 50) had ≥3 GP consultations before referral and, at programme level, a median time of 57 days was recorded from GP urgent referral to treatment for these tumour types. Conclusion A non-specific symptomatic referral route diagnoses a broad range of less common cancers, and can support primary care case management for patients with symptoms of possible cancer that do not qualify for a site-specific urgent referral.","author":[{"dropping-particle":"","family":"Chapman","given":"Dave","non-dropping-particle":"","parse-names":false,"suffix":""},{"dropping-particle":"","family":"Poirier","given":"Veronique","non-dropping-particle":"","parse-names":false,"suffix":""},{"dropping-particle":"","family":"Fitzgerald","given":"Karen","non-dropping-particle":"","parse-names":false,"suffix":""},{"dropping-particle":"","family":"Nicholson","given":"Brian D","non-dropping-particle":"","parse-names":false,"suffix":""},{"dropping-particle":"","family":"Hamilton","given":"Willie","non-dropping-particle":"","parse-names":false,"suffix":""}],"container-title":"British Journal of General Practice","id":"ITEM-2","issue":"712","issued":{"date-parts":[["2021","11","1"]]},"page":"e846-e853","publisher":"British Journal of General Practice","title":"Non-specific symptoms-based pathways for diagnosing less common cancers in primary care: a service evaluation","type":"article-journal","volume":"71"},"uris":["http://www.mendeley.com/documents/?uuid=75408334-27ec-331d-b1ee-21c17c02a5f3"]},{"id":"ITEM-3","itemData":{"author":[{"dropping-particle":"","family":"NHS England","given":"","non-dropping-particle":"","parse-names":false,"suffix":""},{"dropping-particle":"","family":"NHS Improvement","given":"","non-dropping-particle":"","parse-names":false,"suffix":""}],"id":"ITEM-3","issued":{"date-parts":[["2019"]]},"title":"Rapid Diagnostic Centres: Vision and 2019/20 Implementation Specification","type":"report"},"uris":["http://www.mendeley.com/documents/?uuid=125c701c-9c58-319d-af2d-e138b213cfbd"]}],"mendeley":{"formattedCitation":"[4–6]","plainTextFormattedCitation":"[4–6]","previouslyFormattedCitation":"&lt;sup&gt;19–21&lt;/sup&gt;"},"properties":{"noteIndex":0},"schema":"https://github.com/citation-style-language/schema/raw/master/csl-citation.json"}</w:instrText>
      </w:r>
      <w:r w:rsidRPr="00804EB9">
        <w:rPr>
          <w:rFonts w:ascii="Segoe UI" w:eastAsia="Times New Roman" w:hAnsi="Segoe UI" w:cs="Segoe UI"/>
          <w:sz w:val="18"/>
          <w:szCs w:val="18"/>
          <w:lang w:eastAsia="en-GB"/>
        </w:rPr>
        <w:fldChar w:fldCharType="separate"/>
      </w:r>
      <w:r w:rsidR="007165EC" w:rsidRPr="007165EC">
        <w:rPr>
          <w:rFonts w:ascii="Segoe UI" w:eastAsia="Times New Roman" w:hAnsi="Segoe UI" w:cs="Segoe UI"/>
          <w:noProof/>
          <w:sz w:val="18"/>
          <w:szCs w:val="18"/>
          <w:lang w:eastAsia="en-GB"/>
        </w:rPr>
        <w:t>[4–6]</w:t>
      </w:r>
      <w:r w:rsidRPr="00804EB9">
        <w:rPr>
          <w:rFonts w:ascii="Segoe UI" w:eastAsia="Times New Roman" w:hAnsi="Segoe UI" w:cs="Segoe UI"/>
          <w:sz w:val="18"/>
          <w:szCs w:val="18"/>
          <w:lang w:eastAsia="en-GB"/>
        </w:rPr>
        <w:fldChar w:fldCharType="end"/>
      </w:r>
      <w:r w:rsidRPr="00804EB9">
        <w:rPr>
          <w:rFonts w:ascii="Segoe UI" w:eastAsia="Times New Roman" w:hAnsi="Segoe UI" w:cs="Segoe UI"/>
          <w:sz w:val="18"/>
          <w:szCs w:val="18"/>
          <w:lang w:eastAsia="en-GB"/>
        </w:rPr>
        <w:t xml:space="preserve"> for which Read code lists were available </w:t>
      </w:r>
      <w:r w:rsidRPr="00804EB9">
        <w:rPr>
          <w:rFonts w:ascii="Segoe UI" w:eastAsia="Times New Roman" w:hAnsi="Segoe UI" w:cs="Segoe UI"/>
          <w:sz w:val="18"/>
          <w:szCs w:val="18"/>
          <w:lang w:eastAsia="en-GB"/>
        </w:rPr>
        <w:fldChar w:fldCharType="begin" w:fldLock="1"/>
      </w:r>
      <w:r w:rsidR="007165EC">
        <w:rPr>
          <w:rFonts w:ascii="Segoe UI" w:eastAsia="Times New Roman" w:hAnsi="Segoe UI" w:cs="Segoe UI"/>
          <w:sz w:val="18"/>
          <w:szCs w:val="18"/>
          <w:lang w:eastAsia="en-GB"/>
        </w:rPr>
        <w:instrText>ADDIN CSL_CITATION {"citationItems":[{"id":"ITEM-1","itemData":{"DOI":"10.1038/s41416-021-01541-4","ISSN":"0007-0920","PMID":"34531548","abstract":"Background: Expediting cancer diagnosis may be achieved by targeted decreases in referral thresholds to increase numbers of patients referred for urgent investigation. Methods: Clinical Practice Research Datalink data from England for 150,921 adults aged ≥40 were used to identify participants with features of possible cancer equating to risk thresholds ≥1%, ≥2% or ≥3% for breast, lung, colorectal, oesophago-gastric, pancreatic, renal, bladder, prostatic, ovarian, endometrial and laryngeal cancers. Results: The mean age of participants was 60 (SD 13) years, with 73,643 males (49%). In 2016, 8576 consultation records contained coded features having a positive predictive value (PPV) of ≥3% for any of the 11 cancers. This equates to a rate of 5682/100,000 patients compared with 4601/100,000 Suspected Cancer NHS referrals for these cancers from April 2016–March 2017. Nine thousands two hundred ninety-one patient-consultation records had coded features equating to a ≥2% PPV, 8% more than met PPV ≥ 3%. Similarly, 19,517 had features with a PPV ≥ 1%, 136% higher than for PPV ≥ 3%. Conclusions: This study estimated the number of primary-care patients presenting at lower thresholds of cancer risk. The resource implications of liberalising this threshold to 2% are modest and manageable. The details across individual cancer sites should assist planning of English cancer services.","author":[{"dropping-particle":"","family":"Moore","given":"Sarah F.","non-dropping-particle":"","parse-names":false,"suffix":""},{"dropping-particle":"","family":"Price","given":"Sarah J.","non-dropping-particle":"","parse-names":false,"suffix":""},{"dropping-particle":"","family":"Chowienczyk","given":"Sarah","non-dropping-particle":"","parse-names":false,"suffix":""},{"dropping-particle":"","family":"Bostock","given":"Jennifer","non-dropping-particle":"","parse-names":false,"suffix":""},{"dropping-particle":"","family":"Hamilton","given":"Willie","non-dropping-particle":"","parse-names":false,"suffix":""}],"container-title":"British Journal of Cancer","id":"ITEM-1","issue":"11","issued":{"date-parts":[["2021","11","23"]]},"page":"1593-1597","publisher":"Springer Nature","title":"The impact of changing risk thresholds on the number of people in England eligible for urgent investigation for possible cancer: an observational cross-sectional study","type":"article-journal","volume":"125"},"uris":["http://www.mendeley.com/documents/?uuid=75f11e7e-e899-3519-8ee9-35802a766586"]}],"mendeley":{"formattedCitation":"[7]","plainTextFormattedCitation":"[7]","previouslyFormattedCitation":"&lt;sup&gt;22&lt;/sup&gt;"},"properties":{"noteIndex":0},"schema":"https://github.com/citation-style-language/schema/raw/master/csl-citation.json"}</w:instrText>
      </w:r>
      <w:r w:rsidRPr="00804EB9">
        <w:rPr>
          <w:rFonts w:ascii="Segoe UI" w:eastAsia="Times New Roman" w:hAnsi="Segoe UI" w:cs="Segoe UI"/>
          <w:sz w:val="18"/>
          <w:szCs w:val="18"/>
          <w:lang w:eastAsia="en-GB"/>
        </w:rPr>
        <w:fldChar w:fldCharType="separate"/>
      </w:r>
      <w:r w:rsidR="007165EC" w:rsidRPr="007165EC">
        <w:rPr>
          <w:rFonts w:ascii="Segoe UI" w:eastAsia="Times New Roman" w:hAnsi="Segoe UI" w:cs="Segoe UI"/>
          <w:noProof/>
          <w:sz w:val="18"/>
          <w:szCs w:val="18"/>
          <w:lang w:eastAsia="en-GB"/>
        </w:rPr>
        <w:t>[7]</w:t>
      </w:r>
      <w:r w:rsidRPr="00804EB9">
        <w:rPr>
          <w:rFonts w:ascii="Segoe UI" w:eastAsia="Times New Roman" w:hAnsi="Segoe UI" w:cs="Segoe UI"/>
          <w:sz w:val="18"/>
          <w:szCs w:val="18"/>
          <w:lang w:eastAsia="en-GB"/>
        </w:rPr>
        <w:fldChar w:fldCharType="end"/>
      </w:r>
      <w:r w:rsidRPr="00804EB9">
        <w:rPr>
          <w:rFonts w:ascii="Segoe UI" w:eastAsia="Times New Roman" w:hAnsi="Segoe UI" w:cs="Segoe UI"/>
          <w:sz w:val="18"/>
          <w:szCs w:val="18"/>
          <w:lang w:eastAsia="en-GB"/>
        </w:rPr>
        <w:t xml:space="preserve"> </w:t>
      </w:r>
      <w:r w:rsidRPr="00804EB9">
        <w:rPr>
          <w:rFonts w:ascii="Segoe UI" w:eastAsia="Times New Roman" w:hAnsi="Segoe UI" w:cs="Segoe UI"/>
          <w:sz w:val="18"/>
          <w:szCs w:val="18"/>
          <w:lang w:eastAsia="en-GB"/>
        </w:rPr>
        <w:fldChar w:fldCharType="begin" w:fldLock="1"/>
      </w:r>
      <w:r w:rsidR="007165EC">
        <w:rPr>
          <w:rFonts w:ascii="Segoe UI" w:eastAsia="Times New Roman" w:hAnsi="Segoe UI" w:cs="Segoe UI"/>
          <w:sz w:val="18"/>
          <w:szCs w:val="18"/>
          <w:lang w:eastAsia="en-GB"/>
        </w:rPr>
        <w:instrText>ADDIN CSL_CITATION {"citationItems":[{"id":"ITEM-1","itemData":{"DOI":"10.1016/J.EJSO.2016.10.010","ISSN":"0748-7983","PMID":"27919514","abstract":"Background The objective was to evaluate incidence, risk factors and impact of postoperative symptoms following esophagogastric cancer resection in primary care. Methods Patients undergoing esophagogastrectomy for cancer from 1998 to 2010 with linked records in Clinical Practice Research Datalink, Hospital Episodes Statistics and Office of National Statistics databases were studied. The recording of codes for reflux, dysphagia, dyspepsia, nausea, vomiting, dumping, diarrhea, steatorrhea, appetite loss, weight loss, pain and fatigue were identified up to 12 months postoperatively. Psychiatric morbidity was also examined and its risk evaluated by logistic regression analysis. Results Overall, 58.6% (1029/1755) of patients were alive 2 years after surgery. Of these, 41.1% had recorded postoperative symptoms. Reflux, dysphagia, dyspepsia and pain were more frequent following esophagectomy compared with gastrectomy (p &lt; 0.05). Complications (OR = 1.40 95%CI 1.00–1.95) and surgical procedure predicted postoperative symptoms (p &lt; 0.05). When compared with partial gastrectomy, esophagectomy (OR = 2.03 95%CI 1.26–3.27), total gastrectomy (OR = 2.44 95%CI 1.57–3.79) and esophagogastrectomy (OR = 2.66 95%CI 1.85–2.86) were associated with postoperative symptoms (p &lt; 0.05). The majority of patients with postoperative psychiatric morbidity had depression or anxiety (98%). Predictors of postoperative depression/anxiety included younger age (OR = 0.97 95%CI 0.96–0.99), complications (OR = 2.40 95%CI 1.51–3.83), psychiatric history (OR = 6.73 95%CI 4.25–10.64) and postoperative symptoms (OR = 1.78 95%CI 1.17–2.71). Conclusions Over 40% of patients had symptoms related to esophagogastric cancer resection recorded in primary care, and were associated with an increase in postoperative depression and anxiety.","author":[{"dropping-particle":"","family":"Bouras","given":"G.","non-dropping-particle":"","parse-names":false,"suffix":""},{"dropping-particle":"","family":"Markar","given":"S. R.","non-dropping-particle":"","parse-names":false,"suffix":""},{"dropping-particle":"","family":"Burns","given":"E. M.","non-dropping-particle":"","parse-names":false,"suffix":""},{"dropping-particle":"","family":"Huddy","given":"J. R.","non-dropping-particle":"","parse-names":false,"suffix":""},{"dropping-particle":"","family":"Bottle","given":"A.","non-dropping-particle":"","parse-names":false,"suffix":""},{"dropping-particle":"","family":"Athanasiou","given":"T.","non-dropping-particle":"","parse-names":false,"suffix":""},{"dropping-particle":"","family":"Darzi","given":"A.","non-dropping-particle":"","parse-names":false,"suffix":""},{"dropping-particle":"","family":"Hanna","given":"G. B.","non-dropping-particle":"","parse-names":false,"suffix":""}],"container-title":"European Journal of Surgical Oncology (EJSO)","id":"ITEM-1","issue":"2","issued":{"date-parts":[["2017","2","1"]]},"page":"454-460","publisher":"W.B. Saunders","title":"The psychological impact of symptoms related to esophagogastric cancer resection presenting in primary care: A national linked database study","type":"article-journal","volume":"43"},"uris":["http://www.mendeley.com/documents/?uuid=8a11e9a8-8f40-3218-bee0-5944816c656e"]},{"id":"ITEM-2","itemData":{"DOI":"10.1371/journal.pone.0127717","ISSN":"1932-6203","PMID":"25978414","abstract":"Background: Time from symptomatic presentation to cancer diagnosis (diagnostic interval) is an important, and modifiable, part of the patient's cancer pathway, and can be affected by various factors such as age, gender and type of presenting symptoms. The aim of this study was to quantify the relationships of diagnostic interval with these variables in 15 cancers diagnosed between 2007 and 2010 using routinely collected data from the Clinical Practice Research Datalink (CPRD) in the UK. Methods: Symptom lists for each cancer were prepared from the literature and by consensus amongst the clinician researchers, which were then categorised into either NICE qualifying (NICE) or not (non-NICE) based on NICE Urgent Referral Guidelines for Suspected Cancer criteria. Multivariable linear regression models were fitted to examine the relationship between diagnostic interval (outcome) and the predictors: age, gender and symptom type. Results: 18,618 newly diagnosed cancer patients aged ≥40 who had a recorded symptom in the preceding year were included in the analysis. Mean diagnostic interval was greater for older patients in four disease sites (difference in days per 10 year increase in age; 95% CI): bladder (10.3; 5.5 to 15.1; P&lt;0.001), kidney (11.0; 3.4 to 18.6; P=0.004), leukaemia (18.5; 8.8 to 28.1; P&lt;0.001) and lung (10.1; 6.7 to 13.4; P&lt;0.001). There was also evidence of longer diagnostic interval in older patients with colorectal cancer (P&lt;0.001). However, we found that mean diagnostic interval was shorter with increasing age in two cancers: gastric (-5.9; -11.7 to -0.2; P=0.04) and pancreatic (-6.0; -11.2 to -0.7; P=0.03). Diagnostic interval was longer for females in six of the gender non-specific cancers (mean difference in days; 95% CI): bladder (12.2; 0.8 to 23.6; P=0.04), colorectal (10.4; 4.3 to 16.5; P=0.001), gastric (14.3; 1.1 to 27.6; P=0.03), head and neck (31.3; 6.2 to 56.5; P=0.02), lung (8.0; 1.2 to 14.9; P=0.02), and lymphoma (19.2; 3.8 to 34.7; P=0.01). Evidence of longer diagnostic interval was found for patients presenting with non-NICE symptoms in 10 of 15 cancers (mean difference in days; 95% CI): bladder (62.9; 48.7 to 77.2; P&lt;0.001), breast (115.1; 105.9 to 124.3; P&lt;0.001), cervical (60.3; 31.6 to 89.0; P&lt;0.001), colorectal (25.8; 19.6 to 31.9; P&lt;0.001), gastric (24.1; 3.4 to 44.8; P=0.02), kidney (22.1; 4.5 to 39.7; P=0.01), oesophageal (67.0; 42.1 to 92.0; P&lt;0.001), pancreatic (48.6; 28.1 to 69.1; P&lt;0.001), testicular (36.7; 17.0 t…","author":[{"dropping-particle":"","family":"Din","given":"Nafees U.","non-dropping-particle":"","parse-names":false,"suffix":""},{"dropping-particle":"","family":"Ukoumunne","given":"Obioha C.","non-dropping-particle":"","parse-names":false,"suffix":""},{"dropping-particle":"","family":"Rubin","given":"Greg","non-dropping-particle":"","parse-names":false,"suffix":""},{"dropping-particle":"","family":"Hamilton","given":"William","non-dropping-particle":"","parse-names":false,"suffix":""},{"dropping-particle":"","family":"Carter","given":"Ben","non-dropping-particle":"","parse-names":false,"suffix":""},{"dropping-particle":"","family":"Stapley","given":"Sal","non-dropping-particle":"","parse-names":false,"suffix":""},{"dropping-particle":"","family":"Neal","given":"Richard D.","non-dropping-particle":"","parse-names":false,"suffix":""}],"container-title":"PLOS ONE","editor":[{"dropping-particle":"","family":"Katoh","given":"Masaru","non-dropping-particle":"","parse-names":false,"suffix":""}],"id":"ITEM-2","issue":"5","issued":{"date-parts":[["2015","5","15"]]},"page":"e0127717","publisher":"Public Library of Science","title":"Age and Gender Variations in Cancer Diagnostic Intervals in 15 Cancers: Analysis of Data from the UK Clinical Practice Research Datalink","type":"article-journal","volume":"10"},"uris":["http://www.mendeley.com/documents/?uuid=91f09a19-4e75-34b7-83b1-7178f5ef8f6e"]},{"id":"ITEM-3","itemData":{"DOI":"10.1136/BMJ.D3590","ISSN":"0959-8138","PMID":"21712336","abstract":"Objective To investigate whether the incentive scheme for UK general practitioners led them to neglect activities not included in the scheme. Design Longitudinal analysis of achievement rates for 42 activities (23 included in incentive scheme, 19 not included) selected from 428 identified indicators of quality of care. Setting 148 general practices in England (653 500 patients). Main outcome measures Achievement rates projected from trends in the pre-incentive period (2000-1 to 2002-3) and actual rates in the first three years of the scheme (2004-5 to 2006-7). Results Achievement rates improved for most indicators in the pre-incentive period. There were significant increases in the rate of improvement in the first year of the incentive scheme (2004-5) for 22 of the 23 incentivised indicators. Achievement for these indicators reached a plateau after 2004-5, but quality of care in 2006-7 remained higher than that predicted by pre-incentive trends for 14 incentivised indicators. There was no overall effect on the rate of improvement for non-incentivised indicators in the first year of the scheme, but by 2006-7 achievement rates were significantly below those predicted by pre-incentive trends. Conclusions There were substantial improvements in quality for all indicators between 2001 and 2007. Improvements associated with financial incentives seem to have been achieved at the expense of small detrimental effects on aspects of care that were not incentivised.","author":[{"dropping-particle":"","family":"Doran","given":"Tim","non-dropping-particle":"","parse-names":false,"suffix":""},{"dropping-particle":"","family":"Kontopantelis","given":"Evangelos","non-dropping-particle":"","parse-names":false,"suffix":""},{"dropping-particle":"","family":"Valderas","given":"Jose M.","non-dropping-particle":"","parse-names":false,"suffix":""},{"dropping-particle":"","family":"Campbell","given":"Stephen","non-dropping-particle":"","parse-names":false,"suffix":""},{"dropping-particle":"","family":"Roland","given":"Martin","non-dropping-particle":"","parse-names":false,"suffix":""},{"dropping-particle":"","family":"Salisbury","given":"Chris","non-dropping-particle":"","parse-names":false,"suffix":""},{"dropping-particle":"","family":"Reeves","given":"David","non-dropping-particle":"","parse-names":false,"suffix":""}],"container-title":"BMJ","id":"ITEM-3","issue":"7814","issued":{"date-parts":[["2011","6","28"]]},"publisher":"British Medical Journal Publishing Group","title":"Effect of financial incentives on incentivised and non-incentivised clinical activities: longitudinal analysis of data from the UK Quality and Outcomes Framework","type":"article-journal","volume":"342"},"uris":["http://www.mendeley.com/documents/?uuid=f8ae6e66-6015-3465-8574-7d9d157479b1"]},{"id":"ITEM-4","itemData":{"DOI":"10.1093/JAC/DKU291","ISSN":"1460-2091","PMID":"25091508","abstract":"Objectives: To measure trends in antibiotic prescribing in UK primary care in relation to nationally recommended best practice. Patients and methods: A descriptive study linking individual patient data on diagnosis and prescription in a large primary care database, covering 537 UK general practices during 1995-2011. Results: The proportion of cough/cold episodes for which antibiotics were prescribed decreased from 47% in 1995 to 36% in 1999, before increasing to 51% in 2011. There was marked variation by primary care practice in 2011 [10th-90th percentile range (TNPR) 32%-65%]. Antibiotic prescribing for sore throats fell from 77% in 1995 to 62% in 1999 and then stayed broadly stable (TNPR 45%-78%). Where antibiotics were prescribed for sore throat, recommended antibiotics were used in 69% of cases in 2011 (64% in 1995). The use of recommended short-course trimethoprim for urinary tract infection (UTI) in women aged 16-74 years increased from 8% in 1995 to 50% in 2011; however, a quarter of practices prescribed short courses in ≤16% of episodes in 2011. For otitis media, 85% of prescriptionswere for recommended antibiotics in 2011, increasing from 77% in 1995. All these changes in annual prescribing were highly statistically significant (P &lt; 0.001). Conclusions: The implementation of national guidelines in UK primary care has had mixed success, with prescribing for coughs/colds, both in total and as a proportion of consultations, now being greater than before recommendations were made to reduce it. Extensive variation by practice suggests that there is significant scope to improve prescribing, particularly for coughs/colds and for UTIs.","author":[{"dropping-particle":"","family":"Hawker","given":"Jeremy I.","non-dropping-particle":"","parse-names":false,"suffix":""},{"dropping-particle":"","family":"Smith","given":"Sue","non-dropping-particle":"","parse-names":false,"suffix":""},{"dropping-particle":"","family":"Smith","given":"Gillian E.","non-dropping-particle":"","parse-names":false,"suffix":""},{"dropping-particle":"","family":"Morbey","given":"Roger","non-dropping-particle":"","parse-names":false,"suffix":""},{"dropping-particle":"","family":"Johnson","given":"Alan P.","non-dropping-particle":"","parse-names":false,"suffix":""},{"dropping-particle":"","family":"Fleming","given":"Douglas M.","non-dropping-particle":"","parse-names":false,"suffix":""},{"dropping-particle":"","family":"Shallcross","given":"Laura","non-dropping-particle":"","parse-names":false,"suffix":""},{"dropping-particle":"","family":"Hayward","given":"Andrew C.","non-dropping-particle":"","parse-names":false,"suffix":""}],"container-title":"The Journal of antimicrobial chemotherapy","id":"ITEM-4","issue":"12","issued":{"date-parts":[["2014","12","1"]]},"page":"3423-3430","publisher":"J Antimicrob Chemother","title":"Trends in antibiotic prescribing in primary care for clinical syndromes subject to national recommendations to reduce antibiotic resistance, UK 1995-2011: analysis of a large database of primary care consultations","type":"article-journal","volume":"69"},"uris":["http://www.mendeley.com/documents/?uuid=cda6e068-b54d-309f-9418-29ad314cdbba"]},{"id":"ITEM-5","itemData":{"DOI":"10.1016/S2589-7500(19)30012-3","ISSN":"25897500","abstract":"Background: To effectively prevent, detect, and treat health conditions that affect people during their lifecourse, health-care professionals and researchers need to know which sections of the population are susceptible to which health conditions and at which ages. Hence, we aimed to map the course of human health by identifying the 50 most common health conditions in each decade of life and estimating the median age at first diagnosis. Methods: We developed phenotyping algorithms and codelists for physical and mental health conditions that involve intensive use of health-care resources. Individuals older than 1 year were included in the study if their primary-care and hospital-admission records met research standards set by the Clinical Practice Research Datalink and they had been registered in a general practice in England contributing up-to-standard data for at least 1 year during the study period. We used linked records of individuals from the CALIBER platform to calculate the sex-standardised cumulative incidence for these conditions by 10-year age groups between April 1, 2010, and March 31, 2015. We also derived the median age at diagnosis and prevalence estimates stratified by age, sex, and ethnicity (black, white, south Asian) over the study period from the primary-care and secondary-care records of patients. Findings: We developed case definitions for 308 disease phenotypes. We used records of 2 784 138 patients for the calculation of cumulative incidence and of 3 872 451 patients for the calculation of period prevalence and median age at diagnosis of these conditions. Conditions that first gained prominence at key stages of life were: atopic conditions and infections that led to hospital admission in children (&lt;10 years); acne and menstrual disorders in the teenage years (10–19 years); mental health conditions, obesity, and migraine in individuals aged 20–29 years; soft-tissue disorders and gastro-oesophageal reflux disease in individuals aged 30–39 years; dyslipidaemia, hypertension, and erectile dysfunction in individuals aged 40–59 years; cancer, osteoarthritis, benign prostatic hyperplasia, cataract, diverticular disease, type 2 diabetes, and deafness in individuals aged 60–79 years; and atrial fibrillation, dementia, acute and chronic kidney disease, heart failure, ischaemic heart disease, anaemia, and osteoporosis in individuals aged 80 years or older. Black or south-Asian individuals were diagnosed earlier than white individuals for 258…","author":[{"dropping-particle":"","family":"Kuan","given":"Valerie","non-dropping-particle":"","parse-names":false,"suffix":""},{"dropping-particle":"","family":"Denaxas","given":"Spiros","non-dropping-particle":"","parse-names":false,"suffix":""},{"dropping-particle":"","family":"Gonzalez-Izquierdo","given":"Arturo","non-dropping-particle":"","parse-names":false,"suffix":""},{"dropping-particle":"","family":"Direk","given":"Kenan","non-dropping-particle":"","parse-names":false,"suffix":""},{"dropping-particle":"","family":"Bhatti","given":"Osman","non-dropping-particle":"","parse-names":false,"suffix":""},{"dropping-particle":"","family":"Husain","given":"Shanaz","non-dropping-particle":"","parse-names":false,"suffix":""},{"dropping-particle":"","family":"Sutaria","given":"Shailen","non-dropping-particle":"","parse-names":false,"suffix":""},{"dropping-particle":"","family":"Hingorani","given":"Melanie","non-dropping-particle":"","parse-names":false,"suffix":""},{"dropping-particle":"","family":"Nitsch","given":"Dorothea","non-dropping-particle":"","parse-names":false,"suffix":""},{"dropping-particle":"","family":"Parisinos","given":"Constantinos A.","non-dropping-particle":"","parse-names":false,"suffix":""},{"dropping-particle":"","family":"Lumbers","given":"R. Thomas","non-dropping-particle":"","parse-names":false,"suffix":""},{"dropping-particle":"","family":"Mathur","given":"Rohini","non-dropping-particle":"","parse-names":false,"suffix":""},{"dropping-particle":"","family":"Sofat","given":"Reecha","non-dropping-particle":"","parse-names":false,"suffix":""},{"dropping-particle":"","family":"Casas","given":"Juan P.","non-dropping-particle":"","parse-names":false,"suffix":""},{"dropping-particle":"","family":"Wong","given":"Ian C.K.","non-dropping-particle":"","parse-names":false,"suffix":""},{"dropping-particle":"","family":"Hemingway","given":"Harry","non-dropping-particle":"","parse-names":false,"suffix":""},{"dropping-particle":"","family":"Hingorani","given":"Aroon D.","non-dropping-particle":"","parse-names":false,"suffix":""}],"container-title":"The Lancet Digital Health","id":"ITEM-5","issue":"2","issued":{"date-parts":[["2019","6","1"]]},"page":"e63-e77","publisher":"Elsevier Ltd","title":"A chronological map of 308 physical and mental health conditions from 4 million individuals in the English National Health Service","type":"article-journal","volume":"1"},"uris":["http://www.mendeley.com/documents/?uuid=87922838-49c7-31bb-9ff1-83f3252122fd"]},{"id":"ITEM-6","itemData":{"DOI":"10.1007/S10882-021-09789-7/TABLES/3","ISSN":"15733580","abstract":"We explored the association between caregiving for preschool children with developmental disabilities and maternal health and healthcare use using linked primary care and Born in Bradford birth cohort data. Adjusting for prenatal health, healthcare use and socioeconomic status, mothers who were caregivers were more likely than other mothers to have symptoms of psychological distress (odds ratio 1.24; 95% CI 1.01, 1.53), exhaustion (1.42; 1.12, 1.80) and possibly head and musculoskeletal pain (1.18; 0.97, 1.43). Despite the higher prevalence of symptoms, they did not access healthcare services more and may seek healthcare for psychological distress less often (0.64; 0.40, 1.02). In general, socioeconomic disadvantage was associated with worse health. Pakistani ethnicity (versus white British) and prenatal consultation were strongly associated with higher postnatal consultation rates. Prenatal ill health, healthcare use and socioeconomic status are important factors in the detection of postnatal ill health via primary care services. If caregiver burden and the risk of under-detecting (and thus under treating) caregiver ill health is not addressed during the preschool period health inequalities between caregivers and other mothers and their families may persist and grow. The health of mothers of young disabled children, in particular their unmet health needs, warrants attention in research and clinical practice.","author":[{"dropping-particle":"","family":"Masefield","given":"Sarah C.","non-dropping-particle":"","parse-names":false,"suffix":""},{"dropping-particle":"","family":"Prady","given":"Stephanie L.","non-dropping-particle":"","parse-names":false,"suffix":""},{"dropping-particle":"","family":"Sheldon","given":"Trevor A.","non-dropping-particle":"","parse-names":false,"suffix":""},{"dropping-particle":"","family":"Small","given":"Neil","non-dropping-particle":"","parse-names":false,"suffix":""},{"dropping-particle":"","family":"Jarvis","given":"Stuart","non-dropping-particle":"","parse-names":false,"suffix":""},{"dropping-particle":"","family":"Pickett","given":"Kate E.","non-dropping-particle":"","parse-names":false,"suffix":""}],"container-title":"Journal of Developmental and Physical Disabilities","id":"ITEM-6","issued":{"date-parts":[["2021","4","8"]]},"page":"1-21","publisher":"Springer","title":"The Effects of Caring for Young Children with Developmental Disabilities on Mothers’ Health and Healthcare Use: Analysis of Primary Care Data in the Born in Bradford Cohort","type":"article-journal"},"uris":["http://www.mendeley.com/documents/?uuid=aa3c17d2-c423-37e1-8ebf-9554e442c359"]},{"id":"ITEM-7","itemData":{"DOI":"10.1093/JAC/DKZ163","ISSN":"0305-7453","PMID":"31038162","abstract":"OBJECTIVES: To examine variations across general practices and factors associated with antibiotic prescribing for common infections in UK primary care to identify potential targets for improvement and optimization of prescribing. METHODS: Oral antibiotic prescribing for common infections was analysed using anonymized UK primary care electronic health records between 2000 and 2015 using the Clinical Practice Research Datalink (CPRD). The rate of prescribing for each condition was observed over time and mean change points were compared with national guideline updates. Any correlation between the rate of prescribing for each infectious condition was estimated within a practice. Predictors of prescribing were estimated using logistic regression in a matched patient cohort (1:1 by age, sex and calendar time). RESULTS: Over 8 million patient records were examined in 587 UK general practices. Practices varied considerably in their propensity to prescribe antibiotics and this variance increased over time. Change points in prescribing did not reflect updates to national guidelines. Prescribing levels within practices were not consistent for different infectious conditions. A history of antibiotic use significantly increased the risk of receiving a subsequent antibiotic (by 22%-48% for patients with three or more antibiotic prescriptions in the past 12 months), as did higher BMI, history of smoking and flu vaccinations. Other drivers for receiving an antibiotic varied considerably for each condition. CONCLUSIONS: Large variability in antibiotic prescribing between practices and within practices was observed. Prescribing guidelines alone do not positively influence a change in prescribing, suggesting more targeted interventions are required to optimize antibiotic prescribing in the UK.","author":[{"dropping-particle":"","family":"Palin","given":"Victoria","non-dropping-particle":"","parse-names":false,"suffix":""},{"dropping-particle":"","family":"Mölter","given":"Anna","non-dropping-particle":"","parse-names":false,"suffix":""},{"dropping-particle":"","family":"Belmonte","given":"Miguel","non-dropping-particle":"","parse-names":false,"suffix":""},{"dropping-particle":"","family":"Ashcroft","given":"Darren M.","non-dropping-particle":"","parse-names":false,"suffix":""},{"dropping-particle":"","family":"White","given":"Andrew","non-dropping-particle":"","parse-names":false,"suffix":""},{"dropping-particle":"","family":"Welfare","given":"William","non-dropping-particle":"","parse-names":false,"suffix":""},{"dropping-particle":"","family":"Staa","given":"Tjeerd","non-dropping-particle":"van","parse-names":false,"suffix":""}],"container-title":"Journal of Antimicrobial Chemotherapy","id":"ITEM-7","issue":"8","issued":{"date-parts":[["2019","8","1"]]},"page":"2440-2450","publisher":"Oxford Academic","title":"Antibiotic prescribing for common infections in UK general practice: variability and drivers","type":"article-journal","volume":"74"},"uris":["http://www.mendeley.com/documents/?uuid=669e5370-9009-3737-b4b2-ea7e72a5a17a"]},{"id":"ITEM-8","itemData":{"DOI":"10.1038/bjc.2016.250","ISSN":"15321827","PMID":"27537389","abstract":"BACKGROUND More than 20% of colorectal cancers are diagnosed following an emergency presentation. We aimed to examine pre-diagnostic primary-care consultations and related symptoms comparing patients diagnosed as emergencies with those diagnosed through non-emergency routes. METHODS Cohort study of colorectal cancers diagnosed in England 2005 and 2006 using cancer registration data individually linked to primary-care data (CPRD/GPRD), allowing a detailed analysis of clinical information referring to the 5-year pre-diagnostic period. RESULTS Emergency diagnosis occurred in 35% and 15% of the 1029 colon and 577 rectal cancers. 'Background' primary-care consultations (2-5 years before diagnosis) were similar for either group. In the year before diagnosis, &gt;95% of emergency and non-emergency presenters had consulted their doctor, but emergency presenters had less frequently relevant symptoms (colon cancer: 48% vs 71% (P&lt;0.001); rectal cancer: 49% vs 61% (P=0.043)). 'Alarm' symptoms were recorded less frequently in emergency presenters (e.g., rectal bleeding: 9 vs 24% (P=0.002)). However, about 1/5 of emergency presenters (18 and 23% for colon and rectal cancers) had 'alarm' symptoms the year before diagnosis. CONCLUSIONS Emergency presenters have similar 'background' consultation history as non-emergency presenters. Their tumours seem associated with less typical symptoms, however opportunities for earlier diagnosis might be present in a fifth of them.","author":[{"dropping-particle":"","family":"Renzi","given":"C.","non-dropping-particle":"","parse-names":false,"suffix":""},{"dropping-particle":"","family":"Lyratzopoulos","given":"G.","non-dropping-particle":"","parse-names":false,"suffix":""},{"dropping-particle":"","family":"Card","given":"T.","non-dropping-particle":"","parse-names":false,"suffix":""},{"dropping-particle":"","family":"Chu","given":"T. P.C.","non-dropping-particle":"","parse-names":false,"suffix":""},{"dropping-particle":"","family":"Macleod","given":"U.","non-dropping-particle":"","parse-names":false,"suffix":""},{"dropping-particle":"","family":"Rachet","given":"B.","non-dropping-particle":"","parse-names":false,"suffix":""}],"container-title":"British Journal of Cancer","id":"ITEM-8","issue":"7","issued":{"date-parts":[["2016","9","27"]]},"note":"Refs\nSheringham JR, Georghiou T, Chitnis XA, Bardsley M (2014) Comparing primary and secondary health-care use between diagnostic routes before a colorectal cancer diagnosis: cohort study using linked data. Br J Cancer 111: 1490–1499","page":"866-875","publisher":"Nature Publishing Group","title":"Do colorectal cancer patients diagnosed as an emergency differ from non-emergency patients in their consultation patterns and symptoms? A longitudinal data-linkage study in England","type":"article-journal","volume":"115"},"uris":["http://www.mendeley.com/documents/?uuid=051eb416-778e-4fec-b42c-f31a05426944"]},{"id":"ITEM-9","itemData":{"DOI":"10.1136/bmjopen-2017-019637","ISSN":"2044-6055","abstract":"Objective Analysis of routinely collected electronic health record (EHR) data from primary care is reliant on the creation of codelists to define clinical features of interest. To improve scientific rigour, transparency and replicability, we describe and demonstrate a standardised reproducible methodology for clinical codelist development. Design We describe a three-stage process for developing clinical codelists. First, the clear definition a priori of the clinical feature of interest using reliable clinical resources. Second, development of a list of potential codes using statistical software to comprehensively search all available codes. Third, a modified Delphi process to reach consensus between primary care practitioners on the most relevant codes, including the generation of an 'uncertainty' variable to allow sensitivity analysis. Setting These methods are illustrated by developing a codelist for shortness of breath in a primary care EHR sample, including modifiable syntax for commonly used statistical software. Participants The codelist was used to estimate the frequency of shortness of breath in a cohort of 28 216 patients aged over 18 years who received an incident diagnosis of lung cancer between 1 January 2000 and 30 November 2016 in the Clinical Practice Research Datalink (CPRD). Results Of 78 candidate codes, 29 were excluded as inappropriate. Complete agreement was reached for 44 (90%) of the remaining codes, with partial disagreement over 5 (10%). 13 091 episodes of shortness of breath were identified in the cohort of 28 216 patients. Sensitivity analysis demonstrates that codes with the greatest uncertainty tend to be rarely used in clinical practice. Conclusions Although initially time consuming, using a rigorous and reproducible method for codelist generation 'future-proofs' findings and an auditable, modifiable syntax for codelist generation enables sharing and replication of EHR studies. Published codelists should be badged by quality and report the methods of codelist generation including: definitions and justifications associated with each codelist; the syntax or search method; the number of candidate codes identified; and the categorisation of codes after Delphi review.","author":[{"dropping-particle":"","family":"Watson","given":"Jessica","non-dropping-particle":"","parse-names":false,"suffix":""},{"dropping-particle":"","family":"Nicholson","given":"Brian D.","non-dropping-particle":"","parse-names":false,"suffix":""},{"dropping-particle":"","family":"Hamilton","given":"Willie","non-dropping-particle":"","parse-names":false,"suffix":""},{"dropping-particle":"","family":"Price","given":"Sarah","non-dropping-particle":"","parse-names":false,"suffix":""}],"container-title":"BMJ Open","id":"ITEM-9","issue":"11","issued":{"date-parts":[["2017","11","22"]]},"page":"e019637","publisher":"BMJ Publishing Group","title":"Identifying clinical features in primary care electronic health record studies: methods for codelist development","type":"article-journal","volume":"7"},"uris":["http://www.mendeley.com/documents/?uuid=e08d157c-cb66-362b-9d09-650f151876b8"]},{"id":"ITEM-10","itemData":{"DOI":"10.1038/bjc.2017.381","ISSN":"0007-0920","abstract":"Background:In England, 'fast-track' (also known as 'two-week wait') general practitioner referrals for suspected cancer in symptomatic patients are used to shorten diagnostic intervals and are supported by clinical guidelines. However, the use of the fast-track pathway may vary for different patient groups.Methods:We examined data from 669 220 patients with 35 cancers diagnosed in 2006-2010 following either fast-track or 'routine' primary-to-secondary care referrals using 'Routes to Diagnosis' data. We estimated the proportion of fast-track referrals by sociodemographic characteristic and cancer site and used logistic regression to estimate respective crude and adjusted odds ratios. We additionally explored whether sociodemographic associations varied by cancer.Results:There were large variations in the odds of fast-track referral by cancer (P&lt;0.001). Patients with testicular and breast cancer were most likely to have been diagnosed after a fast-track referral (adjusted odds ratios 2.73 and 2.35, respectively, using rectal cancer as reference); whereas patients with brain cancer and leukaemias least likely (adjusted odds ratios 0.05 and 0.09, respectively, for brain cancer and acute myeloid leukaemia). There were sex, age and deprivation differences in the odds of fast-track referral (P&lt;0.013) that varied in their size and direction for patients with different cancers (P&lt;0.001). For example, fast-track referrals were least likely in younger women with endometrial cancer and in older men with testicular cancer.Conclusions:Fast-track referrals are less likely for cancers characterised by nonspecific presenting symptoms and patients belonging to low cancer incidence demographic groups. Interventions beyond clinical guidelines for 'alarm' symptoms are needed to improve diagnostic timeliness.","author":[{"dropping-particle":"","family":"Zhou","given":"Y.","non-dropping-particle":"","parse-names":false,"suffix":""},{"dropping-particle":"","family":"Mendonca","given":"S. C.","non-dropping-particle":"","parse-names":false,"suffix":""},{"dropping-particle":"","family":"Abel","given":"G. A.","non-dropping-particle":"","parse-names":false,"suffix":""},{"dropping-particle":"","family":"Hamilton","given":"W.","non-dropping-particle":"","parse-names":false,"suffix":""},{"dropping-particle":"","family":"Walter","given":"F. M.","non-dropping-particle":"","parse-names":false,"suffix":""},{"dropping-particle":"","family":"Johnson","given":"S.","non-dropping-particle":"","parse-names":false,"suffix":""},{"dropping-particle":"","family":"Shelton","given":"J.","non-dropping-particle":"","parse-names":false,"suffix":""},{"dropping-particle":"","family":"Elliss-Brookes","given":"L.","non-dropping-particle":"","parse-names":false,"suffix":""},{"dropping-particle":"","family":"McPhail","given":"S.","non-dropping-particle":"","parse-names":false,"suffix":""},{"dropping-particle":"","family":"Lyratzopoulos","given":"G.","non-dropping-particle":"","parse-names":false,"suffix":""}],"container-title":"British Journal of Cancer","id":"ITEM-10","issue":"1","issued":{"date-parts":[["2018","1","28"]]},"page":"24-31","publisher":"Nature Publishing Group","title":"Variation in ‘fast-track’ referrals for suspected cancer by patient characteristic and cancer diagnosis: evidence from 670 000 patients with cancers of 35 different sites","type":"article-journal","volume":"118"},"uris":["http://www.mendeley.com/documents/?uuid=d9e7e06b-fe74-3c66-a134-5fa0810d8a86"]},{"id":"ITEM-11","itemData":{"DOI":"10.1038/s41416-021-01541-4","ISSN":"0007-0920","PMID":"34531548","abstract":"Background: Expediting cancer diagnosis may be achieved by targeted decreases in referral thresholds to increase numbers of patients referred for urgent investigation. Methods: Clinical Practice Research Datalink data from England for 150,921 adults aged ≥40 were used to identify participants with features of possible cancer equating to risk thresholds ≥1%, ≥2% or ≥3% for breast, lung, colorectal, oesophago-gastric, pancreatic, renal, bladder, prostatic, ovarian, endometrial and laryngeal cancers. Results: The mean age of participants was 60 (SD 13) years, with 73,643 males (49%). In 2016, 8576 consultation records contained coded features having a positive predictive value (PPV) of ≥3% for any of the 11 cancers. This equates to a rate of 5682/100,000 patients compared with 4601/100,000 Suspected Cancer NHS referrals for these cancers from April 2016–March 2017. Nine thousands two hundred ninety-one patient-consultation records had coded features equating to a ≥2% PPV, 8% more than met PPV ≥ 3%. Similarly, 19,517 had features with a PPV ≥ 1%, 136% higher than for PPV ≥ 3%. Conclusions: This study estimated the number of primary-care patients presenting at lower thresholds of cancer risk. The resource implications of liberalising this threshold to 2% are modest and manageable. The details across individual cancer sites should assist planning of English cancer services.","author":[{"dropping-particle":"","family":"Moore","given":"Sarah F.","non-dropping-particle":"","parse-names":false,"suffix":""},{"dropping-particle":"","family":"Price","given":"Sarah J.","non-dropping-particle":"","parse-names":false,"suffix":""},{"dropping-particle":"","family":"Chowienczyk","given":"Sarah","non-dropping-particle":"","parse-names":false,"suffix":""},{"dropping-particle":"","family":"Bostock","given":"Jennifer","non-dropping-particle":"","parse-names":false,"suffix":""},{"dropping-particle":"","family":"Hamilton","given":"Willie","non-dropping-particle":"","parse-names":false,"suffix":""}],"container-title":"British Journal of Cancer","id":"ITEM-11","issue":"11","issued":{"date-parts":[["2021","11","23"]]},"page":"1593-1597","publisher":"Springer Nature","title":"The impact of changing risk thresholds on the number of people in England eligible for urgent investigation for possible cancer: an observational cross-sectional study","type":"article-journal","volume":"125"},"uris":["http://www.mendeley.com/documents/?uuid=75f11e7e-e899-3519-8ee9-35802a766586"]}],"mendeley":{"formattedCitation":"[7,8,17,9–16]","plainTextFormattedCitation":"[7,8,17,9–16]","previouslyFormattedCitation":"&lt;sup&gt;22,23,32,24–31&lt;/sup&gt;"},"properties":{"noteIndex":0},"schema":"https://github.com/citation-style-language/schema/raw/master/csl-citation.json"}</w:instrText>
      </w:r>
      <w:r w:rsidRPr="00804EB9">
        <w:rPr>
          <w:rFonts w:ascii="Segoe UI" w:eastAsia="Times New Roman" w:hAnsi="Segoe UI" w:cs="Segoe UI"/>
          <w:sz w:val="18"/>
          <w:szCs w:val="18"/>
          <w:lang w:eastAsia="en-GB"/>
        </w:rPr>
        <w:fldChar w:fldCharType="separate"/>
      </w:r>
      <w:r w:rsidR="007165EC" w:rsidRPr="007165EC">
        <w:rPr>
          <w:rFonts w:ascii="Segoe UI" w:eastAsia="Times New Roman" w:hAnsi="Segoe UI" w:cs="Segoe UI"/>
          <w:noProof/>
          <w:sz w:val="18"/>
          <w:szCs w:val="18"/>
          <w:lang w:eastAsia="en-GB"/>
        </w:rPr>
        <w:t>[7,8,17,9–16]</w:t>
      </w:r>
      <w:r w:rsidRPr="00804EB9">
        <w:rPr>
          <w:rFonts w:ascii="Segoe UI" w:eastAsia="Times New Roman" w:hAnsi="Segoe UI" w:cs="Segoe UI"/>
          <w:sz w:val="18"/>
          <w:szCs w:val="18"/>
          <w:lang w:eastAsia="en-GB"/>
        </w:rPr>
        <w:fldChar w:fldCharType="end"/>
      </w:r>
      <w:r w:rsidRPr="00804EB9">
        <w:rPr>
          <w:rFonts w:ascii="Segoe UI" w:eastAsia="Times New Roman" w:hAnsi="Segoe UI" w:cs="Segoe UI"/>
          <w:sz w:val="18"/>
          <w:szCs w:val="18"/>
          <w:lang w:eastAsia="en-GB"/>
        </w:rPr>
        <w:t>.</w:t>
      </w:r>
    </w:p>
    <w:p w14:paraId="5A15AA55" w14:textId="77777777" w:rsidR="0074479E" w:rsidRDefault="0074479E" w:rsidP="0074479E">
      <w:pPr>
        <w:spacing w:before="100" w:beforeAutospacing="1" w:after="100" w:afterAutospacing="1" w:line="240" w:lineRule="auto"/>
        <w:rPr>
          <w:rFonts w:ascii="Segoe UI" w:eastAsia="Times New Roman" w:hAnsi="Segoe UI" w:cs="Segoe UI"/>
          <w:sz w:val="18"/>
          <w:szCs w:val="18"/>
          <w:lang w:eastAsia="en-GB"/>
        </w:rPr>
      </w:pPr>
      <w:r w:rsidRPr="00963BD8">
        <w:rPr>
          <w:rFonts w:ascii="Segoe UI" w:eastAsia="Times New Roman" w:hAnsi="Segoe UI" w:cs="Segoe UI"/>
          <w:sz w:val="18"/>
          <w:szCs w:val="18"/>
          <w:lang w:eastAsia="en-GB"/>
        </w:rPr>
        <w:t xml:space="preserve">Codes were amalgamated across sources, with minor additions by YL, CR, MB, MR, and BW. They were then deduplicated to ensure symptom definitions were mutually exclusive, and validated by clinical co-authors (YL, CR). </w:t>
      </w:r>
    </w:p>
    <w:p w14:paraId="0183E1D9" w14:textId="636BB239" w:rsidR="0074479E" w:rsidRPr="00D93963" w:rsidRDefault="0074479E" w:rsidP="0074479E">
      <w:pPr>
        <w:spacing w:before="100" w:beforeAutospacing="1" w:after="100" w:afterAutospacing="1" w:line="240" w:lineRule="auto"/>
        <w:rPr>
          <w:rFonts w:ascii="Segoe UI" w:eastAsia="Times New Roman" w:hAnsi="Segoe UI" w:cs="Segoe UI"/>
          <w:i/>
          <w:iCs/>
          <w:sz w:val="18"/>
          <w:szCs w:val="18"/>
          <w:lang w:eastAsia="en-GB"/>
        </w:rPr>
      </w:pPr>
      <w:r w:rsidRPr="00D93963">
        <w:rPr>
          <w:rFonts w:ascii="Segoe UI" w:eastAsia="Times New Roman" w:hAnsi="Segoe UI" w:cs="Segoe UI"/>
          <w:i/>
          <w:iCs/>
          <w:sz w:val="18"/>
          <w:szCs w:val="18"/>
          <w:lang w:eastAsia="en-GB"/>
        </w:rPr>
        <w:t>Exeter University: Symptoms were defined using libraries of Read codes developed by WH and SP, and subsequently published in Moore et al 202</w:t>
      </w:r>
      <w:r w:rsidR="00587E1F" w:rsidRPr="00D93963">
        <w:rPr>
          <w:rFonts w:ascii="Segoe UI" w:eastAsia="Times New Roman" w:hAnsi="Segoe UI" w:cs="Segoe UI"/>
          <w:i/>
          <w:iCs/>
          <w:sz w:val="18"/>
          <w:szCs w:val="18"/>
          <w:lang w:eastAsia="en-GB"/>
        </w:rPr>
        <w:t>1</w:t>
      </w:r>
      <w:r w:rsidRPr="00D93963">
        <w:rPr>
          <w:rFonts w:ascii="Segoe UI" w:eastAsia="Times New Roman" w:hAnsi="Segoe UI" w:cs="Segoe UI"/>
          <w:i/>
          <w:iCs/>
          <w:sz w:val="18"/>
          <w:szCs w:val="18"/>
          <w:lang w:eastAsia="en-GB"/>
        </w:rPr>
        <w:t>.</w:t>
      </w:r>
    </w:p>
    <w:p w14:paraId="4AE54601" w14:textId="1906B465" w:rsidR="0074479E" w:rsidRPr="00D93963" w:rsidRDefault="0074479E" w:rsidP="0074479E">
      <w:pPr>
        <w:spacing w:before="100" w:beforeAutospacing="1" w:after="100" w:afterAutospacing="1" w:line="240" w:lineRule="auto"/>
        <w:rPr>
          <w:rFonts w:ascii="Segoe UI" w:eastAsia="Times New Roman" w:hAnsi="Segoe UI" w:cs="Segoe UI"/>
          <w:i/>
          <w:iCs/>
          <w:sz w:val="18"/>
          <w:szCs w:val="18"/>
          <w:lang w:eastAsia="en-GB"/>
        </w:rPr>
      </w:pPr>
      <w:r w:rsidRPr="00D93963">
        <w:rPr>
          <w:rFonts w:ascii="Segoe UI" w:eastAsia="Times New Roman" w:hAnsi="Segoe UI" w:cs="Segoe UI"/>
          <w:i/>
          <w:iCs/>
          <w:sz w:val="18"/>
          <w:szCs w:val="18"/>
          <w:lang w:eastAsia="en-GB"/>
        </w:rPr>
        <w:t xml:space="preserve">UCL: </w:t>
      </w:r>
      <w:r w:rsidR="00D93963" w:rsidRPr="00D93963">
        <w:rPr>
          <w:rFonts w:ascii="Segoe UI" w:eastAsia="Times New Roman" w:hAnsi="Segoe UI" w:cs="Segoe UI"/>
          <w:i/>
          <w:iCs/>
          <w:sz w:val="18"/>
          <w:szCs w:val="18"/>
          <w:lang w:eastAsia="en-GB"/>
        </w:rPr>
        <w:t>A</w:t>
      </w:r>
      <w:r w:rsidRPr="00D93963">
        <w:rPr>
          <w:rFonts w:ascii="Segoe UI" w:eastAsia="Times New Roman" w:hAnsi="Segoe UI" w:cs="Segoe UI"/>
          <w:i/>
          <w:iCs/>
          <w:sz w:val="18"/>
          <w:szCs w:val="18"/>
          <w:lang w:eastAsia="en-GB"/>
        </w:rPr>
        <w:t xml:space="preserve">dditional codes </w:t>
      </w:r>
      <w:r w:rsidR="00D93963" w:rsidRPr="00D93963">
        <w:rPr>
          <w:rFonts w:ascii="Segoe UI" w:eastAsia="Times New Roman" w:hAnsi="Segoe UI" w:cs="Segoe UI"/>
          <w:i/>
          <w:iCs/>
          <w:sz w:val="18"/>
          <w:szCs w:val="18"/>
          <w:lang w:eastAsia="en-GB"/>
        </w:rPr>
        <w:t xml:space="preserve">were </w:t>
      </w:r>
      <w:r w:rsidRPr="00D93963">
        <w:rPr>
          <w:rFonts w:ascii="Segoe UI" w:eastAsia="Times New Roman" w:hAnsi="Segoe UI" w:cs="Segoe UI"/>
          <w:i/>
          <w:iCs/>
          <w:sz w:val="18"/>
          <w:szCs w:val="18"/>
          <w:lang w:eastAsia="en-GB"/>
        </w:rPr>
        <w:t>added following further empirical use by colleagues GL, CR, BW, MB, and MR.</w:t>
      </w:r>
    </w:p>
    <w:tbl>
      <w:tblPr>
        <w:tblStyle w:val="TableGridLight1"/>
        <w:tblW w:w="5000" w:type="pct"/>
        <w:tblLook w:val="04A0" w:firstRow="1" w:lastRow="0" w:firstColumn="1" w:lastColumn="0" w:noHBand="0" w:noVBand="1"/>
      </w:tblPr>
      <w:tblGrid>
        <w:gridCol w:w="3114"/>
        <w:gridCol w:w="5902"/>
      </w:tblGrid>
      <w:tr w:rsidR="0074479E" w:rsidRPr="00963BD8" w14:paraId="35567FCA" w14:textId="77777777" w:rsidTr="00CF172A">
        <w:trPr>
          <w:trHeight w:val="300"/>
        </w:trPr>
        <w:tc>
          <w:tcPr>
            <w:tcW w:w="1727" w:type="pct"/>
            <w:noWrap/>
            <w:hideMark/>
          </w:tcPr>
          <w:p w14:paraId="58BB7FF6" w14:textId="77777777" w:rsidR="0074479E" w:rsidRPr="00963BD8" w:rsidRDefault="0074479E" w:rsidP="00CF172A">
            <w:pPr>
              <w:rPr>
                <w:rFonts w:ascii="Calibri" w:eastAsia="Times New Roman" w:hAnsi="Calibri" w:cs="Calibri"/>
                <w:b/>
                <w:bCs/>
                <w:color w:val="000000"/>
                <w:lang w:eastAsia="en-GB"/>
              </w:rPr>
            </w:pPr>
            <w:r w:rsidRPr="00963BD8">
              <w:rPr>
                <w:rFonts w:ascii="Calibri" w:eastAsia="Times New Roman" w:hAnsi="Calibri" w:cs="Calibri"/>
                <w:b/>
                <w:bCs/>
                <w:color w:val="000000"/>
                <w:lang w:eastAsia="en-GB"/>
              </w:rPr>
              <w:t>Symptom</w:t>
            </w:r>
          </w:p>
        </w:tc>
        <w:tc>
          <w:tcPr>
            <w:tcW w:w="3273" w:type="pct"/>
            <w:noWrap/>
            <w:hideMark/>
          </w:tcPr>
          <w:p w14:paraId="2C28D3EA" w14:textId="77777777" w:rsidR="0074479E" w:rsidRPr="00963BD8" w:rsidRDefault="0074479E" w:rsidP="00CF172A">
            <w:pPr>
              <w:rPr>
                <w:rFonts w:ascii="Calibri" w:eastAsia="Times New Roman" w:hAnsi="Calibri" w:cs="Calibri"/>
                <w:b/>
                <w:bCs/>
                <w:color w:val="000000"/>
                <w:lang w:eastAsia="en-GB"/>
              </w:rPr>
            </w:pPr>
            <w:r w:rsidRPr="00963BD8">
              <w:rPr>
                <w:rFonts w:ascii="Calibri" w:eastAsia="Times New Roman" w:hAnsi="Calibri" w:cs="Calibri"/>
                <w:b/>
                <w:bCs/>
                <w:color w:val="000000"/>
                <w:lang w:eastAsia="en-GB"/>
              </w:rPr>
              <w:t>Source of Read code list</w:t>
            </w:r>
          </w:p>
        </w:tc>
      </w:tr>
      <w:tr w:rsidR="0074479E" w:rsidRPr="00963BD8" w14:paraId="5E17959A" w14:textId="77777777" w:rsidTr="00CF172A">
        <w:trPr>
          <w:trHeight w:val="300"/>
        </w:trPr>
        <w:tc>
          <w:tcPr>
            <w:tcW w:w="5000" w:type="pct"/>
            <w:gridSpan w:val="2"/>
            <w:noWrap/>
            <w:hideMark/>
          </w:tcPr>
          <w:p w14:paraId="527142AC" w14:textId="77777777" w:rsidR="0074479E" w:rsidRPr="00963BD8" w:rsidRDefault="0074479E" w:rsidP="00CF172A">
            <w:pPr>
              <w:jc w:val="center"/>
              <w:rPr>
                <w:rFonts w:ascii="Calibri" w:eastAsia="Times New Roman" w:hAnsi="Calibri" w:cs="Calibri"/>
                <w:b/>
                <w:bCs/>
                <w:color w:val="000000"/>
                <w:lang w:eastAsia="en-GB"/>
              </w:rPr>
            </w:pPr>
            <w:r w:rsidRPr="00963BD8">
              <w:rPr>
                <w:rFonts w:ascii="Calibri" w:eastAsia="Times New Roman" w:hAnsi="Calibri" w:cs="Calibri"/>
                <w:b/>
                <w:bCs/>
                <w:color w:val="000000"/>
                <w:lang w:eastAsia="en-GB"/>
              </w:rPr>
              <w:t>Alarm symptoms</w:t>
            </w:r>
          </w:p>
        </w:tc>
      </w:tr>
      <w:tr w:rsidR="0074479E" w:rsidRPr="00963BD8" w14:paraId="63D55A72" w14:textId="77777777" w:rsidTr="00CF172A">
        <w:trPr>
          <w:trHeight w:val="300"/>
        </w:trPr>
        <w:tc>
          <w:tcPr>
            <w:tcW w:w="1727" w:type="pct"/>
            <w:hideMark/>
          </w:tcPr>
          <w:p w14:paraId="49D31BF9"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Abdominal (</w:t>
            </w:r>
            <w:proofErr w:type="spellStart"/>
            <w:r w:rsidRPr="00963BD8">
              <w:rPr>
                <w:rFonts w:ascii="Calibri" w:eastAsia="Times New Roman" w:hAnsi="Calibri" w:cs="Calibri"/>
                <w:color w:val="000000"/>
                <w:lang w:eastAsia="en-GB"/>
              </w:rPr>
              <w:t>incl</w:t>
            </w:r>
            <w:proofErr w:type="spellEnd"/>
            <w:r w:rsidRPr="00963BD8">
              <w:rPr>
                <w:rFonts w:ascii="Calibri" w:eastAsia="Times New Roman" w:hAnsi="Calibri" w:cs="Calibri"/>
                <w:color w:val="000000"/>
                <w:lang w:eastAsia="en-GB"/>
              </w:rPr>
              <w:t xml:space="preserve"> rectal) mass or intestinal obstruction</w:t>
            </w:r>
          </w:p>
        </w:tc>
        <w:tc>
          <w:tcPr>
            <w:tcW w:w="3273" w:type="pct"/>
            <w:hideMark/>
          </w:tcPr>
          <w:p w14:paraId="42E4EFEE"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Renzi et al 2016</w:t>
            </w:r>
          </w:p>
        </w:tc>
      </w:tr>
      <w:tr w:rsidR="0074479E" w:rsidRPr="00963BD8" w14:paraId="108840A0" w14:textId="77777777" w:rsidTr="00CF172A">
        <w:trPr>
          <w:trHeight w:val="300"/>
        </w:trPr>
        <w:tc>
          <w:tcPr>
            <w:tcW w:w="1727" w:type="pct"/>
            <w:hideMark/>
          </w:tcPr>
          <w:p w14:paraId="0AFBB137"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Breast lump</w:t>
            </w:r>
          </w:p>
        </w:tc>
        <w:tc>
          <w:tcPr>
            <w:tcW w:w="3273" w:type="pct"/>
            <w:hideMark/>
          </w:tcPr>
          <w:p w14:paraId="74CA50BC" w14:textId="491978EE"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Watson et al 2017, Exeter Uni.</w:t>
            </w:r>
            <w:r>
              <w:rPr>
                <w:rFonts w:ascii="Calibri" w:eastAsia="Times New Roman" w:hAnsi="Calibri" w:cs="Calibri"/>
                <w:color w:val="000000"/>
                <w:lang w:eastAsia="en-GB"/>
              </w:rPr>
              <w:t xml:space="preserve">, </w:t>
            </w:r>
            <w:r w:rsidRPr="00963BD8">
              <w:rPr>
                <w:rFonts w:ascii="Calibri" w:eastAsia="Times New Roman" w:hAnsi="Calibri" w:cs="Calibri"/>
                <w:color w:val="000000"/>
                <w:lang w:eastAsia="en-GB"/>
              </w:rPr>
              <w:t>UCL</w:t>
            </w:r>
          </w:p>
        </w:tc>
      </w:tr>
      <w:tr w:rsidR="0074479E" w:rsidRPr="00963BD8" w14:paraId="078C790A" w14:textId="77777777" w:rsidTr="00CF172A">
        <w:trPr>
          <w:trHeight w:val="300"/>
        </w:trPr>
        <w:tc>
          <w:tcPr>
            <w:tcW w:w="1727" w:type="pct"/>
            <w:hideMark/>
          </w:tcPr>
          <w:p w14:paraId="5623E535"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Breast skin changes</w:t>
            </w:r>
          </w:p>
        </w:tc>
        <w:tc>
          <w:tcPr>
            <w:tcW w:w="3273" w:type="pct"/>
            <w:hideMark/>
          </w:tcPr>
          <w:p w14:paraId="3A1D0D1A"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Din et al 2015</w:t>
            </w:r>
          </w:p>
        </w:tc>
      </w:tr>
      <w:tr w:rsidR="0074479E" w:rsidRPr="00963BD8" w14:paraId="6B0ABF0D" w14:textId="77777777" w:rsidTr="00CF172A">
        <w:trPr>
          <w:trHeight w:val="300"/>
        </w:trPr>
        <w:tc>
          <w:tcPr>
            <w:tcW w:w="1727" w:type="pct"/>
            <w:hideMark/>
          </w:tcPr>
          <w:p w14:paraId="330C18E6"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Change in bowel habit</w:t>
            </w:r>
          </w:p>
        </w:tc>
        <w:tc>
          <w:tcPr>
            <w:tcW w:w="3273" w:type="pct"/>
            <w:hideMark/>
          </w:tcPr>
          <w:p w14:paraId="72240618" w14:textId="2FECC342"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Watson et al 2017, Exeter Uni.</w:t>
            </w:r>
            <w:r>
              <w:rPr>
                <w:rFonts w:ascii="Calibri" w:eastAsia="Times New Roman" w:hAnsi="Calibri" w:cs="Calibri"/>
                <w:color w:val="000000"/>
                <w:lang w:eastAsia="en-GB"/>
              </w:rPr>
              <w:t xml:space="preserve">, </w:t>
            </w:r>
            <w:r w:rsidRPr="00963BD8">
              <w:rPr>
                <w:rFonts w:ascii="Calibri" w:eastAsia="Times New Roman" w:hAnsi="Calibri" w:cs="Calibri"/>
                <w:color w:val="000000"/>
                <w:lang w:eastAsia="en-GB"/>
              </w:rPr>
              <w:t>UCL</w:t>
            </w:r>
          </w:p>
        </w:tc>
      </w:tr>
      <w:tr w:rsidR="0074479E" w:rsidRPr="00963BD8" w14:paraId="5F924C92" w14:textId="77777777" w:rsidTr="00CF172A">
        <w:trPr>
          <w:trHeight w:val="300"/>
        </w:trPr>
        <w:tc>
          <w:tcPr>
            <w:tcW w:w="1727" w:type="pct"/>
            <w:hideMark/>
          </w:tcPr>
          <w:p w14:paraId="16504B23"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Dysphagia</w:t>
            </w:r>
          </w:p>
        </w:tc>
        <w:tc>
          <w:tcPr>
            <w:tcW w:w="3273" w:type="pct"/>
            <w:hideMark/>
          </w:tcPr>
          <w:p w14:paraId="215F4978" w14:textId="7DB6B1FD"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Watson et al 2017, Exeter Uni.</w:t>
            </w:r>
            <w:r>
              <w:rPr>
                <w:rFonts w:ascii="Calibri" w:eastAsia="Times New Roman" w:hAnsi="Calibri" w:cs="Calibri"/>
                <w:color w:val="000000"/>
                <w:lang w:eastAsia="en-GB"/>
              </w:rPr>
              <w:t xml:space="preserve">, </w:t>
            </w:r>
            <w:r w:rsidRPr="00963BD8">
              <w:rPr>
                <w:rFonts w:ascii="Calibri" w:eastAsia="Times New Roman" w:hAnsi="Calibri" w:cs="Calibri"/>
                <w:color w:val="000000"/>
                <w:lang w:eastAsia="en-GB"/>
              </w:rPr>
              <w:t>UCL</w:t>
            </w:r>
          </w:p>
        </w:tc>
      </w:tr>
      <w:tr w:rsidR="0074479E" w:rsidRPr="00963BD8" w14:paraId="6606C241" w14:textId="77777777" w:rsidTr="00CF172A">
        <w:trPr>
          <w:trHeight w:val="300"/>
        </w:trPr>
        <w:tc>
          <w:tcPr>
            <w:tcW w:w="1727" w:type="pct"/>
            <w:hideMark/>
          </w:tcPr>
          <w:p w14:paraId="0A905DED"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Haematuria</w:t>
            </w:r>
          </w:p>
        </w:tc>
        <w:tc>
          <w:tcPr>
            <w:tcW w:w="3273" w:type="pct"/>
            <w:hideMark/>
          </w:tcPr>
          <w:p w14:paraId="5F6FFB40" w14:textId="5EA3272F"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Watson et al 2017, Exeter Uni.</w:t>
            </w:r>
            <w:r>
              <w:rPr>
                <w:rFonts w:ascii="Calibri" w:eastAsia="Times New Roman" w:hAnsi="Calibri" w:cs="Calibri"/>
                <w:color w:val="000000"/>
                <w:lang w:eastAsia="en-GB"/>
              </w:rPr>
              <w:t xml:space="preserve">, </w:t>
            </w:r>
            <w:r w:rsidRPr="00963BD8">
              <w:rPr>
                <w:rFonts w:ascii="Calibri" w:eastAsia="Times New Roman" w:hAnsi="Calibri" w:cs="Calibri"/>
                <w:color w:val="000000"/>
                <w:lang w:eastAsia="en-GB"/>
              </w:rPr>
              <w:t>UCL</w:t>
            </w:r>
          </w:p>
        </w:tc>
      </w:tr>
      <w:tr w:rsidR="0074479E" w:rsidRPr="00963BD8" w14:paraId="68443082" w14:textId="77777777" w:rsidTr="00CF172A">
        <w:trPr>
          <w:trHeight w:val="300"/>
        </w:trPr>
        <w:tc>
          <w:tcPr>
            <w:tcW w:w="1727" w:type="pct"/>
            <w:hideMark/>
          </w:tcPr>
          <w:p w14:paraId="2C57290E"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Haemoptysis</w:t>
            </w:r>
          </w:p>
        </w:tc>
        <w:tc>
          <w:tcPr>
            <w:tcW w:w="3273" w:type="pct"/>
            <w:hideMark/>
          </w:tcPr>
          <w:p w14:paraId="26CED814" w14:textId="4D3ED85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Watson et al 2017, Exeter Uni.</w:t>
            </w:r>
            <w:r>
              <w:rPr>
                <w:rFonts w:ascii="Calibri" w:eastAsia="Times New Roman" w:hAnsi="Calibri" w:cs="Calibri"/>
                <w:color w:val="000000"/>
                <w:lang w:eastAsia="en-GB"/>
              </w:rPr>
              <w:t xml:space="preserve">, </w:t>
            </w:r>
            <w:r w:rsidRPr="00963BD8">
              <w:rPr>
                <w:rFonts w:ascii="Calibri" w:eastAsia="Times New Roman" w:hAnsi="Calibri" w:cs="Calibri"/>
                <w:color w:val="000000"/>
                <w:lang w:eastAsia="en-GB"/>
              </w:rPr>
              <w:t>UCL</w:t>
            </w:r>
          </w:p>
        </w:tc>
      </w:tr>
      <w:tr w:rsidR="0074479E" w:rsidRPr="00963BD8" w14:paraId="4174A0ED" w14:textId="77777777" w:rsidTr="00CF172A">
        <w:trPr>
          <w:trHeight w:val="300"/>
        </w:trPr>
        <w:tc>
          <w:tcPr>
            <w:tcW w:w="1727" w:type="pct"/>
            <w:hideMark/>
          </w:tcPr>
          <w:p w14:paraId="1B05E2BD"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Head or neck lump</w:t>
            </w:r>
          </w:p>
        </w:tc>
        <w:tc>
          <w:tcPr>
            <w:tcW w:w="3273" w:type="pct"/>
            <w:hideMark/>
          </w:tcPr>
          <w:p w14:paraId="4BD83BA2"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Din et al 2015</w:t>
            </w:r>
          </w:p>
        </w:tc>
      </w:tr>
      <w:tr w:rsidR="0074479E" w:rsidRPr="00963BD8" w14:paraId="5F2960B1" w14:textId="77777777" w:rsidTr="00CF172A">
        <w:trPr>
          <w:trHeight w:val="300"/>
        </w:trPr>
        <w:tc>
          <w:tcPr>
            <w:tcW w:w="1727" w:type="pct"/>
            <w:hideMark/>
          </w:tcPr>
          <w:p w14:paraId="324E6D3B"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Hoarseness</w:t>
            </w:r>
          </w:p>
        </w:tc>
        <w:tc>
          <w:tcPr>
            <w:tcW w:w="3273" w:type="pct"/>
            <w:hideMark/>
          </w:tcPr>
          <w:p w14:paraId="05C12EB4"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Din et al 2015</w:t>
            </w:r>
          </w:p>
        </w:tc>
      </w:tr>
      <w:tr w:rsidR="0074479E" w:rsidRPr="00963BD8" w14:paraId="0C8E840F" w14:textId="77777777" w:rsidTr="00CF172A">
        <w:trPr>
          <w:trHeight w:val="300"/>
        </w:trPr>
        <w:tc>
          <w:tcPr>
            <w:tcW w:w="1727" w:type="pct"/>
            <w:hideMark/>
          </w:tcPr>
          <w:p w14:paraId="516F5412"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Jaundice</w:t>
            </w:r>
          </w:p>
        </w:tc>
        <w:tc>
          <w:tcPr>
            <w:tcW w:w="3273" w:type="pct"/>
            <w:hideMark/>
          </w:tcPr>
          <w:p w14:paraId="36F9145A" w14:textId="5C2155A1"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Watson et al 2017, Exeter Uni</w:t>
            </w:r>
            <w:r>
              <w:rPr>
                <w:rFonts w:ascii="Calibri" w:eastAsia="Times New Roman" w:hAnsi="Calibri" w:cs="Calibri"/>
                <w:color w:val="000000"/>
                <w:lang w:eastAsia="en-GB"/>
              </w:rPr>
              <w:t>.,</w:t>
            </w:r>
            <w:r w:rsidRPr="00963BD8">
              <w:rPr>
                <w:rFonts w:ascii="Calibri" w:eastAsia="Times New Roman" w:hAnsi="Calibri" w:cs="Calibri"/>
                <w:color w:val="000000"/>
                <w:lang w:eastAsia="en-GB"/>
              </w:rPr>
              <w:t xml:space="preserve"> UCL</w:t>
            </w:r>
          </w:p>
        </w:tc>
      </w:tr>
      <w:tr w:rsidR="0074479E" w:rsidRPr="00963BD8" w14:paraId="6B2E4B72" w14:textId="77777777" w:rsidTr="00CF172A">
        <w:trPr>
          <w:trHeight w:val="300"/>
        </w:trPr>
        <w:tc>
          <w:tcPr>
            <w:tcW w:w="1727" w:type="pct"/>
            <w:hideMark/>
          </w:tcPr>
          <w:p w14:paraId="526CF23D"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Lump (excl. head &amp; neck, breast, testicular, abdominal)</w:t>
            </w:r>
          </w:p>
        </w:tc>
        <w:tc>
          <w:tcPr>
            <w:tcW w:w="3273" w:type="pct"/>
            <w:hideMark/>
          </w:tcPr>
          <w:p w14:paraId="3895F03E"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Din et al 2015</w:t>
            </w:r>
          </w:p>
        </w:tc>
      </w:tr>
      <w:tr w:rsidR="0074479E" w:rsidRPr="00963BD8" w14:paraId="7C2E2128" w14:textId="77777777" w:rsidTr="00CF172A">
        <w:trPr>
          <w:trHeight w:val="300"/>
        </w:trPr>
        <w:tc>
          <w:tcPr>
            <w:tcW w:w="1727" w:type="pct"/>
            <w:hideMark/>
          </w:tcPr>
          <w:p w14:paraId="6A1134D8"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Lymphadenopathy</w:t>
            </w:r>
          </w:p>
        </w:tc>
        <w:tc>
          <w:tcPr>
            <w:tcW w:w="3273" w:type="pct"/>
            <w:hideMark/>
          </w:tcPr>
          <w:p w14:paraId="312539FB"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Din et al 2015</w:t>
            </w:r>
          </w:p>
        </w:tc>
      </w:tr>
      <w:tr w:rsidR="0074479E" w:rsidRPr="00963BD8" w14:paraId="08343A31" w14:textId="77777777" w:rsidTr="00CF172A">
        <w:trPr>
          <w:trHeight w:val="300"/>
        </w:trPr>
        <w:tc>
          <w:tcPr>
            <w:tcW w:w="1727" w:type="pct"/>
            <w:hideMark/>
          </w:tcPr>
          <w:p w14:paraId="10BAE69B"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Nipple changes of concern (</w:t>
            </w:r>
            <w:proofErr w:type="spellStart"/>
            <w:r w:rsidRPr="00963BD8">
              <w:rPr>
                <w:rFonts w:ascii="Calibri" w:eastAsia="Times New Roman" w:hAnsi="Calibri" w:cs="Calibri"/>
                <w:color w:val="000000"/>
                <w:lang w:eastAsia="en-GB"/>
              </w:rPr>
              <w:t>incl</w:t>
            </w:r>
            <w:proofErr w:type="spellEnd"/>
            <w:r w:rsidRPr="00963BD8">
              <w:rPr>
                <w:rFonts w:ascii="Calibri" w:eastAsia="Times New Roman" w:hAnsi="Calibri" w:cs="Calibri"/>
                <w:color w:val="000000"/>
                <w:lang w:eastAsia="en-GB"/>
              </w:rPr>
              <w:t xml:space="preserve"> discharge or retraction)</w:t>
            </w:r>
          </w:p>
        </w:tc>
        <w:tc>
          <w:tcPr>
            <w:tcW w:w="3273" w:type="pct"/>
            <w:hideMark/>
          </w:tcPr>
          <w:p w14:paraId="6D2D9183"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Din et al 2015</w:t>
            </w:r>
          </w:p>
        </w:tc>
      </w:tr>
      <w:tr w:rsidR="0074479E" w:rsidRPr="00963BD8" w14:paraId="471835CE" w14:textId="77777777" w:rsidTr="00CF172A">
        <w:trPr>
          <w:trHeight w:val="300"/>
        </w:trPr>
        <w:tc>
          <w:tcPr>
            <w:tcW w:w="1727" w:type="pct"/>
            <w:hideMark/>
          </w:tcPr>
          <w:p w14:paraId="56A916FB"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Post-menopausal bleeding</w:t>
            </w:r>
          </w:p>
        </w:tc>
        <w:tc>
          <w:tcPr>
            <w:tcW w:w="3273" w:type="pct"/>
            <w:hideMark/>
          </w:tcPr>
          <w:p w14:paraId="2FE38954" w14:textId="15CA9573"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Watson et al 2017, Exeter Uni.</w:t>
            </w:r>
            <w:r>
              <w:rPr>
                <w:rFonts w:ascii="Calibri" w:eastAsia="Times New Roman" w:hAnsi="Calibri" w:cs="Calibri"/>
                <w:color w:val="000000"/>
                <w:lang w:eastAsia="en-GB"/>
              </w:rPr>
              <w:t xml:space="preserve">, </w:t>
            </w:r>
            <w:r w:rsidRPr="00963BD8">
              <w:rPr>
                <w:rFonts w:ascii="Calibri" w:eastAsia="Times New Roman" w:hAnsi="Calibri" w:cs="Calibri"/>
                <w:color w:val="000000"/>
                <w:lang w:eastAsia="en-GB"/>
              </w:rPr>
              <w:t>UCL</w:t>
            </w:r>
          </w:p>
        </w:tc>
      </w:tr>
      <w:tr w:rsidR="0074479E" w:rsidRPr="00963BD8" w14:paraId="75203F97" w14:textId="77777777" w:rsidTr="00CF172A">
        <w:trPr>
          <w:trHeight w:val="300"/>
        </w:trPr>
        <w:tc>
          <w:tcPr>
            <w:tcW w:w="1727" w:type="pct"/>
            <w:hideMark/>
          </w:tcPr>
          <w:p w14:paraId="06D4F4F5"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Rectal bleeding</w:t>
            </w:r>
          </w:p>
        </w:tc>
        <w:tc>
          <w:tcPr>
            <w:tcW w:w="3273" w:type="pct"/>
            <w:hideMark/>
          </w:tcPr>
          <w:p w14:paraId="32C61BAB" w14:textId="56E73539"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Watson et al 2017, Exeter Uni.</w:t>
            </w:r>
            <w:r>
              <w:rPr>
                <w:rFonts w:ascii="Calibri" w:eastAsia="Times New Roman" w:hAnsi="Calibri" w:cs="Calibri"/>
                <w:color w:val="000000"/>
                <w:lang w:eastAsia="en-GB"/>
              </w:rPr>
              <w:t xml:space="preserve">, </w:t>
            </w:r>
            <w:r w:rsidRPr="00963BD8">
              <w:rPr>
                <w:rFonts w:ascii="Calibri" w:eastAsia="Times New Roman" w:hAnsi="Calibri" w:cs="Calibri"/>
                <w:color w:val="000000"/>
                <w:lang w:eastAsia="en-GB"/>
              </w:rPr>
              <w:t>UCL</w:t>
            </w:r>
          </w:p>
        </w:tc>
      </w:tr>
      <w:tr w:rsidR="0074479E" w:rsidRPr="00963BD8" w14:paraId="67508F01" w14:textId="77777777" w:rsidTr="00CF172A">
        <w:trPr>
          <w:trHeight w:val="300"/>
        </w:trPr>
        <w:tc>
          <w:tcPr>
            <w:tcW w:w="1727" w:type="pct"/>
            <w:hideMark/>
          </w:tcPr>
          <w:p w14:paraId="71348734"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Testicular enlargement/ lump</w:t>
            </w:r>
          </w:p>
        </w:tc>
        <w:tc>
          <w:tcPr>
            <w:tcW w:w="3273" w:type="pct"/>
            <w:hideMark/>
          </w:tcPr>
          <w:p w14:paraId="0733BFC5"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Din et al 2015</w:t>
            </w:r>
          </w:p>
        </w:tc>
      </w:tr>
      <w:tr w:rsidR="0074479E" w:rsidRPr="00963BD8" w14:paraId="26AC3789" w14:textId="77777777" w:rsidTr="00CF172A">
        <w:trPr>
          <w:trHeight w:val="300"/>
        </w:trPr>
        <w:tc>
          <w:tcPr>
            <w:tcW w:w="5000" w:type="pct"/>
            <w:gridSpan w:val="2"/>
            <w:hideMark/>
          </w:tcPr>
          <w:p w14:paraId="188AFA2C" w14:textId="77777777" w:rsidR="0074479E" w:rsidRPr="00963BD8" w:rsidRDefault="0074479E" w:rsidP="00CF172A">
            <w:pPr>
              <w:jc w:val="center"/>
              <w:rPr>
                <w:rFonts w:ascii="Calibri" w:eastAsia="Times New Roman" w:hAnsi="Calibri" w:cs="Calibri"/>
                <w:b/>
                <w:bCs/>
                <w:color w:val="000000"/>
                <w:lang w:eastAsia="en-GB"/>
              </w:rPr>
            </w:pPr>
            <w:r w:rsidRPr="00963BD8">
              <w:rPr>
                <w:rFonts w:ascii="Calibri" w:eastAsia="Times New Roman" w:hAnsi="Calibri" w:cs="Calibri"/>
                <w:b/>
                <w:bCs/>
                <w:color w:val="000000"/>
                <w:lang w:eastAsia="en-GB"/>
              </w:rPr>
              <w:t>Non-alarm symptoms</w:t>
            </w:r>
          </w:p>
        </w:tc>
      </w:tr>
      <w:tr w:rsidR="0074479E" w:rsidRPr="00963BD8" w14:paraId="5A8D0577" w14:textId="77777777" w:rsidTr="00CF172A">
        <w:trPr>
          <w:trHeight w:val="300"/>
        </w:trPr>
        <w:tc>
          <w:tcPr>
            <w:tcW w:w="1727" w:type="pct"/>
            <w:hideMark/>
          </w:tcPr>
          <w:p w14:paraId="37DB5C89"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Abdominal bloating</w:t>
            </w:r>
          </w:p>
        </w:tc>
        <w:tc>
          <w:tcPr>
            <w:tcW w:w="3273" w:type="pct"/>
            <w:hideMark/>
          </w:tcPr>
          <w:p w14:paraId="7579BE78" w14:textId="0465A22E"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Watson et al 2017, Exeter Uni.</w:t>
            </w:r>
            <w:r w:rsidR="00C3706C">
              <w:rPr>
                <w:rFonts w:ascii="Calibri" w:eastAsia="Times New Roman" w:hAnsi="Calibri" w:cs="Calibri"/>
                <w:color w:val="000000"/>
                <w:lang w:eastAsia="en-GB"/>
              </w:rPr>
              <w:t xml:space="preserve">, </w:t>
            </w:r>
            <w:r w:rsidRPr="00963BD8">
              <w:rPr>
                <w:rFonts w:ascii="Calibri" w:eastAsia="Times New Roman" w:hAnsi="Calibri" w:cs="Calibri"/>
                <w:color w:val="000000"/>
                <w:lang w:eastAsia="en-GB"/>
              </w:rPr>
              <w:t>UCL</w:t>
            </w:r>
          </w:p>
        </w:tc>
      </w:tr>
      <w:tr w:rsidR="0074479E" w:rsidRPr="00963BD8" w14:paraId="7114FEAB" w14:textId="77777777" w:rsidTr="00CF172A">
        <w:trPr>
          <w:trHeight w:val="900"/>
        </w:trPr>
        <w:tc>
          <w:tcPr>
            <w:tcW w:w="1727" w:type="pct"/>
            <w:hideMark/>
          </w:tcPr>
          <w:p w14:paraId="6F179A71"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Abdominal pain</w:t>
            </w:r>
          </w:p>
        </w:tc>
        <w:tc>
          <w:tcPr>
            <w:tcW w:w="3273" w:type="pct"/>
            <w:hideMark/>
          </w:tcPr>
          <w:p w14:paraId="778CD6AF" w14:textId="2D55CE71"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Watson et al 2017, Exeter Uni.</w:t>
            </w:r>
            <w:r w:rsidR="00C3706C">
              <w:rPr>
                <w:rFonts w:ascii="Calibri" w:eastAsia="Times New Roman" w:hAnsi="Calibri" w:cs="Calibri"/>
                <w:color w:val="000000"/>
                <w:lang w:eastAsia="en-GB"/>
              </w:rPr>
              <w:t>,</w:t>
            </w:r>
            <w:r w:rsidRPr="00963BD8">
              <w:rPr>
                <w:rFonts w:ascii="Calibri" w:eastAsia="Times New Roman" w:hAnsi="Calibri" w:cs="Calibri"/>
                <w:color w:val="000000"/>
                <w:lang w:eastAsia="en-GB"/>
              </w:rPr>
              <w:t xml:space="preserve"> UCL</w:t>
            </w:r>
            <w:r w:rsidRPr="00963BD8">
              <w:rPr>
                <w:rFonts w:ascii="Calibri" w:eastAsia="Times New Roman" w:hAnsi="Calibri" w:cs="Calibri"/>
                <w:color w:val="000000"/>
                <w:lang w:eastAsia="en-GB"/>
              </w:rPr>
              <w:br/>
              <w:t>Din et al 2015</w:t>
            </w:r>
            <w:r w:rsidRPr="00963BD8">
              <w:rPr>
                <w:rFonts w:ascii="Calibri" w:eastAsia="Times New Roman" w:hAnsi="Calibri" w:cs="Calibri"/>
                <w:color w:val="000000"/>
                <w:lang w:eastAsia="en-GB"/>
              </w:rPr>
              <w:br/>
              <w:t>Doran et al 2011</w:t>
            </w:r>
          </w:p>
        </w:tc>
      </w:tr>
      <w:tr w:rsidR="0074479E" w:rsidRPr="00963BD8" w14:paraId="17E4A6E8" w14:textId="77777777" w:rsidTr="00CF172A">
        <w:trPr>
          <w:trHeight w:val="600"/>
        </w:trPr>
        <w:tc>
          <w:tcPr>
            <w:tcW w:w="1727" w:type="pct"/>
            <w:hideMark/>
          </w:tcPr>
          <w:p w14:paraId="4D7AD324"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Back pain</w:t>
            </w:r>
          </w:p>
        </w:tc>
        <w:tc>
          <w:tcPr>
            <w:tcW w:w="3273" w:type="pct"/>
            <w:hideMark/>
          </w:tcPr>
          <w:p w14:paraId="7C02F101"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Doran et al 2011</w:t>
            </w:r>
            <w:r w:rsidRPr="00963BD8">
              <w:rPr>
                <w:rFonts w:ascii="Calibri" w:eastAsia="Times New Roman" w:hAnsi="Calibri" w:cs="Calibri"/>
                <w:color w:val="000000"/>
                <w:lang w:eastAsia="en-GB"/>
              </w:rPr>
              <w:br/>
              <w:t>Adapted by BW from Masefield et al 2021</w:t>
            </w:r>
          </w:p>
        </w:tc>
      </w:tr>
      <w:tr w:rsidR="0074479E" w:rsidRPr="00963BD8" w14:paraId="759CE6F1" w14:textId="77777777" w:rsidTr="00CF172A">
        <w:trPr>
          <w:trHeight w:val="300"/>
        </w:trPr>
        <w:tc>
          <w:tcPr>
            <w:tcW w:w="1727" w:type="pct"/>
            <w:hideMark/>
          </w:tcPr>
          <w:p w14:paraId="39E3C95B"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Chest pain</w:t>
            </w:r>
          </w:p>
        </w:tc>
        <w:tc>
          <w:tcPr>
            <w:tcW w:w="3273" w:type="pct"/>
            <w:hideMark/>
          </w:tcPr>
          <w:p w14:paraId="72B06EF0"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Din et al 2015</w:t>
            </w:r>
          </w:p>
        </w:tc>
      </w:tr>
      <w:tr w:rsidR="0074479E" w:rsidRPr="00963BD8" w14:paraId="67C656E0" w14:textId="77777777" w:rsidTr="00CF172A">
        <w:trPr>
          <w:trHeight w:val="300"/>
        </w:trPr>
        <w:tc>
          <w:tcPr>
            <w:tcW w:w="1727" w:type="pct"/>
            <w:hideMark/>
          </w:tcPr>
          <w:p w14:paraId="1F54B233"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Constipation</w:t>
            </w:r>
          </w:p>
        </w:tc>
        <w:tc>
          <w:tcPr>
            <w:tcW w:w="3273" w:type="pct"/>
            <w:hideMark/>
          </w:tcPr>
          <w:p w14:paraId="0F4511BE"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Renzi et al 2016</w:t>
            </w:r>
          </w:p>
        </w:tc>
      </w:tr>
      <w:tr w:rsidR="0074479E" w:rsidRPr="00963BD8" w14:paraId="240A0401" w14:textId="77777777" w:rsidTr="00CF172A">
        <w:trPr>
          <w:trHeight w:val="300"/>
        </w:trPr>
        <w:tc>
          <w:tcPr>
            <w:tcW w:w="1727" w:type="pct"/>
            <w:hideMark/>
          </w:tcPr>
          <w:p w14:paraId="3EFFB9B3"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Cough</w:t>
            </w:r>
          </w:p>
        </w:tc>
        <w:tc>
          <w:tcPr>
            <w:tcW w:w="3273" w:type="pct"/>
            <w:hideMark/>
          </w:tcPr>
          <w:p w14:paraId="7383D833"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Din et al 2015</w:t>
            </w:r>
          </w:p>
        </w:tc>
      </w:tr>
      <w:tr w:rsidR="0074479E" w:rsidRPr="00963BD8" w14:paraId="10D9EA3C" w14:textId="77777777" w:rsidTr="00CF172A">
        <w:trPr>
          <w:trHeight w:val="300"/>
        </w:trPr>
        <w:tc>
          <w:tcPr>
            <w:tcW w:w="1727" w:type="pct"/>
            <w:hideMark/>
          </w:tcPr>
          <w:p w14:paraId="2F486E5C"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Diarrhoea</w:t>
            </w:r>
          </w:p>
        </w:tc>
        <w:tc>
          <w:tcPr>
            <w:tcW w:w="3273" w:type="pct"/>
            <w:hideMark/>
          </w:tcPr>
          <w:p w14:paraId="08BE8AA7"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Renzi et al 2016</w:t>
            </w:r>
          </w:p>
        </w:tc>
      </w:tr>
      <w:tr w:rsidR="0074479E" w:rsidRPr="00963BD8" w14:paraId="78F55671" w14:textId="77777777" w:rsidTr="00CF172A">
        <w:trPr>
          <w:trHeight w:val="300"/>
        </w:trPr>
        <w:tc>
          <w:tcPr>
            <w:tcW w:w="1727" w:type="pct"/>
            <w:hideMark/>
          </w:tcPr>
          <w:p w14:paraId="12FBB0CE"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Dyspnoea</w:t>
            </w:r>
          </w:p>
        </w:tc>
        <w:tc>
          <w:tcPr>
            <w:tcW w:w="3273" w:type="pct"/>
            <w:hideMark/>
          </w:tcPr>
          <w:p w14:paraId="5CBA7A5E" w14:textId="74CE8E33"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Watson et al 2017, Exeter Uni.</w:t>
            </w:r>
            <w:r w:rsidR="00C3706C">
              <w:rPr>
                <w:rFonts w:ascii="Calibri" w:eastAsia="Times New Roman" w:hAnsi="Calibri" w:cs="Calibri"/>
                <w:color w:val="000000"/>
                <w:lang w:eastAsia="en-GB"/>
              </w:rPr>
              <w:t>,</w:t>
            </w:r>
            <w:r w:rsidRPr="00963BD8">
              <w:rPr>
                <w:rFonts w:ascii="Calibri" w:eastAsia="Times New Roman" w:hAnsi="Calibri" w:cs="Calibri"/>
                <w:color w:val="000000"/>
                <w:lang w:eastAsia="en-GB"/>
              </w:rPr>
              <w:t xml:space="preserve"> UCL</w:t>
            </w:r>
          </w:p>
        </w:tc>
      </w:tr>
      <w:tr w:rsidR="0074479E" w:rsidRPr="00963BD8" w14:paraId="127094D8" w14:textId="77777777" w:rsidTr="00CF172A">
        <w:trPr>
          <w:trHeight w:val="300"/>
        </w:trPr>
        <w:tc>
          <w:tcPr>
            <w:tcW w:w="1727" w:type="pct"/>
          </w:tcPr>
          <w:p w14:paraId="77021546"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Fatigue</w:t>
            </w:r>
          </w:p>
        </w:tc>
        <w:tc>
          <w:tcPr>
            <w:tcW w:w="3273" w:type="pct"/>
          </w:tcPr>
          <w:p w14:paraId="25F711BF" w14:textId="0FC1F13D"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Exeter Uni</w:t>
            </w:r>
            <w:r w:rsidR="00C3706C">
              <w:rPr>
                <w:rFonts w:ascii="Calibri" w:eastAsia="Times New Roman" w:hAnsi="Calibri" w:cs="Calibri"/>
                <w:color w:val="000000"/>
                <w:lang w:eastAsia="en-GB"/>
              </w:rPr>
              <w:t>.,</w:t>
            </w:r>
            <w:r w:rsidRPr="00963BD8">
              <w:rPr>
                <w:rFonts w:ascii="Calibri" w:eastAsia="Times New Roman" w:hAnsi="Calibri" w:cs="Calibri"/>
                <w:color w:val="000000"/>
                <w:lang w:eastAsia="en-GB"/>
              </w:rPr>
              <w:t xml:space="preserve"> UCL</w:t>
            </w:r>
          </w:p>
        </w:tc>
      </w:tr>
      <w:tr w:rsidR="0074479E" w:rsidRPr="00963BD8" w14:paraId="70E31BB0" w14:textId="77777777" w:rsidTr="00CF172A">
        <w:trPr>
          <w:trHeight w:val="600"/>
        </w:trPr>
        <w:tc>
          <w:tcPr>
            <w:tcW w:w="1727" w:type="pct"/>
            <w:hideMark/>
          </w:tcPr>
          <w:p w14:paraId="040AEEC0"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lastRenderedPageBreak/>
              <w:t>Headache</w:t>
            </w:r>
          </w:p>
        </w:tc>
        <w:tc>
          <w:tcPr>
            <w:tcW w:w="3273" w:type="pct"/>
            <w:hideMark/>
          </w:tcPr>
          <w:p w14:paraId="3275EBC8"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Adapted by BW from Masefield et al 2021</w:t>
            </w:r>
          </w:p>
        </w:tc>
      </w:tr>
      <w:tr w:rsidR="0074479E" w:rsidRPr="00963BD8" w14:paraId="09391FF3" w14:textId="77777777" w:rsidTr="00CF172A">
        <w:trPr>
          <w:trHeight w:val="300"/>
        </w:trPr>
        <w:tc>
          <w:tcPr>
            <w:tcW w:w="1727" w:type="pct"/>
            <w:hideMark/>
          </w:tcPr>
          <w:p w14:paraId="53AA2C71"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Lower respiratory tract infection</w:t>
            </w:r>
          </w:p>
        </w:tc>
        <w:tc>
          <w:tcPr>
            <w:tcW w:w="3273" w:type="pct"/>
            <w:hideMark/>
          </w:tcPr>
          <w:p w14:paraId="4277CE7B"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Palin et al 2019</w:t>
            </w:r>
          </w:p>
        </w:tc>
      </w:tr>
      <w:tr w:rsidR="0074479E" w:rsidRPr="00963BD8" w14:paraId="533F7812" w14:textId="77777777" w:rsidTr="00CF172A">
        <w:trPr>
          <w:trHeight w:val="900"/>
        </w:trPr>
        <w:tc>
          <w:tcPr>
            <w:tcW w:w="1727" w:type="pct"/>
            <w:hideMark/>
          </w:tcPr>
          <w:p w14:paraId="6F8B69E4"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Other musculoskeletal pain (</w:t>
            </w:r>
            <w:proofErr w:type="spellStart"/>
            <w:r w:rsidRPr="00963BD8">
              <w:rPr>
                <w:rFonts w:ascii="Calibri" w:eastAsia="Times New Roman" w:hAnsi="Calibri" w:cs="Calibri"/>
                <w:color w:val="000000"/>
                <w:lang w:eastAsia="en-GB"/>
              </w:rPr>
              <w:t>excl</w:t>
            </w:r>
            <w:proofErr w:type="spellEnd"/>
            <w:r w:rsidRPr="00963BD8">
              <w:rPr>
                <w:rFonts w:ascii="Calibri" w:eastAsia="Times New Roman" w:hAnsi="Calibri" w:cs="Calibri"/>
                <w:color w:val="000000"/>
                <w:lang w:eastAsia="en-GB"/>
              </w:rPr>
              <w:t xml:space="preserve"> back, pelvic, chest, abdominal,</w:t>
            </w:r>
          </w:p>
        </w:tc>
        <w:tc>
          <w:tcPr>
            <w:tcW w:w="3273" w:type="pct"/>
            <w:hideMark/>
          </w:tcPr>
          <w:p w14:paraId="526A4E02"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Din et al 2015</w:t>
            </w:r>
            <w:r w:rsidRPr="00963BD8">
              <w:rPr>
                <w:rFonts w:ascii="Calibri" w:eastAsia="Times New Roman" w:hAnsi="Calibri" w:cs="Calibri"/>
                <w:color w:val="000000"/>
                <w:lang w:eastAsia="en-GB"/>
              </w:rPr>
              <w:br/>
              <w:t>Doran et al 2011</w:t>
            </w:r>
            <w:r w:rsidRPr="00963BD8">
              <w:rPr>
                <w:rFonts w:ascii="Calibri" w:eastAsia="Times New Roman" w:hAnsi="Calibri" w:cs="Calibri"/>
                <w:color w:val="000000"/>
                <w:lang w:eastAsia="en-GB"/>
              </w:rPr>
              <w:br/>
              <w:t>Adapted by BW from Masefield et al 2021</w:t>
            </w:r>
          </w:p>
        </w:tc>
      </w:tr>
      <w:tr w:rsidR="0074479E" w:rsidRPr="00963BD8" w14:paraId="415C2644" w14:textId="77777777" w:rsidTr="00CF172A">
        <w:trPr>
          <w:trHeight w:val="300"/>
        </w:trPr>
        <w:tc>
          <w:tcPr>
            <w:tcW w:w="1727" w:type="pct"/>
            <w:hideMark/>
          </w:tcPr>
          <w:p w14:paraId="44EE201B"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Night sweats</w:t>
            </w:r>
          </w:p>
        </w:tc>
        <w:tc>
          <w:tcPr>
            <w:tcW w:w="3273" w:type="pct"/>
            <w:hideMark/>
          </w:tcPr>
          <w:p w14:paraId="7E529647" w14:textId="33D1FCC4"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Watson et al 2017, Exeter Uni.</w:t>
            </w:r>
            <w:r w:rsidR="00C3706C">
              <w:rPr>
                <w:rFonts w:ascii="Calibri" w:eastAsia="Times New Roman" w:hAnsi="Calibri" w:cs="Calibri"/>
                <w:color w:val="000000"/>
                <w:lang w:eastAsia="en-GB"/>
              </w:rPr>
              <w:t>,</w:t>
            </w:r>
            <w:r w:rsidRPr="00963BD8">
              <w:rPr>
                <w:rFonts w:ascii="Calibri" w:eastAsia="Times New Roman" w:hAnsi="Calibri" w:cs="Calibri"/>
                <w:color w:val="000000"/>
                <w:lang w:eastAsia="en-GB"/>
              </w:rPr>
              <w:t xml:space="preserve"> UCL</w:t>
            </w:r>
          </w:p>
        </w:tc>
      </w:tr>
      <w:tr w:rsidR="0074479E" w:rsidRPr="00963BD8" w14:paraId="4CB3F923" w14:textId="77777777" w:rsidTr="00CF172A">
        <w:trPr>
          <w:trHeight w:val="600"/>
        </w:trPr>
        <w:tc>
          <w:tcPr>
            <w:tcW w:w="1727" w:type="pct"/>
            <w:hideMark/>
          </w:tcPr>
          <w:p w14:paraId="0734DDF1"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Pelvic pain</w:t>
            </w:r>
          </w:p>
        </w:tc>
        <w:tc>
          <w:tcPr>
            <w:tcW w:w="3273" w:type="pct"/>
            <w:hideMark/>
          </w:tcPr>
          <w:p w14:paraId="123314DC"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Din et al 2015</w:t>
            </w:r>
            <w:r w:rsidRPr="00963BD8">
              <w:rPr>
                <w:rFonts w:ascii="Calibri" w:eastAsia="Times New Roman" w:hAnsi="Calibri" w:cs="Calibri"/>
                <w:color w:val="000000"/>
                <w:lang w:eastAsia="en-GB"/>
              </w:rPr>
              <w:br/>
              <w:t>Zhou et al 2021</w:t>
            </w:r>
          </w:p>
        </w:tc>
      </w:tr>
      <w:tr w:rsidR="0074479E" w:rsidRPr="00963BD8" w14:paraId="2E8B52F4" w14:textId="77777777" w:rsidTr="00CF172A">
        <w:trPr>
          <w:trHeight w:val="1200"/>
        </w:trPr>
        <w:tc>
          <w:tcPr>
            <w:tcW w:w="1727" w:type="pct"/>
            <w:hideMark/>
          </w:tcPr>
          <w:p w14:paraId="2F699CEA" w14:textId="470BC9E6" w:rsidR="0074479E" w:rsidRPr="00963BD8" w:rsidRDefault="0092578D" w:rsidP="00CF172A">
            <w:pPr>
              <w:rPr>
                <w:rFonts w:ascii="Calibri" w:eastAsia="Times New Roman" w:hAnsi="Calibri" w:cs="Calibri"/>
                <w:color w:val="000000"/>
                <w:lang w:eastAsia="en-GB"/>
              </w:rPr>
            </w:pPr>
            <w:r>
              <w:rPr>
                <w:rFonts w:ascii="Calibri" w:eastAsia="Times New Roman" w:hAnsi="Calibri" w:cs="Calibri"/>
                <w:color w:val="000000"/>
                <w:lang w:eastAsia="en-GB"/>
              </w:rPr>
              <w:t>Other upper gastro-intestinal (GI) symptoms</w:t>
            </w:r>
            <w:r w:rsidRPr="0058130D">
              <w:rPr>
                <w:rFonts w:ascii="Calibri" w:eastAsia="Times New Roman" w:hAnsi="Calibri" w:cs="Calibri"/>
                <w:color w:val="000000"/>
                <w:lang w:eastAsia="en-GB"/>
              </w:rPr>
              <w:t xml:space="preserve"> (</w:t>
            </w:r>
            <w:proofErr w:type="spellStart"/>
            <w:r w:rsidRPr="0058130D">
              <w:rPr>
                <w:rFonts w:ascii="Calibri" w:eastAsia="Times New Roman" w:hAnsi="Calibri" w:cs="Calibri"/>
                <w:color w:val="000000"/>
                <w:lang w:eastAsia="en-GB"/>
              </w:rPr>
              <w:t>incl</w:t>
            </w:r>
            <w:proofErr w:type="spellEnd"/>
            <w:r w:rsidRPr="0058130D">
              <w:rPr>
                <w:rFonts w:ascii="Calibri" w:eastAsia="Times New Roman" w:hAnsi="Calibri" w:cs="Calibri"/>
                <w:color w:val="000000"/>
                <w:lang w:eastAsia="en-GB"/>
              </w:rPr>
              <w:t xml:space="preserve"> </w:t>
            </w:r>
            <w:r>
              <w:rPr>
                <w:rFonts w:ascii="Calibri" w:eastAsia="Times New Roman" w:hAnsi="Calibri" w:cs="Calibri"/>
                <w:color w:val="000000"/>
                <w:lang w:eastAsia="en-GB"/>
              </w:rPr>
              <w:t xml:space="preserve">dyspepsia, </w:t>
            </w:r>
            <w:r w:rsidRPr="0058130D">
              <w:rPr>
                <w:rFonts w:ascii="Calibri" w:eastAsia="Times New Roman" w:hAnsi="Calibri" w:cs="Calibri"/>
                <w:color w:val="000000"/>
                <w:lang w:eastAsia="en-GB"/>
              </w:rPr>
              <w:t>nausea, vomiting, appetite loss, vomiting blood)</w:t>
            </w:r>
          </w:p>
        </w:tc>
        <w:tc>
          <w:tcPr>
            <w:tcW w:w="3273" w:type="pct"/>
            <w:hideMark/>
          </w:tcPr>
          <w:p w14:paraId="01B597C0" w14:textId="0889F32B"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Watson et al 2017, Exeter Uni.</w:t>
            </w:r>
            <w:r w:rsidR="00C3706C">
              <w:rPr>
                <w:rFonts w:ascii="Calibri" w:eastAsia="Times New Roman" w:hAnsi="Calibri" w:cs="Calibri"/>
                <w:color w:val="000000"/>
                <w:lang w:eastAsia="en-GB"/>
              </w:rPr>
              <w:t>,</w:t>
            </w:r>
            <w:r w:rsidRPr="00963BD8">
              <w:rPr>
                <w:rFonts w:ascii="Calibri" w:eastAsia="Times New Roman" w:hAnsi="Calibri" w:cs="Calibri"/>
                <w:color w:val="000000"/>
                <w:lang w:eastAsia="en-GB"/>
              </w:rPr>
              <w:t xml:space="preserve"> UCL</w:t>
            </w:r>
            <w:r w:rsidRPr="00963BD8">
              <w:rPr>
                <w:rFonts w:ascii="Calibri" w:eastAsia="Times New Roman" w:hAnsi="Calibri" w:cs="Calibri"/>
                <w:color w:val="000000"/>
                <w:lang w:eastAsia="en-GB"/>
              </w:rPr>
              <w:br/>
              <w:t>Zhou et al 2021</w:t>
            </w:r>
            <w:r w:rsidRPr="00963BD8">
              <w:rPr>
                <w:rFonts w:ascii="Calibri" w:eastAsia="Times New Roman" w:hAnsi="Calibri" w:cs="Calibri"/>
                <w:color w:val="000000"/>
                <w:lang w:eastAsia="en-GB"/>
              </w:rPr>
              <w:br/>
            </w:r>
            <w:proofErr w:type="spellStart"/>
            <w:r w:rsidRPr="00963BD8">
              <w:rPr>
                <w:rFonts w:ascii="Calibri" w:eastAsia="Times New Roman" w:hAnsi="Calibri" w:cs="Calibri"/>
                <w:color w:val="000000"/>
                <w:lang w:eastAsia="en-GB"/>
              </w:rPr>
              <w:t>Bouras</w:t>
            </w:r>
            <w:proofErr w:type="spellEnd"/>
            <w:r w:rsidRPr="00963BD8">
              <w:rPr>
                <w:rFonts w:ascii="Calibri" w:eastAsia="Times New Roman" w:hAnsi="Calibri" w:cs="Calibri"/>
                <w:color w:val="000000"/>
                <w:lang w:eastAsia="en-GB"/>
              </w:rPr>
              <w:t xml:space="preserve"> et al 2017</w:t>
            </w:r>
            <w:r w:rsidRPr="00963BD8">
              <w:rPr>
                <w:rFonts w:ascii="Calibri" w:eastAsia="Times New Roman" w:hAnsi="Calibri" w:cs="Calibri"/>
                <w:color w:val="000000"/>
                <w:lang w:eastAsia="en-GB"/>
              </w:rPr>
              <w:br/>
              <w:t>Din et al 2015</w:t>
            </w:r>
          </w:p>
        </w:tc>
      </w:tr>
      <w:tr w:rsidR="0074479E" w:rsidRPr="00963BD8" w14:paraId="07E25596" w14:textId="77777777" w:rsidTr="00CF172A">
        <w:trPr>
          <w:trHeight w:val="300"/>
        </w:trPr>
        <w:tc>
          <w:tcPr>
            <w:tcW w:w="1727" w:type="pct"/>
            <w:hideMark/>
          </w:tcPr>
          <w:p w14:paraId="31FA28F2"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Testicular pain</w:t>
            </w:r>
          </w:p>
        </w:tc>
        <w:tc>
          <w:tcPr>
            <w:tcW w:w="3273" w:type="pct"/>
            <w:hideMark/>
          </w:tcPr>
          <w:p w14:paraId="65018F46"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Din et al 2015</w:t>
            </w:r>
          </w:p>
        </w:tc>
      </w:tr>
      <w:tr w:rsidR="0074479E" w:rsidRPr="00963BD8" w14:paraId="2C80E591" w14:textId="77777777" w:rsidTr="00CF172A">
        <w:trPr>
          <w:trHeight w:val="900"/>
        </w:trPr>
        <w:tc>
          <w:tcPr>
            <w:tcW w:w="1727" w:type="pct"/>
            <w:hideMark/>
          </w:tcPr>
          <w:p w14:paraId="10FA1737"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Thromboembolic disease (</w:t>
            </w:r>
            <w:proofErr w:type="spellStart"/>
            <w:r w:rsidRPr="00963BD8">
              <w:rPr>
                <w:rFonts w:ascii="Calibri" w:eastAsia="Times New Roman" w:hAnsi="Calibri" w:cs="Calibri"/>
                <w:color w:val="000000"/>
                <w:lang w:eastAsia="en-GB"/>
              </w:rPr>
              <w:t>incl</w:t>
            </w:r>
            <w:proofErr w:type="spellEnd"/>
            <w:r w:rsidRPr="00963BD8">
              <w:rPr>
                <w:rFonts w:ascii="Calibri" w:eastAsia="Times New Roman" w:hAnsi="Calibri" w:cs="Calibri"/>
                <w:color w:val="000000"/>
                <w:lang w:eastAsia="en-GB"/>
              </w:rPr>
              <w:t xml:space="preserve"> pulmonary embolism)</w:t>
            </w:r>
          </w:p>
        </w:tc>
        <w:tc>
          <w:tcPr>
            <w:tcW w:w="3273" w:type="pct"/>
            <w:hideMark/>
          </w:tcPr>
          <w:p w14:paraId="6559438A"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 xml:space="preserve">Hawker et al 2014, available at </w:t>
            </w:r>
            <w:hyperlink r:id="rId6" w:history="1">
              <w:proofErr w:type="spellStart"/>
              <w:r w:rsidRPr="00963BD8">
                <w:rPr>
                  <w:rStyle w:val="Hyperlink"/>
                  <w:rFonts w:ascii="Calibri" w:eastAsia="Times New Roman" w:hAnsi="Calibri" w:cs="Calibri"/>
                  <w:lang w:eastAsia="en-GB"/>
                </w:rPr>
                <w:t>Caliber</w:t>
              </w:r>
              <w:proofErr w:type="spellEnd"/>
              <w:r w:rsidRPr="00963BD8">
                <w:rPr>
                  <w:rStyle w:val="Hyperlink"/>
                  <w:rFonts w:ascii="Calibri" w:eastAsia="Times New Roman" w:hAnsi="Calibri" w:cs="Calibri"/>
                  <w:lang w:eastAsia="en-GB"/>
                </w:rPr>
                <w:t xml:space="preserve"> PH674</w:t>
              </w:r>
            </w:hyperlink>
            <w:r w:rsidRPr="00963BD8">
              <w:rPr>
                <w:rFonts w:ascii="Calibri" w:eastAsia="Times New Roman" w:hAnsi="Calibri" w:cs="Calibri"/>
                <w:color w:val="000000"/>
                <w:lang w:eastAsia="en-GB"/>
              </w:rPr>
              <w:br/>
            </w:r>
            <w:proofErr w:type="spellStart"/>
            <w:r w:rsidRPr="00963BD8">
              <w:rPr>
                <w:rFonts w:ascii="Calibri" w:eastAsia="Times New Roman" w:hAnsi="Calibri" w:cs="Calibri"/>
                <w:color w:val="000000"/>
                <w:lang w:eastAsia="en-GB"/>
              </w:rPr>
              <w:t>Kuan</w:t>
            </w:r>
            <w:proofErr w:type="spellEnd"/>
            <w:r w:rsidRPr="00963BD8">
              <w:rPr>
                <w:rFonts w:ascii="Calibri" w:eastAsia="Times New Roman" w:hAnsi="Calibri" w:cs="Calibri"/>
                <w:color w:val="000000"/>
                <w:lang w:eastAsia="en-GB"/>
              </w:rPr>
              <w:t xml:space="preserve"> et al 2019, available at </w:t>
            </w:r>
            <w:proofErr w:type="spellStart"/>
            <w:r w:rsidRPr="00963BD8">
              <w:rPr>
                <w:rFonts w:ascii="Calibri" w:eastAsia="Times New Roman" w:hAnsi="Calibri" w:cs="Calibri"/>
                <w:color w:val="000000"/>
                <w:lang w:eastAsia="en-GB"/>
              </w:rPr>
              <w:t>Caliber</w:t>
            </w:r>
            <w:proofErr w:type="spellEnd"/>
            <w:r w:rsidRPr="00963BD8">
              <w:rPr>
                <w:rFonts w:ascii="Calibri" w:eastAsia="Times New Roman" w:hAnsi="Calibri" w:cs="Calibri"/>
                <w:color w:val="000000"/>
                <w:lang w:eastAsia="en-GB"/>
              </w:rPr>
              <w:t xml:space="preserve"> </w:t>
            </w:r>
            <w:hyperlink r:id="rId7" w:history="1">
              <w:r w:rsidRPr="00963BD8">
                <w:rPr>
                  <w:rStyle w:val="Hyperlink"/>
                  <w:rFonts w:ascii="Calibri" w:eastAsia="Times New Roman" w:hAnsi="Calibri" w:cs="Calibri"/>
                  <w:lang w:eastAsia="en-GB"/>
                </w:rPr>
                <w:t>PH338 v67</w:t>
              </w:r>
            </w:hyperlink>
            <w:r w:rsidRPr="00963BD8">
              <w:rPr>
                <w:rFonts w:ascii="Calibri" w:eastAsia="Times New Roman" w:hAnsi="Calibri" w:cs="Calibri"/>
                <w:color w:val="000000"/>
                <w:lang w:eastAsia="en-GB"/>
              </w:rPr>
              <w:br/>
            </w:r>
            <w:proofErr w:type="spellStart"/>
            <w:r w:rsidRPr="00963BD8">
              <w:rPr>
                <w:rFonts w:ascii="Calibri" w:eastAsia="Times New Roman" w:hAnsi="Calibri" w:cs="Calibri"/>
                <w:color w:val="000000"/>
                <w:lang w:eastAsia="en-GB"/>
              </w:rPr>
              <w:t>Kuan</w:t>
            </w:r>
            <w:proofErr w:type="spellEnd"/>
            <w:r w:rsidRPr="00963BD8">
              <w:rPr>
                <w:rFonts w:ascii="Calibri" w:eastAsia="Times New Roman" w:hAnsi="Calibri" w:cs="Calibri"/>
                <w:color w:val="000000"/>
                <w:lang w:eastAsia="en-GB"/>
              </w:rPr>
              <w:t xml:space="preserve"> et al 2019, available at </w:t>
            </w:r>
            <w:proofErr w:type="spellStart"/>
            <w:r w:rsidRPr="00963BD8">
              <w:rPr>
                <w:rFonts w:ascii="Calibri" w:eastAsia="Times New Roman" w:hAnsi="Calibri" w:cs="Calibri"/>
                <w:color w:val="000000"/>
                <w:lang w:eastAsia="en-GB"/>
              </w:rPr>
              <w:t>Caliber</w:t>
            </w:r>
            <w:proofErr w:type="spellEnd"/>
            <w:r w:rsidRPr="00963BD8">
              <w:rPr>
                <w:rFonts w:ascii="Calibri" w:eastAsia="Times New Roman" w:hAnsi="Calibri" w:cs="Calibri"/>
                <w:color w:val="000000"/>
                <w:lang w:eastAsia="en-GB"/>
              </w:rPr>
              <w:t xml:space="preserve"> </w:t>
            </w:r>
            <w:hyperlink r:id="rId8" w:history="1">
              <w:r w:rsidRPr="00963BD8">
                <w:rPr>
                  <w:rStyle w:val="Hyperlink"/>
                  <w:rFonts w:ascii="Calibri" w:eastAsia="Times New Roman" w:hAnsi="Calibri" w:cs="Calibri"/>
                  <w:lang w:eastAsia="en-GB"/>
                </w:rPr>
                <w:t>PH71 v142</w:t>
              </w:r>
            </w:hyperlink>
          </w:p>
        </w:tc>
      </w:tr>
      <w:tr w:rsidR="0074479E" w:rsidRPr="00963BD8" w14:paraId="785AB04E" w14:textId="77777777" w:rsidTr="00CF172A">
        <w:trPr>
          <w:trHeight w:val="300"/>
        </w:trPr>
        <w:tc>
          <w:tcPr>
            <w:tcW w:w="1727" w:type="pct"/>
            <w:hideMark/>
          </w:tcPr>
          <w:p w14:paraId="67F3BCBF"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Upper respiratory tract infection</w:t>
            </w:r>
          </w:p>
        </w:tc>
        <w:tc>
          <w:tcPr>
            <w:tcW w:w="3273" w:type="pct"/>
            <w:hideMark/>
          </w:tcPr>
          <w:p w14:paraId="0C9CD9C2" w14:textId="77777777" w:rsidR="0074479E" w:rsidRPr="00963BD8" w:rsidRDefault="0074479E" w:rsidP="00CF172A">
            <w:pPr>
              <w:rPr>
                <w:rFonts w:ascii="Calibri" w:eastAsia="Times New Roman" w:hAnsi="Calibri" w:cs="Calibri"/>
                <w:color w:val="000000"/>
                <w:lang w:eastAsia="en-GB"/>
              </w:rPr>
            </w:pPr>
            <w:r w:rsidRPr="00963BD8">
              <w:rPr>
                <w:rFonts w:ascii="Calibri" w:eastAsia="Times New Roman" w:hAnsi="Calibri" w:cs="Calibri"/>
                <w:color w:val="000000"/>
                <w:lang w:eastAsia="en-GB"/>
              </w:rPr>
              <w:t>Palin et al 2019</w:t>
            </w:r>
          </w:p>
        </w:tc>
      </w:tr>
      <w:tr w:rsidR="0092578D" w:rsidRPr="00963BD8" w14:paraId="4C150C06" w14:textId="77777777" w:rsidTr="00CF172A">
        <w:trPr>
          <w:trHeight w:val="300"/>
        </w:trPr>
        <w:tc>
          <w:tcPr>
            <w:tcW w:w="1727" w:type="pct"/>
            <w:hideMark/>
          </w:tcPr>
          <w:p w14:paraId="4A2A8F74" w14:textId="6A577E39" w:rsidR="0092578D" w:rsidRPr="00963BD8" w:rsidRDefault="0092578D" w:rsidP="0092578D">
            <w:pPr>
              <w:rPr>
                <w:rFonts w:ascii="Calibri" w:eastAsia="Times New Roman" w:hAnsi="Calibri" w:cs="Calibri"/>
                <w:color w:val="000000"/>
                <w:lang w:eastAsia="en-GB"/>
              </w:rPr>
            </w:pPr>
            <w:r w:rsidRPr="0058130D">
              <w:rPr>
                <w:rFonts w:ascii="Calibri" w:eastAsia="Times New Roman" w:hAnsi="Calibri" w:cs="Calibri"/>
                <w:color w:val="000000"/>
                <w:lang w:eastAsia="en-GB"/>
              </w:rPr>
              <w:t xml:space="preserve">Urinary Tract Infections </w:t>
            </w:r>
            <w:r>
              <w:rPr>
                <w:rFonts w:ascii="Calibri" w:eastAsia="Times New Roman" w:hAnsi="Calibri" w:cs="Calibri"/>
                <w:color w:val="000000"/>
                <w:lang w:eastAsia="en-GB"/>
              </w:rPr>
              <w:t>(</w:t>
            </w:r>
            <w:proofErr w:type="spellStart"/>
            <w:r>
              <w:rPr>
                <w:rFonts w:ascii="Calibri" w:eastAsia="Times New Roman" w:hAnsi="Calibri" w:cs="Calibri"/>
                <w:color w:val="000000"/>
                <w:lang w:eastAsia="en-GB"/>
              </w:rPr>
              <w:t>incl</w:t>
            </w:r>
            <w:proofErr w:type="spellEnd"/>
            <w:r>
              <w:rPr>
                <w:rFonts w:ascii="Calibri" w:eastAsia="Times New Roman" w:hAnsi="Calibri" w:cs="Calibri"/>
                <w:color w:val="000000"/>
                <w:lang w:eastAsia="en-GB"/>
              </w:rPr>
              <w:t xml:space="preserve"> cystitis, dysuria, urgency, painful urination, urine smell)</w:t>
            </w:r>
          </w:p>
        </w:tc>
        <w:tc>
          <w:tcPr>
            <w:tcW w:w="3273" w:type="pct"/>
            <w:hideMark/>
          </w:tcPr>
          <w:p w14:paraId="5DCE3D5D" w14:textId="77777777" w:rsidR="0092578D" w:rsidRPr="00963BD8" w:rsidRDefault="0092578D" w:rsidP="0092578D">
            <w:pPr>
              <w:rPr>
                <w:rFonts w:ascii="Calibri" w:eastAsia="Times New Roman" w:hAnsi="Calibri" w:cs="Calibri"/>
                <w:color w:val="000000"/>
                <w:lang w:eastAsia="en-GB"/>
              </w:rPr>
            </w:pPr>
            <w:r w:rsidRPr="00963BD8">
              <w:rPr>
                <w:rFonts w:ascii="Calibri" w:eastAsia="Times New Roman" w:hAnsi="Calibri" w:cs="Calibri"/>
                <w:color w:val="000000"/>
                <w:lang w:eastAsia="en-GB"/>
              </w:rPr>
              <w:t>Zhou et al 2021</w:t>
            </w:r>
          </w:p>
        </w:tc>
      </w:tr>
      <w:tr w:rsidR="0092578D" w:rsidRPr="00E15FF5" w14:paraId="08112D77" w14:textId="77777777" w:rsidTr="00CF172A">
        <w:trPr>
          <w:trHeight w:val="300"/>
        </w:trPr>
        <w:tc>
          <w:tcPr>
            <w:tcW w:w="1727" w:type="pct"/>
            <w:hideMark/>
          </w:tcPr>
          <w:p w14:paraId="5E7B29F4" w14:textId="77777777" w:rsidR="0092578D" w:rsidRPr="00963BD8" w:rsidRDefault="0092578D" w:rsidP="0092578D">
            <w:pPr>
              <w:rPr>
                <w:rFonts w:ascii="Calibri" w:eastAsia="Times New Roman" w:hAnsi="Calibri" w:cs="Calibri"/>
                <w:color w:val="000000"/>
                <w:lang w:eastAsia="en-GB"/>
              </w:rPr>
            </w:pPr>
            <w:r w:rsidRPr="00963BD8">
              <w:rPr>
                <w:rFonts w:ascii="Calibri" w:eastAsia="Times New Roman" w:hAnsi="Calibri" w:cs="Calibri"/>
                <w:color w:val="000000"/>
                <w:lang w:eastAsia="en-GB"/>
              </w:rPr>
              <w:t>Weight loss</w:t>
            </w:r>
          </w:p>
        </w:tc>
        <w:tc>
          <w:tcPr>
            <w:tcW w:w="3273" w:type="pct"/>
            <w:hideMark/>
          </w:tcPr>
          <w:p w14:paraId="3605656F" w14:textId="5F261952" w:rsidR="0092578D" w:rsidRPr="00E15FF5" w:rsidRDefault="0092578D" w:rsidP="0092578D">
            <w:pPr>
              <w:rPr>
                <w:rFonts w:ascii="Calibri" w:eastAsia="Times New Roman" w:hAnsi="Calibri" w:cs="Calibri"/>
                <w:color w:val="000000"/>
                <w:lang w:eastAsia="en-GB"/>
              </w:rPr>
            </w:pPr>
            <w:r w:rsidRPr="00963BD8">
              <w:rPr>
                <w:rFonts w:ascii="Calibri" w:eastAsia="Times New Roman" w:hAnsi="Calibri" w:cs="Calibri"/>
                <w:color w:val="000000"/>
                <w:lang w:eastAsia="en-GB"/>
              </w:rPr>
              <w:t>Watson et al 2017, Exeter Uni.</w:t>
            </w:r>
            <w:r>
              <w:rPr>
                <w:rFonts w:ascii="Calibri" w:eastAsia="Times New Roman" w:hAnsi="Calibri" w:cs="Calibri"/>
                <w:color w:val="000000"/>
                <w:lang w:eastAsia="en-GB"/>
              </w:rPr>
              <w:t>,</w:t>
            </w:r>
            <w:r w:rsidRPr="00963BD8">
              <w:rPr>
                <w:rFonts w:ascii="Calibri" w:eastAsia="Times New Roman" w:hAnsi="Calibri" w:cs="Calibri"/>
                <w:color w:val="000000"/>
                <w:lang w:eastAsia="en-GB"/>
              </w:rPr>
              <w:t xml:space="preserve"> UCL</w:t>
            </w:r>
          </w:p>
        </w:tc>
      </w:tr>
    </w:tbl>
    <w:p w14:paraId="1609F56A" w14:textId="4EA69548" w:rsidR="0074479E" w:rsidRDefault="0074479E" w:rsidP="0074479E"/>
    <w:p w14:paraId="67B9CD63" w14:textId="69AAABB0" w:rsidR="007165EC" w:rsidRDefault="007165EC" w:rsidP="0074479E">
      <w:r>
        <w:t>Bibliography</w:t>
      </w:r>
    </w:p>
    <w:p w14:paraId="3246D893" w14:textId="5576EE73" w:rsidR="007165EC" w:rsidRPr="007165EC" w:rsidRDefault="007165EC" w:rsidP="007165EC">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Pr="007165EC">
        <w:rPr>
          <w:rFonts w:ascii="Calibri" w:hAnsi="Calibri" w:cs="Calibri"/>
          <w:noProof/>
          <w:szCs w:val="24"/>
        </w:rPr>
        <w:t>[1]</w:t>
      </w:r>
      <w:r w:rsidRPr="007165EC">
        <w:rPr>
          <w:rFonts w:ascii="Calibri" w:hAnsi="Calibri" w:cs="Calibri"/>
          <w:noProof/>
          <w:szCs w:val="24"/>
        </w:rPr>
        <w:tab/>
        <w:t>National Institute for Health and Care Excellence, Suspected cancer: recognition and referral NICE Guideline Suspected cancer Contents, 2015. https://www.nice.org.uk/guidance/ng12/evidence/full-guideline-pdf-2676000277 (accessed July 7, 2020).</w:t>
      </w:r>
    </w:p>
    <w:p w14:paraId="62EF4BAD" w14:textId="77777777" w:rsidR="007165EC" w:rsidRPr="007165EC" w:rsidRDefault="007165EC" w:rsidP="007165EC">
      <w:pPr>
        <w:widowControl w:val="0"/>
        <w:autoSpaceDE w:val="0"/>
        <w:autoSpaceDN w:val="0"/>
        <w:adjustRightInd w:val="0"/>
        <w:spacing w:line="240" w:lineRule="auto"/>
        <w:ind w:left="640" w:hanging="640"/>
        <w:rPr>
          <w:rFonts w:ascii="Calibri" w:hAnsi="Calibri" w:cs="Calibri"/>
          <w:noProof/>
          <w:szCs w:val="24"/>
        </w:rPr>
      </w:pPr>
      <w:r w:rsidRPr="007165EC">
        <w:rPr>
          <w:rFonts w:ascii="Calibri" w:hAnsi="Calibri" w:cs="Calibri"/>
          <w:noProof/>
          <w:szCs w:val="24"/>
        </w:rPr>
        <w:t>[2]</w:t>
      </w:r>
      <w:r w:rsidRPr="007165EC">
        <w:rPr>
          <w:rFonts w:ascii="Calibri" w:hAnsi="Calibri" w:cs="Calibri"/>
          <w:noProof/>
          <w:szCs w:val="24"/>
        </w:rPr>
        <w:tab/>
        <w:t>National Institute for Health and Care Excellence, The recognition and initial management of ovarian cancer: evidence review 1 Ovarian cancer: the recognition and initial management of ovarian cancer Evidence review The recognition and initial management of ovarian cancer: evidence review 2, 2011. https://www.nice.org.uk/guidance/cg122/evidence/evidence-review-pdf-181688798 (accessed July 8, 2020).</w:t>
      </w:r>
    </w:p>
    <w:p w14:paraId="1137289B" w14:textId="77777777" w:rsidR="007165EC" w:rsidRPr="007165EC" w:rsidRDefault="007165EC" w:rsidP="007165EC">
      <w:pPr>
        <w:widowControl w:val="0"/>
        <w:autoSpaceDE w:val="0"/>
        <w:autoSpaceDN w:val="0"/>
        <w:adjustRightInd w:val="0"/>
        <w:spacing w:line="240" w:lineRule="auto"/>
        <w:ind w:left="640" w:hanging="640"/>
        <w:rPr>
          <w:rFonts w:ascii="Calibri" w:hAnsi="Calibri" w:cs="Calibri"/>
          <w:noProof/>
          <w:szCs w:val="24"/>
        </w:rPr>
      </w:pPr>
      <w:r w:rsidRPr="007165EC">
        <w:rPr>
          <w:rFonts w:ascii="Calibri" w:hAnsi="Calibri" w:cs="Calibri"/>
          <w:noProof/>
          <w:szCs w:val="24"/>
        </w:rPr>
        <w:t>[3]</w:t>
      </w:r>
      <w:r w:rsidRPr="007165EC">
        <w:rPr>
          <w:rFonts w:ascii="Calibri" w:hAnsi="Calibri" w:cs="Calibri"/>
          <w:noProof/>
          <w:szCs w:val="24"/>
        </w:rPr>
        <w:tab/>
        <w:t>National Institute for Health and Care Excellence, Recommendations organised by symptom and findings of primary care investigations, suspected cancer: recognition and referral, (2015). https://www.nice.org.uk/guidance/ng12/chapter/Recommendations-organised-by-symptom-and-findings-of-primary-care-investigations (accessed August 5, 2020).</w:t>
      </w:r>
    </w:p>
    <w:p w14:paraId="0C1D8659" w14:textId="77777777" w:rsidR="007165EC" w:rsidRPr="007165EC" w:rsidRDefault="007165EC" w:rsidP="007165EC">
      <w:pPr>
        <w:widowControl w:val="0"/>
        <w:autoSpaceDE w:val="0"/>
        <w:autoSpaceDN w:val="0"/>
        <w:adjustRightInd w:val="0"/>
        <w:spacing w:line="240" w:lineRule="auto"/>
        <w:ind w:left="640" w:hanging="640"/>
        <w:rPr>
          <w:rFonts w:ascii="Calibri" w:hAnsi="Calibri" w:cs="Calibri"/>
          <w:noProof/>
          <w:szCs w:val="24"/>
        </w:rPr>
      </w:pPr>
      <w:r w:rsidRPr="007165EC">
        <w:rPr>
          <w:rFonts w:ascii="Calibri" w:hAnsi="Calibri" w:cs="Calibri"/>
          <w:noProof/>
          <w:szCs w:val="24"/>
        </w:rPr>
        <w:t>[4]</w:t>
      </w:r>
      <w:r w:rsidRPr="007165EC">
        <w:rPr>
          <w:rFonts w:ascii="Calibri" w:hAnsi="Calibri" w:cs="Calibri"/>
          <w:noProof/>
          <w:szCs w:val="24"/>
        </w:rPr>
        <w:tab/>
        <w:t>D. Chapman, V. Poirier, D. Vulkan, K. Fitzgerald, G. Rubin, W. Hamilton, S.W. Duffy, A.H. Thomas, D. Gulliford, H. Rolfe, M. Hohmann, C. Repperday, S. Sykes, S. Taylor, A. Craig, J. Dawson, S. Forbes, H. Ryan, R. Turner, M. Ahmad, D. Chung, D. Graham, A. Millar, S. Taiyari, C.F. Smith, F. Gleeson, S. Hayles, Z. Kaveney, B. Nicholson, First results from five multidisciplinary diagnostic centre (MDC) projects for non-specific but concerning symptoms, possibly indicative of cancer, Br. J. Cancer. 123 (2020) 722–729. https://doi.org/10.1038/s41416-020-0947-y.</w:t>
      </w:r>
    </w:p>
    <w:p w14:paraId="63B7B51C" w14:textId="77777777" w:rsidR="007165EC" w:rsidRPr="007165EC" w:rsidRDefault="007165EC" w:rsidP="007165EC">
      <w:pPr>
        <w:widowControl w:val="0"/>
        <w:autoSpaceDE w:val="0"/>
        <w:autoSpaceDN w:val="0"/>
        <w:adjustRightInd w:val="0"/>
        <w:spacing w:line="240" w:lineRule="auto"/>
        <w:ind w:left="640" w:hanging="640"/>
        <w:rPr>
          <w:rFonts w:ascii="Calibri" w:hAnsi="Calibri" w:cs="Calibri"/>
          <w:noProof/>
          <w:szCs w:val="24"/>
        </w:rPr>
      </w:pPr>
      <w:r w:rsidRPr="007165EC">
        <w:rPr>
          <w:rFonts w:ascii="Calibri" w:hAnsi="Calibri" w:cs="Calibri"/>
          <w:noProof/>
          <w:szCs w:val="24"/>
        </w:rPr>
        <w:lastRenderedPageBreak/>
        <w:t>[5]</w:t>
      </w:r>
      <w:r w:rsidRPr="007165EC">
        <w:rPr>
          <w:rFonts w:ascii="Calibri" w:hAnsi="Calibri" w:cs="Calibri"/>
          <w:noProof/>
          <w:szCs w:val="24"/>
        </w:rPr>
        <w:tab/>
        <w:t>D. Chapman, V. Poirier, K. Fitzgerald, B.D. Nicholson, W. Hamilton, Non-specific symptoms-based pathways for diagnosing less common cancers in primary care: a service evaluation, Br. J. Gen. Pract. 71 (2021) e846–e853. https://doi.org/10.3399/BJGP.2020.1108.</w:t>
      </w:r>
    </w:p>
    <w:p w14:paraId="19ABD688" w14:textId="77777777" w:rsidR="007165EC" w:rsidRPr="007165EC" w:rsidRDefault="007165EC" w:rsidP="007165EC">
      <w:pPr>
        <w:widowControl w:val="0"/>
        <w:autoSpaceDE w:val="0"/>
        <w:autoSpaceDN w:val="0"/>
        <w:adjustRightInd w:val="0"/>
        <w:spacing w:line="240" w:lineRule="auto"/>
        <w:ind w:left="640" w:hanging="640"/>
        <w:rPr>
          <w:rFonts w:ascii="Calibri" w:hAnsi="Calibri" w:cs="Calibri"/>
          <w:noProof/>
          <w:szCs w:val="24"/>
        </w:rPr>
      </w:pPr>
      <w:r w:rsidRPr="007165EC">
        <w:rPr>
          <w:rFonts w:ascii="Calibri" w:hAnsi="Calibri" w:cs="Calibri"/>
          <w:noProof/>
          <w:szCs w:val="24"/>
        </w:rPr>
        <w:t>[6]</w:t>
      </w:r>
      <w:r w:rsidRPr="007165EC">
        <w:rPr>
          <w:rFonts w:ascii="Calibri" w:hAnsi="Calibri" w:cs="Calibri"/>
          <w:noProof/>
          <w:szCs w:val="24"/>
        </w:rPr>
        <w:tab/>
        <w:t>NHS England, NHS Improvement, Rapid Diagnostic Centres: Vision and 2019/20 Implementation Specification, 2019. https://www.england.nhs.uk/wp-content/uploads/2019/07/rdc-vision-and-1920-implementation-specification.pdf (accessed September 25, 2020).</w:t>
      </w:r>
    </w:p>
    <w:p w14:paraId="7051CD56" w14:textId="77777777" w:rsidR="007165EC" w:rsidRPr="007165EC" w:rsidRDefault="007165EC" w:rsidP="007165EC">
      <w:pPr>
        <w:widowControl w:val="0"/>
        <w:autoSpaceDE w:val="0"/>
        <w:autoSpaceDN w:val="0"/>
        <w:adjustRightInd w:val="0"/>
        <w:spacing w:line="240" w:lineRule="auto"/>
        <w:ind w:left="640" w:hanging="640"/>
        <w:rPr>
          <w:rFonts w:ascii="Calibri" w:hAnsi="Calibri" w:cs="Calibri"/>
          <w:noProof/>
          <w:szCs w:val="24"/>
        </w:rPr>
      </w:pPr>
      <w:r w:rsidRPr="007165EC">
        <w:rPr>
          <w:rFonts w:ascii="Calibri" w:hAnsi="Calibri" w:cs="Calibri"/>
          <w:noProof/>
          <w:szCs w:val="24"/>
        </w:rPr>
        <w:t>[7]</w:t>
      </w:r>
      <w:r w:rsidRPr="007165EC">
        <w:rPr>
          <w:rFonts w:ascii="Calibri" w:hAnsi="Calibri" w:cs="Calibri"/>
          <w:noProof/>
          <w:szCs w:val="24"/>
        </w:rPr>
        <w:tab/>
        <w:t>S.F. Moore, S.J. Price, S. Chowienczyk, J. Bostock, W. Hamilton, The impact of changing risk thresholds on the number of people in England eligible for urgent investigation for possible cancer: an observational cross-sectional study, Br. J. Cancer. 125 (2021) 1593–1597. https://doi.org/10.1038/s41416-021-01541-4.</w:t>
      </w:r>
    </w:p>
    <w:p w14:paraId="0D3F4359" w14:textId="77777777" w:rsidR="007165EC" w:rsidRPr="007165EC" w:rsidRDefault="007165EC" w:rsidP="007165EC">
      <w:pPr>
        <w:widowControl w:val="0"/>
        <w:autoSpaceDE w:val="0"/>
        <w:autoSpaceDN w:val="0"/>
        <w:adjustRightInd w:val="0"/>
        <w:spacing w:line="240" w:lineRule="auto"/>
        <w:ind w:left="640" w:hanging="640"/>
        <w:rPr>
          <w:rFonts w:ascii="Calibri" w:hAnsi="Calibri" w:cs="Calibri"/>
          <w:noProof/>
          <w:szCs w:val="24"/>
        </w:rPr>
      </w:pPr>
      <w:r w:rsidRPr="007165EC">
        <w:rPr>
          <w:rFonts w:ascii="Calibri" w:hAnsi="Calibri" w:cs="Calibri"/>
          <w:noProof/>
          <w:szCs w:val="24"/>
        </w:rPr>
        <w:t>[8]</w:t>
      </w:r>
      <w:r w:rsidRPr="007165EC">
        <w:rPr>
          <w:rFonts w:ascii="Calibri" w:hAnsi="Calibri" w:cs="Calibri"/>
          <w:noProof/>
          <w:szCs w:val="24"/>
        </w:rPr>
        <w:tab/>
        <w:t>G. Bouras, S.R. Markar, E.M. Burns, J.R. Huddy, A. Bottle, T. Athanasiou, A. Darzi, G.B. Hanna, The psychological impact of symptoms related to esophagogastric cancer resection presenting in primary care: A national linked database study, Eur. J. Surg. Oncol. 43 (2017) 454–460. https://doi.org/10.1016/J.EJSO.2016.10.010.</w:t>
      </w:r>
    </w:p>
    <w:p w14:paraId="4F075E69" w14:textId="77777777" w:rsidR="007165EC" w:rsidRPr="007165EC" w:rsidRDefault="007165EC" w:rsidP="007165EC">
      <w:pPr>
        <w:widowControl w:val="0"/>
        <w:autoSpaceDE w:val="0"/>
        <w:autoSpaceDN w:val="0"/>
        <w:adjustRightInd w:val="0"/>
        <w:spacing w:line="240" w:lineRule="auto"/>
        <w:ind w:left="640" w:hanging="640"/>
        <w:rPr>
          <w:rFonts w:ascii="Calibri" w:hAnsi="Calibri" w:cs="Calibri"/>
          <w:noProof/>
          <w:szCs w:val="24"/>
        </w:rPr>
      </w:pPr>
      <w:r w:rsidRPr="007165EC">
        <w:rPr>
          <w:rFonts w:ascii="Calibri" w:hAnsi="Calibri" w:cs="Calibri"/>
          <w:noProof/>
          <w:szCs w:val="24"/>
        </w:rPr>
        <w:t>[9]</w:t>
      </w:r>
      <w:r w:rsidRPr="007165EC">
        <w:rPr>
          <w:rFonts w:ascii="Calibri" w:hAnsi="Calibri" w:cs="Calibri"/>
          <w:noProof/>
          <w:szCs w:val="24"/>
        </w:rPr>
        <w:tab/>
        <w:t>N.U. Din, O.C. Ukoumunne, G. Rubin, W. Hamilton, B. Carter, S. Stapley, R.D. Neal, Age and Gender Variations in Cancer Diagnostic Intervals in 15 Cancers: Analysis of Data from the UK Clinical Practice Research Datalink, PLoS One. 10 (2015) e0127717. https://doi.org/10.1371/journal.pone.0127717.</w:t>
      </w:r>
    </w:p>
    <w:p w14:paraId="68BDBB02" w14:textId="77777777" w:rsidR="007165EC" w:rsidRPr="007165EC" w:rsidRDefault="007165EC" w:rsidP="007165EC">
      <w:pPr>
        <w:widowControl w:val="0"/>
        <w:autoSpaceDE w:val="0"/>
        <w:autoSpaceDN w:val="0"/>
        <w:adjustRightInd w:val="0"/>
        <w:spacing w:line="240" w:lineRule="auto"/>
        <w:ind w:left="640" w:hanging="640"/>
        <w:rPr>
          <w:rFonts w:ascii="Calibri" w:hAnsi="Calibri" w:cs="Calibri"/>
          <w:noProof/>
          <w:szCs w:val="24"/>
        </w:rPr>
      </w:pPr>
      <w:r w:rsidRPr="007165EC">
        <w:rPr>
          <w:rFonts w:ascii="Calibri" w:hAnsi="Calibri" w:cs="Calibri"/>
          <w:noProof/>
          <w:szCs w:val="24"/>
        </w:rPr>
        <w:t>[10]</w:t>
      </w:r>
      <w:r w:rsidRPr="007165EC">
        <w:rPr>
          <w:rFonts w:ascii="Calibri" w:hAnsi="Calibri" w:cs="Calibri"/>
          <w:noProof/>
          <w:szCs w:val="24"/>
        </w:rPr>
        <w:tab/>
        <w:t>T. Doran, E. Kontopantelis, J.M. Valderas, S. Campbell, M. Roland, C. Salisbury, D. Reeves, Effect of financial incentives on incentivised and non-incentivised clinical activities: longitudinal analysis of data from the UK Quality and Outcomes Framework, BMJ. 342 (2011). https://doi.org/10.1136/BMJ.D3590.</w:t>
      </w:r>
    </w:p>
    <w:p w14:paraId="51BC25E6" w14:textId="77777777" w:rsidR="007165EC" w:rsidRPr="007165EC" w:rsidRDefault="007165EC" w:rsidP="007165EC">
      <w:pPr>
        <w:widowControl w:val="0"/>
        <w:autoSpaceDE w:val="0"/>
        <w:autoSpaceDN w:val="0"/>
        <w:adjustRightInd w:val="0"/>
        <w:spacing w:line="240" w:lineRule="auto"/>
        <w:ind w:left="640" w:hanging="640"/>
        <w:rPr>
          <w:rFonts w:ascii="Calibri" w:hAnsi="Calibri" w:cs="Calibri"/>
          <w:noProof/>
          <w:szCs w:val="24"/>
        </w:rPr>
      </w:pPr>
      <w:r w:rsidRPr="007165EC">
        <w:rPr>
          <w:rFonts w:ascii="Calibri" w:hAnsi="Calibri" w:cs="Calibri"/>
          <w:noProof/>
          <w:szCs w:val="24"/>
        </w:rPr>
        <w:t>[11]</w:t>
      </w:r>
      <w:r w:rsidRPr="007165EC">
        <w:rPr>
          <w:rFonts w:ascii="Calibri" w:hAnsi="Calibri" w:cs="Calibri"/>
          <w:noProof/>
          <w:szCs w:val="24"/>
        </w:rPr>
        <w:tab/>
        <w:t>J.I. Hawker, S. Smith, G.E. Smith, R. Morbey, A.P. Johnson, D.M. Fleming, L. Shallcross, A.C. Hayward, Trends in antibiotic prescribing in primary care for clinical syndromes subject to national recommendations to reduce antibiotic resistance, UK 1995-2011: analysis of a large database of primary care consultations, J. Antimicrob. Chemother. 69 (2014) 3423–3430. https://doi.org/10.1093/JAC/DKU291.</w:t>
      </w:r>
    </w:p>
    <w:p w14:paraId="3A06D128" w14:textId="77777777" w:rsidR="007165EC" w:rsidRPr="007165EC" w:rsidRDefault="007165EC" w:rsidP="007165EC">
      <w:pPr>
        <w:widowControl w:val="0"/>
        <w:autoSpaceDE w:val="0"/>
        <w:autoSpaceDN w:val="0"/>
        <w:adjustRightInd w:val="0"/>
        <w:spacing w:line="240" w:lineRule="auto"/>
        <w:ind w:left="640" w:hanging="640"/>
        <w:rPr>
          <w:rFonts w:ascii="Calibri" w:hAnsi="Calibri" w:cs="Calibri"/>
          <w:noProof/>
          <w:szCs w:val="24"/>
        </w:rPr>
      </w:pPr>
      <w:r w:rsidRPr="007165EC">
        <w:rPr>
          <w:rFonts w:ascii="Calibri" w:hAnsi="Calibri" w:cs="Calibri"/>
          <w:noProof/>
          <w:szCs w:val="24"/>
        </w:rPr>
        <w:t>[12]</w:t>
      </w:r>
      <w:r w:rsidRPr="007165EC">
        <w:rPr>
          <w:rFonts w:ascii="Calibri" w:hAnsi="Calibri" w:cs="Calibri"/>
          <w:noProof/>
          <w:szCs w:val="24"/>
        </w:rPr>
        <w:tab/>
        <w:t>V. Kuan, S. Denaxas, A. Gonzalez-Izquierdo, K. Direk, O. Bhatti, S. Husain, S. Sutaria, M. Hingorani, D. Nitsch, C.A. Parisinos, R.T. Lumbers, R. Mathur, R. Sofat, J.P. Casas, I.C.K. Wong, H. Hemingway, A.D. Hingorani, A chronological map of 308 physical and mental health conditions from 4 million individuals in the English National Health Service, Lancet Digit. Heal. 1 (2019) e63–e77. https://doi.org/10.1016/S2589-7500(19)30012-3.</w:t>
      </w:r>
    </w:p>
    <w:p w14:paraId="3292B4E3" w14:textId="77777777" w:rsidR="007165EC" w:rsidRPr="007165EC" w:rsidRDefault="007165EC" w:rsidP="007165EC">
      <w:pPr>
        <w:widowControl w:val="0"/>
        <w:autoSpaceDE w:val="0"/>
        <w:autoSpaceDN w:val="0"/>
        <w:adjustRightInd w:val="0"/>
        <w:spacing w:line="240" w:lineRule="auto"/>
        <w:ind w:left="640" w:hanging="640"/>
        <w:rPr>
          <w:rFonts w:ascii="Calibri" w:hAnsi="Calibri" w:cs="Calibri"/>
          <w:noProof/>
          <w:szCs w:val="24"/>
        </w:rPr>
      </w:pPr>
      <w:r w:rsidRPr="007165EC">
        <w:rPr>
          <w:rFonts w:ascii="Calibri" w:hAnsi="Calibri" w:cs="Calibri"/>
          <w:noProof/>
          <w:szCs w:val="24"/>
        </w:rPr>
        <w:t>[13]</w:t>
      </w:r>
      <w:r w:rsidRPr="007165EC">
        <w:rPr>
          <w:rFonts w:ascii="Calibri" w:hAnsi="Calibri" w:cs="Calibri"/>
          <w:noProof/>
          <w:szCs w:val="24"/>
        </w:rPr>
        <w:tab/>
        <w:t>S.C. Masefield, S.L. Prady, T.A. Sheldon, N. Small, S. Jarvis, K.E. Pickett, The Effects of Caring for Young Children with Developmental Disabilities on Mothers’ Health and Healthcare Use: Analysis of Primary Care Data in the Born in Bradford Cohort, J. Dev. Phys. Disabil. (2021) 1–21. https://doi.org/10.1007/S10882-021-09789-7/TABLES/3.</w:t>
      </w:r>
    </w:p>
    <w:p w14:paraId="41323BA3" w14:textId="77777777" w:rsidR="007165EC" w:rsidRPr="007165EC" w:rsidRDefault="007165EC" w:rsidP="007165EC">
      <w:pPr>
        <w:widowControl w:val="0"/>
        <w:autoSpaceDE w:val="0"/>
        <w:autoSpaceDN w:val="0"/>
        <w:adjustRightInd w:val="0"/>
        <w:spacing w:line="240" w:lineRule="auto"/>
        <w:ind w:left="640" w:hanging="640"/>
        <w:rPr>
          <w:rFonts w:ascii="Calibri" w:hAnsi="Calibri" w:cs="Calibri"/>
          <w:noProof/>
          <w:szCs w:val="24"/>
        </w:rPr>
      </w:pPr>
      <w:r w:rsidRPr="007165EC">
        <w:rPr>
          <w:rFonts w:ascii="Calibri" w:hAnsi="Calibri" w:cs="Calibri"/>
          <w:noProof/>
          <w:szCs w:val="24"/>
        </w:rPr>
        <w:t>[14]</w:t>
      </w:r>
      <w:r w:rsidRPr="007165EC">
        <w:rPr>
          <w:rFonts w:ascii="Calibri" w:hAnsi="Calibri" w:cs="Calibri"/>
          <w:noProof/>
          <w:szCs w:val="24"/>
        </w:rPr>
        <w:tab/>
        <w:t>V. Palin, A. Mölter, M. Belmonte, D.M. Ashcroft, A. White, W. Welfare, T. van Staa, Antibiotic prescribing for common infections in UK general practice: variability and drivers, J. Antimicrob. Chemother. 74 (2019) 2440–2450. https://doi.org/10.1093/JAC/DKZ163.</w:t>
      </w:r>
    </w:p>
    <w:p w14:paraId="3F26A785" w14:textId="77777777" w:rsidR="007165EC" w:rsidRPr="007165EC" w:rsidRDefault="007165EC" w:rsidP="007165EC">
      <w:pPr>
        <w:widowControl w:val="0"/>
        <w:autoSpaceDE w:val="0"/>
        <w:autoSpaceDN w:val="0"/>
        <w:adjustRightInd w:val="0"/>
        <w:spacing w:line="240" w:lineRule="auto"/>
        <w:ind w:left="640" w:hanging="640"/>
        <w:rPr>
          <w:rFonts w:ascii="Calibri" w:hAnsi="Calibri" w:cs="Calibri"/>
          <w:noProof/>
          <w:szCs w:val="24"/>
        </w:rPr>
      </w:pPr>
      <w:r w:rsidRPr="007165EC">
        <w:rPr>
          <w:rFonts w:ascii="Calibri" w:hAnsi="Calibri" w:cs="Calibri"/>
          <w:noProof/>
          <w:szCs w:val="24"/>
        </w:rPr>
        <w:t>[15]</w:t>
      </w:r>
      <w:r w:rsidRPr="007165EC">
        <w:rPr>
          <w:rFonts w:ascii="Calibri" w:hAnsi="Calibri" w:cs="Calibri"/>
          <w:noProof/>
          <w:szCs w:val="24"/>
        </w:rPr>
        <w:tab/>
        <w:t>C. Renzi, G. Lyratzopoulos, T. Card, T.P.C. Chu, U. Macleod, B. Rachet, Do colorectal cancer patients diagnosed as an emergency differ from non-emergency patients in their consultation patterns and symptoms? A longitudinal data-linkage study in England, Br. J. Cancer. 115 (2016) 866–875. https://doi.org/10.1038/bjc.2016.250.</w:t>
      </w:r>
    </w:p>
    <w:p w14:paraId="48F561D9" w14:textId="77777777" w:rsidR="007165EC" w:rsidRPr="007165EC" w:rsidRDefault="007165EC" w:rsidP="007165EC">
      <w:pPr>
        <w:widowControl w:val="0"/>
        <w:autoSpaceDE w:val="0"/>
        <w:autoSpaceDN w:val="0"/>
        <w:adjustRightInd w:val="0"/>
        <w:spacing w:line="240" w:lineRule="auto"/>
        <w:ind w:left="640" w:hanging="640"/>
        <w:rPr>
          <w:rFonts w:ascii="Calibri" w:hAnsi="Calibri" w:cs="Calibri"/>
          <w:noProof/>
          <w:szCs w:val="24"/>
        </w:rPr>
      </w:pPr>
      <w:r w:rsidRPr="007165EC">
        <w:rPr>
          <w:rFonts w:ascii="Calibri" w:hAnsi="Calibri" w:cs="Calibri"/>
          <w:noProof/>
          <w:szCs w:val="24"/>
        </w:rPr>
        <w:t>[16]</w:t>
      </w:r>
      <w:r w:rsidRPr="007165EC">
        <w:rPr>
          <w:rFonts w:ascii="Calibri" w:hAnsi="Calibri" w:cs="Calibri"/>
          <w:noProof/>
          <w:szCs w:val="24"/>
        </w:rPr>
        <w:tab/>
        <w:t xml:space="preserve">J. Watson, B.D. Nicholson, W. Hamilton, S. Price, Identifying clinical features in primary care </w:t>
      </w:r>
      <w:r w:rsidRPr="007165EC">
        <w:rPr>
          <w:rFonts w:ascii="Calibri" w:hAnsi="Calibri" w:cs="Calibri"/>
          <w:noProof/>
          <w:szCs w:val="24"/>
        </w:rPr>
        <w:lastRenderedPageBreak/>
        <w:t>electronic health record studies: methods for codelist development, BMJ Open. 7 (2017) e019637. https://doi.org/10.1136/bmjopen-2017-019637.</w:t>
      </w:r>
    </w:p>
    <w:p w14:paraId="08B79515" w14:textId="77777777" w:rsidR="007165EC" w:rsidRPr="007165EC" w:rsidRDefault="007165EC" w:rsidP="007165EC">
      <w:pPr>
        <w:widowControl w:val="0"/>
        <w:autoSpaceDE w:val="0"/>
        <w:autoSpaceDN w:val="0"/>
        <w:adjustRightInd w:val="0"/>
        <w:spacing w:line="240" w:lineRule="auto"/>
        <w:ind w:left="640" w:hanging="640"/>
        <w:rPr>
          <w:rFonts w:ascii="Calibri" w:hAnsi="Calibri" w:cs="Calibri"/>
          <w:noProof/>
        </w:rPr>
      </w:pPr>
      <w:r w:rsidRPr="007165EC">
        <w:rPr>
          <w:rFonts w:ascii="Calibri" w:hAnsi="Calibri" w:cs="Calibri"/>
          <w:noProof/>
          <w:szCs w:val="24"/>
        </w:rPr>
        <w:t>[17]</w:t>
      </w:r>
      <w:r w:rsidRPr="007165EC">
        <w:rPr>
          <w:rFonts w:ascii="Calibri" w:hAnsi="Calibri" w:cs="Calibri"/>
          <w:noProof/>
          <w:szCs w:val="24"/>
        </w:rPr>
        <w:tab/>
        <w:t>Y. Zhou, S.C. Mendonca, G.A. Abel, W. Hamilton, F.M. Walter, S. Johnson, J. Shelton, L. Elliss-Brookes, S. McPhail, G. Lyratzopoulos, Variation in ‘fast-track’ referrals for suspected cancer by patient characteristic and cancer diagnosis: evidence from 670 000 patients with cancers of 35 different sites, Br. J. Cancer. 118 (2018) 24–31. https://doi.org/10.1038/bjc.2017.381.</w:t>
      </w:r>
    </w:p>
    <w:p w14:paraId="44EF35C3" w14:textId="2FEA141E" w:rsidR="00B27029" w:rsidRDefault="007165EC">
      <w:r>
        <w:fldChar w:fldCharType="end"/>
      </w:r>
    </w:p>
    <w:sectPr w:rsidR="00B27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E045E"/>
    <w:multiLevelType w:val="multilevel"/>
    <w:tmpl w:val="5AA4AC54"/>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54E69BB"/>
    <w:multiLevelType w:val="multilevel"/>
    <w:tmpl w:val="9FE49A64"/>
    <w:name w:val="heading_list"/>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16cid:durableId="642739199">
    <w:abstractNumId w:val="1"/>
  </w:num>
  <w:num w:numId="2" w16cid:durableId="1043018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79E"/>
    <w:rsid w:val="003A42D4"/>
    <w:rsid w:val="003D6072"/>
    <w:rsid w:val="00587E1F"/>
    <w:rsid w:val="007165EC"/>
    <w:rsid w:val="0074479E"/>
    <w:rsid w:val="00804EB9"/>
    <w:rsid w:val="0092578D"/>
    <w:rsid w:val="00B27029"/>
    <w:rsid w:val="00C3706C"/>
    <w:rsid w:val="00D1323F"/>
    <w:rsid w:val="00D939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FA549"/>
  <w15:chartTrackingRefBased/>
  <w15:docId w15:val="{D9FEA6DC-4C5A-4486-B038-59DF85CBE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79E"/>
  </w:style>
  <w:style w:type="paragraph" w:styleId="Heading1">
    <w:name w:val="heading 1"/>
    <w:basedOn w:val="Normal"/>
    <w:next w:val="Normal"/>
    <w:link w:val="Heading1Char"/>
    <w:qFormat/>
    <w:rsid w:val="003D6072"/>
    <w:pPr>
      <w:keepNext/>
      <w:keepLines/>
      <w:numPr>
        <w:numId w:val="2"/>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4479E"/>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D607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4479E"/>
    <w:rPr>
      <w:rFonts w:asciiTheme="majorHAnsi" w:eastAsiaTheme="majorEastAsia" w:hAnsiTheme="majorHAnsi" w:cstheme="majorBidi"/>
      <w:b/>
      <w:bCs/>
      <w:color w:val="4472C4" w:themeColor="accent1"/>
      <w:sz w:val="26"/>
      <w:szCs w:val="26"/>
    </w:rPr>
  </w:style>
  <w:style w:type="character" w:styleId="Hyperlink">
    <w:name w:val="Hyperlink"/>
    <w:basedOn w:val="DefaultParagraphFont"/>
    <w:uiPriority w:val="99"/>
    <w:unhideWhenUsed/>
    <w:rsid w:val="0074479E"/>
    <w:rPr>
      <w:color w:val="0563C1" w:themeColor="hyperlink"/>
      <w:u w:val="single"/>
    </w:rPr>
  </w:style>
  <w:style w:type="table" w:customStyle="1" w:styleId="TableGridLight1">
    <w:name w:val="Table Grid Light1"/>
    <w:basedOn w:val="TableNormal"/>
    <w:uiPriority w:val="40"/>
    <w:rsid w:val="0074479E"/>
    <w:pPr>
      <w:spacing w:after="0" w:line="240" w:lineRule="auto"/>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enotypes.healthdatagateway.org/phenotypes/PH71/version/142/detail/" TargetMode="External"/><Relationship Id="rId3" Type="http://schemas.openxmlformats.org/officeDocument/2006/relationships/styles" Target="styles.xml"/><Relationship Id="rId7" Type="http://schemas.openxmlformats.org/officeDocument/2006/relationships/hyperlink" Target="https://phenotypes.healthdatagateway.org/phenotypes/PH338/version/676/detai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henotypes.healthdatagateway.org/phenotypes/PH674/version/1348/detai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B81A3-FCCE-4794-BA2D-3996C068F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8991</Words>
  <Characters>51252</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Becky</dc:creator>
  <cp:keywords/>
  <dc:description/>
  <cp:lastModifiedBy>White, Becky</cp:lastModifiedBy>
  <cp:revision>4</cp:revision>
  <dcterms:created xsi:type="dcterms:W3CDTF">2022-07-06T14:06:00Z</dcterms:created>
  <dcterms:modified xsi:type="dcterms:W3CDTF">2022-09-08T15:15:00Z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3d7b1e54-0229-33e5-bafa-8aa64902756a</vt:lpwstr>
  </property>
  <property fmtid="{D5CDD505-2E9C-101B-9397-08002B2CF9AE}" pid="4" name="Mendeley Citation Style_1">
    <vt:lpwstr>http://www.zotero.org/styles/cancer-epidemiology</vt:lpwstr>
  </property>
</Properties>
</file>