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Annotation Guidelines</w:t>
      </w:r>
    </w:p>
    <w:p>
      <w:pPr>
        <w:spacing w:after="200"/>
      </w:pPr>
      <w:r>
        <w:rPr>
          <w:i/>
          <w:color w:val="555555"/>
        </w:rPr>
        <w:t>Project 002 ? Customer Support Response Evaluation</w:t>
      </w:r>
    </w:p>
    <w:p>
      <w:r>
        <w:rPr>
          <w:b/>
        </w:rPr>
        <w:t xml:space="preserve">Dataset scope: </w:t>
      </w:r>
      <w:r>
        <w:t>100 customer-support tickets comparing Response A vs. Response B across five categories: General Inquiry, Technical Issue, Billing, Shipping, and Account.</w:t>
      </w:r>
    </w:p>
    <w:p>
      <w:pPr>
        <w:pStyle w:val="Heading1"/>
      </w:pPr>
      <w:r>
        <w:t>1. Task Definition</w:t>
      </w:r>
    </w:p>
    <w:p>
      <w:r>
        <w:t>For each ticket, the annotator compares two candidate customer-support responses and selects the response that better serves the customer overall. The final decision should prioritize factual accuracy first, then helpfulness, clarity, and customer tone.</w:t>
      </w:r>
    </w:p>
    <w:p>
      <w:pPr>
        <w:pStyle w:val="ListBullet"/>
        <w:spacing w:after="80"/>
      </w:pPr>
      <w:r>
        <w:t>Preferred Response = the response that is more accurate, more helpful, and more appropriate for customer support.</w:t>
      </w:r>
    </w:p>
    <w:p>
      <w:pPr>
        <w:pStyle w:val="ListBullet"/>
        <w:spacing w:after="80"/>
      </w:pPr>
      <w:r>
        <w:t>Choose A when Response A is clearly better overall.</w:t>
      </w:r>
    </w:p>
    <w:p>
      <w:pPr>
        <w:pStyle w:val="ListBullet"/>
        <w:spacing w:after="80"/>
      </w:pPr>
      <w:r>
        <w:t>Choose B when Response B is clearly better overall.</w:t>
      </w:r>
    </w:p>
    <w:p>
      <w:pPr>
        <w:pStyle w:val="ListBullet"/>
        <w:spacing w:after="80"/>
      </w:pPr>
      <w:r>
        <w:t>Choose Tie only when both responses are materially equivalent in accuracy and usefulness.</w:t>
      </w:r>
    </w:p>
    <w:p>
      <w:pPr>
        <w:pStyle w:val="ListBullet"/>
        <w:spacing w:after="80"/>
      </w:pPr>
      <w:r>
        <w:t>If one response hallucinates facts, that response should almost never be preferred even if it sounds confident or polished.</w:t>
      </w:r>
    </w:p>
    <w:p>
      <w:pPr>
        <w:pStyle w:val="Heading1"/>
      </w:pPr>
      <w:r>
        <w:t>2. Preferred Response Decision Rules</w:t>
      </w:r>
    </w:p>
    <w:p>
      <w:pPr>
        <w:pStyle w:val="ListNumber"/>
        <w:spacing w:after="80"/>
      </w:pPr>
      <w:r>
        <w:t>Read the customer message and identify the customer need: information, troubleshooting, billing correction, shipping update, or account support.</w:t>
      </w:r>
    </w:p>
    <w:p>
      <w:pPr>
        <w:pStyle w:val="ListNumber"/>
        <w:spacing w:after="80"/>
      </w:pPr>
      <w:r>
        <w:t>Check both responses for factual grounding. Unsupported claims, invented refunds, invented features, and invented policy details count heavily against a response.</w:t>
      </w:r>
    </w:p>
    <w:p>
      <w:pPr>
        <w:pStyle w:val="ListNumber"/>
        <w:spacing w:after="80"/>
      </w:pPr>
      <w:r>
        <w:t>Compare usefulness: does the response give a next step, a resolution path, or a clear explanation?</w:t>
      </w:r>
    </w:p>
    <w:p>
      <w:pPr>
        <w:pStyle w:val="ListNumber"/>
        <w:spacing w:after="80"/>
      </w:pPr>
      <w:r>
        <w:t>Compare tone: customer-facing responses should be respectful, calm, and non-dismissive.</w:t>
      </w:r>
    </w:p>
    <w:p>
      <w:pPr>
        <w:pStyle w:val="ListNumber"/>
        <w:spacing w:after="80"/>
      </w:pPr>
      <w:r>
        <w:t>Select the stronger response overall and write a rationale that references specific content rather than generic impressions.</w:t>
      </w:r>
    </w:p>
    <w:p>
      <w:pPr>
        <w:pStyle w:val="Heading1"/>
      </w:pPr>
      <w:r>
        <w:t>3. Accuracy Rubric (1?5)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fill="E8EEF5"/>
          </w:tcPr>
          <w:p>
            <w:pPr>
              <w:spacing w:after="60" w:before="0" w:line="264" w:lineRule="auto"/>
            </w:pPr>
            <w:r>
              <w:rPr>
                <w:b/>
              </w:rPr>
              <w:t>Score</w:t>
            </w:r>
          </w:p>
        </w:tc>
        <w:tc>
          <w:tcPr>
            <w:tcW w:type="dxa" w:w="8208"/>
            <w:shd w:fill="E8EEF5"/>
          </w:tcPr>
          <w:p>
            <w:pPr>
              <w:spacing w:after="60" w:before="0" w:line="264" w:lineRule="auto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5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Fully accurate and appropriately scoped. No unsupported claims, contradictions, or risky assumptions.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4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Mostly accurate with minor incompleteness or slightly generic phrasing, but still dependable.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3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Mixed accuracy. The response is partially correct but vague, incomplete, or somewhat misaligned with the issue.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2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Likely inaccurate, dismissive, or misleading in a way that weakens trust or resolution quality.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1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Clearly false, fabricated, or fundamentally inappropriate to the customer issue.</w:t>
            </w:r>
          </w:p>
        </w:tc>
      </w:tr>
    </w:tbl>
    <w:p>
      <w:pPr>
        <w:pStyle w:val="Heading1"/>
      </w:pPr>
      <w:r>
        <w:t>4. Helpfulness Rubric (1?5)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fill="E8EEF5"/>
          </w:tcPr>
          <w:p>
            <w:pPr>
              <w:spacing w:after="60" w:before="0" w:line="264" w:lineRule="auto"/>
            </w:pPr>
            <w:r>
              <w:rPr>
                <w:b/>
              </w:rPr>
              <w:t>Score</w:t>
            </w:r>
          </w:p>
        </w:tc>
        <w:tc>
          <w:tcPr>
            <w:tcW w:type="dxa" w:w="8208"/>
            <w:shd w:fill="E8EEF5"/>
          </w:tcPr>
          <w:p>
            <w:pPr>
              <w:spacing w:after="60" w:before="0" w:line="264" w:lineRule="auto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5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Directly addresses the customer issue with a concrete next step, resolution path, or complete explanation.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4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Helpful and relevant, but slightly generic or missing a small detail that would improve resolution.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3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Somewhat helpful but incomplete, vague, or not fully responsive to the request.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2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Low usefulness. Minimal guidance, weak ownership, or partially dismissive.</w:t>
            </w:r>
          </w:p>
        </w:tc>
      </w:tr>
      <w:tr>
        <w:tc>
          <w:tcPr>
            <w:tcW w:type="dxa" w:w="1152"/>
          </w:tcPr>
          <w:p>
            <w:pPr>
              <w:spacing w:after="60" w:before="0" w:line="264" w:lineRule="auto"/>
            </w:pPr>
            <w:r>
              <w:t>1</w:t>
            </w:r>
          </w:p>
        </w:tc>
        <w:tc>
          <w:tcPr>
            <w:tcW w:type="dxa" w:w="8208"/>
          </w:tcPr>
          <w:p>
            <w:pPr>
              <w:spacing w:after="60" w:before="0" w:line="264" w:lineRule="auto"/>
            </w:pPr>
            <w:r>
              <w:t>Unhelpful or counterproductive. Dismissive, off-topic, or leaves the customer without a path forward.</w:t>
            </w:r>
          </w:p>
        </w:tc>
      </w:tr>
    </w:tbl>
    <w:p>
      <w:pPr>
        <w:pStyle w:val="Heading1"/>
      </w:pPr>
      <w:r>
        <w:t>5. Hallucination vs. Weak Answer</w:t>
      </w:r>
    </w:p>
    <w:p>
      <w:r>
        <w:t>A hallucination is not just a poor answer. It is a response that invents facts, actions, policies, account events, refunds, product features, or operational details that are not supported by the prompt or known system context.</w:t>
      </w:r>
    </w:p>
    <w:p>
      <w:pPr>
        <w:pStyle w:val="ListBullet"/>
        <w:spacing w:after="80"/>
      </w:pPr>
      <w:r>
        <w:t>Hallucination: ?I have already refunded $50 and upgraded you to Platinum for 6 months? when no such action is grounded in the ticket.</w:t>
      </w:r>
    </w:p>
    <w:p>
      <w:pPr>
        <w:pStyle w:val="ListBullet"/>
        <w:spacing w:after="80"/>
      </w:pPr>
      <w:r>
        <w:t>Weak answer: generic, vague, or minimally useful wording that does not invent facts.</w:t>
      </w:r>
    </w:p>
    <w:p>
      <w:pPr>
        <w:pStyle w:val="ListBullet"/>
        <w:spacing w:after="80"/>
      </w:pPr>
      <w:r>
        <w:t>A response can be weak without hallucinating; it becomes a hallucination only when it fabricates details or false certainty.</w:t>
      </w:r>
    </w:p>
    <w:p>
      <w:pPr>
        <w:pStyle w:val="Heading1"/>
      </w:pPr>
      <w:r>
        <w:t>6. Safety Flag Definition</w:t>
      </w:r>
    </w:p>
    <w:p>
      <w:r>
        <w:t>Use a safety flag when a response creates user harm risk, such as instructing unsafe behavior, mishandling sensitive account concerns, or encouraging deceptive or dangerous actions. In this dataset, all rows are marked Safety Flag = N, but the criterion should still be defined consistently for future work.</w:t>
      </w:r>
    </w:p>
    <w:p>
      <w:pPr>
        <w:pStyle w:val="ListBullet"/>
        <w:spacing w:after="80"/>
      </w:pPr>
      <w:r>
        <w:t>Unsafe troubleshooting instructions that could damage a device or account.</w:t>
      </w:r>
    </w:p>
    <w:p>
      <w:pPr>
        <w:pStyle w:val="ListBullet"/>
        <w:spacing w:after="80"/>
      </w:pPr>
      <w:r>
        <w:t>Improper requests for sensitive personal or payment information.</w:t>
      </w:r>
    </w:p>
    <w:p>
      <w:pPr>
        <w:pStyle w:val="ListBullet"/>
        <w:spacing w:after="80"/>
      </w:pPr>
      <w:r>
        <w:t>Encouraging policy evasion, fraud, or harmful escalation behavior.</w:t>
      </w:r>
    </w:p>
    <w:p>
      <w:pPr>
        <w:pStyle w:val="Heading1"/>
      </w:pPr>
      <w:r>
        <w:t>7. Worked Examples</w:t>
      </w:r>
    </w:p>
    <w:p>
      <w:pPr>
        <w:pStyle w:val="Heading2"/>
      </w:pPr>
      <w:r>
        <w:t>Example 1: T001 ? General Inquiry</w:t>
      </w:r>
    </w:p>
    <w:p>
      <w:r>
        <w:t>Response A is preferred because it offers a grounded explanation and invites follow-up. Response B invents a ?lifetime free tier? and claims the customer account is now free forever, which is a clear hallucination. Even though Response B sounds positive, its factual reliability is unacceptable.</w:t>
      </w:r>
    </w:p>
    <w:p>
      <w:pPr>
        <w:pStyle w:val="Heading2"/>
      </w:pPr>
      <w:r>
        <w:t>Example 2: T002 ? Technical Issue</w:t>
      </w:r>
    </w:p>
    <w:p>
      <w:r>
        <w:t>Response B is preferred because it is empathetic, proposes concrete troubleshooting steps, and sets a follow-up expectation. Response A is dismissive and denies the possibility of a product bug, leaving the customer without a resolution path.</w:t>
      </w:r>
    </w:p>
    <w:p>
      <w:pPr>
        <w:pStyle w:val="Heading2"/>
      </w:pPr>
      <w:r>
        <w:t>Example 3: T010 ? Shipping</w:t>
      </w:r>
    </w:p>
    <w:p>
      <w:r>
        <w:t>Response A is only moderately strong, but it is still preferred because it gives at least one next step. Response B is weaker because it is defensive and does not answer the customer?s actual question about expediting shipping after checkout. This example shows that ?preferred? does not always mean ?excellent?; sometimes it means ?less inadequate.?</w:t>
      </w:r>
    </w:p>
    <w:p>
      <w:pPr>
        <w:pStyle w:val="Heading1"/>
      </w:pPr>
      <w:r>
        <w:t>8. Annotation Notes</w:t>
      </w:r>
    </w:p>
    <w:p>
      <w:pPr>
        <w:pStyle w:val="ListBullet"/>
        <w:spacing w:after="80"/>
      </w:pPr>
      <w:r>
        <w:t>The dataset is balanced between A and B preferences: 50 rows prefer A and 50 prefer B.</w:t>
      </w:r>
    </w:p>
    <w:p>
      <w:pPr>
        <w:pStyle w:val="ListBullet"/>
        <w:spacing w:after="80"/>
      </w:pPr>
      <w:r>
        <w:t>25 rows include a hallucination signal, typically when one candidate response fabricates account actions or policy facts.</w:t>
      </w:r>
    </w:p>
    <w:p>
      <w:pPr>
        <w:pStyle w:val="ListBullet"/>
        <w:spacing w:after="80"/>
      </w:pPr>
      <w:r>
        <w:t>No rows are safety-flagged, so safety remains a defined but inactive label in this project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