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Project Reflection</w:t>
      </w:r>
    </w:p>
    <w:p>
      <w:pPr>
        <w:spacing w:after="200"/>
      </w:pPr>
      <w:r>
        <w:rPr>
          <w:i/>
          <w:color w:val="555555"/>
        </w:rPr>
        <w:t>Project 002 ? Customer Support Response Evaluation</w:t>
      </w:r>
    </w:p>
    <w:p>
      <w:r>
        <w:t>This project reinforced how easy it is for a response to sound persuasive while still being the wrong choice. The strongest pattern in the dataset was that fabricated confidence often looked superficially helpful: a hallucinated refund, policy exception, or feature announcement could appear more polished than a cautious but grounded answer. Evaluating these examples made it clear that correctness has to outrank fluency in annotation work, especially in customer-support settings where invented actions can erode trust quickly.</w:t>
      </w:r>
    </w:p>
    <w:p>
      <w:r>
        <w:t>A second takeaway was the importance of separating different failure modes. Some weak responses were not hallucinations; they were simply vague, generic, or dismissive. That distinction matters because the annotation decision changes depending on whether the model fabricated facts or just failed to be useful. The dataset also showed why pairwise evaluation is valuable: in several tickets, the preferred response was not excellent, just less harmful and more actionable than the alternative. That kind of judgment is closer to real-world QA than simple ?good/bad? labeling.</w:t>
      </w:r>
    </w:p>
    <w:p>
      <w:r>
        <w:t>Finally, the project highlighted the role of written guidelines and QA structure in improving consistency. The IAA sample shows that disagreement is normal when responses are close in quality or when one answer is helpful in tone but weaker in factual grounding. A solid rubric, explicit hallucination criteria, and a checklist for spot checks make those disagreements easier to resolve and help turn subjective impressions into repeatable annotation decisions.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76" w:lineRule="auto" w:before="0"/>
      <w:contextualSpacing/>
    </w:pPr>
    <w:rPr>
      <w:rFonts w:asciiTheme="majorHAnsi" w:eastAsiaTheme="majorEastAsia" w:hAnsiTheme="majorHAnsi" w:cstheme="majorBidi" w:ascii="Calibri" w:hAnsi="Calibri"/>
      <w:color w:val="2E74B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