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QA Checklist</w:t>
      </w:r>
    </w:p>
    <w:p>
      <w:pPr>
        <w:spacing w:after="200"/>
      </w:pPr>
      <w:r>
        <w:rPr>
          <w:i/>
          <w:color w:val="555555"/>
        </w:rPr>
        <w:t>Project 002 ? Customer Support Response Evaluation</w:t>
      </w:r>
    </w:p>
    <w:p>
      <w:r>
        <w:t>Use this checklist during spot checks, blind re-evaluation, and final QA review of response-comparison annotations.</w:t>
      </w:r>
    </w:p>
    <w:p>
      <w:pPr>
        <w:pStyle w:val="Heading1"/>
      </w:pPr>
      <w:r>
        <w:t>Reusable Checklist</w:t>
      </w:r>
    </w:p>
    <w:p>
      <w:pPr>
        <w:spacing w:after="80"/>
      </w:pPr>
      <w:r>
        <w:t>? Preferred response label matches the stronger combination of accuracy and helpfulness.</w:t>
      </w:r>
    </w:p>
    <w:p>
      <w:pPr>
        <w:spacing w:after="80"/>
      </w:pPr>
      <w:r>
        <w:t>? Accuracy scores are consistent with the rubric and do not reward fabricated content.</w:t>
      </w:r>
    </w:p>
    <w:p>
      <w:pPr>
        <w:spacing w:after="80"/>
      </w:pPr>
      <w:r>
        <w:t>? Helpfulness scores reflect whether the customer actually receives a path forward.</w:t>
      </w:r>
    </w:p>
    <w:p>
      <w:pPr>
        <w:spacing w:after="80"/>
      </w:pPr>
      <w:r>
        <w:t>? Hallucinations are flagged when a response invents actions, policies, or product facts.</w:t>
      </w:r>
    </w:p>
    <w:p>
      <w:pPr>
        <w:spacing w:after="80"/>
      </w:pPr>
      <w:r>
        <w:t>? Safety flag is checked consistently, even if the final value is ?No issue present.?</w:t>
      </w:r>
    </w:p>
    <w:p>
      <w:pPr>
        <w:spacing w:after="80"/>
      </w:pPr>
      <w:r>
        <w:t>? Annotator rationale references specific wording or claims from the response, not generic commentary.</w:t>
      </w:r>
    </w:p>
    <w:p>
      <w:pPr>
        <w:spacing w:after="80"/>
      </w:pPr>
      <w:r>
        <w:t>? Dismissive but non-hallucinated responses are distinguished from fabricated responses.</w:t>
      </w:r>
    </w:p>
    <w:p>
      <w:pPr>
        <w:spacing w:after="80"/>
      </w:pPr>
      <w:r>
        <w:t>? Tie labels are used only when the two responses are materially equivalent in quality.</w:t>
      </w:r>
    </w:p>
    <w:p>
      <w:pPr>
        <w:spacing w:after="80"/>
      </w:pPr>
      <w:r>
        <w:t>? Any ambiguous or borderline cases are documented separately for later review.</w:t>
      </w:r>
    </w:p>
    <w:p>
      <w:pPr>
        <w:spacing w:after="80"/>
      </w:pPr>
      <w:r>
        <w:t>? IAA disagreements are reviewed against the written guidelines before final resolution.</w:t>
      </w:r>
    </w:p>
    <w:p>
      <w:pPr>
        <w:pStyle w:val="Heading1"/>
      </w:pPr>
      <w:r>
        <w:t>Reviewer Notes</w:t>
      </w:r>
    </w:p>
    <w:p>
      <w:r>
        <w:t>Suggested final QA prompt: ?If I removed the existing label and re-read this ticket cold, would I still make the same choice and justify it the same way??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