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COVID-19</w:t>
      </w:r>
      <w:r>
        <w:t xml:space="preserve"> </w:t>
      </w:r>
      <w:r>
        <w:t xml:space="preserve">burden</w:t>
      </w:r>
      <w:r>
        <w:t xml:space="preserve"> </w:t>
      </w:r>
      <w:r>
        <w:t xml:space="preserve">on</w:t>
      </w:r>
      <w:r>
        <w:t xml:space="preserve"> </w:t>
      </w:r>
      <w:r>
        <w:t xml:space="preserve">changes</w:t>
      </w:r>
      <w:r>
        <w:t xml:space="preserve"> </w:t>
      </w:r>
      <w:r>
        <w:t xml:space="preserve">in</w:t>
      </w:r>
      <w:r>
        <w:t xml:space="preserve"> </w:t>
      </w:r>
      <w:r>
        <w:t xml:space="preserve">HPV</w:t>
      </w:r>
      <w:r>
        <w:t xml:space="preserve"> </w:t>
      </w:r>
      <w:r>
        <w:t xml:space="preserve">vaccination</w:t>
      </w:r>
      <w:r>
        <w:t xml:space="preserve"> </w:t>
      </w:r>
      <w:r>
        <w:t xml:space="preserve">coverage</w:t>
      </w:r>
      <w:r>
        <w:t xml:space="preserve"> </w:t>
      </w:r>
      <w:r>
        <w:t xml:space="preserve">among</w:t>
      </w:r>
      <w:r>
        <w:t xml:space="preserve"> </w:t>
      </w:r>
      <w:r>
        <w:t xml:space="preserve">females</w:t>
      </w:r>
      <w:r>
        <w:t xml:space="preserve"> </w:t>
      </w:r>
      <w:r>
        <w:t xml:space="preserve">between</w:t>
      </w:r>
      <w:r>
        <w:t xml:space="preserve"> </w:t>
      </w:r>
      <w:r>
        <w:t xml:space="preserve">2019</w:t>
      </w:r>
      <w:r>
        <w:t xml:space="preserve"> </w:t>
      </w:r>
      <w:r>
        <w:t xml:space="preserve">and</w:t>
      </w:r>
      <w:r>
        <w:t xml:space="preserve"> </w:t>
      </w:r>
      <w:r>
        <w:t xml:space="preserve">2022</w:t>
      </w:r>
    </w:p>
    <w:p>
      <w:pPr>
        <w:pStyle w:val="Author"/>
      </w:pPr>
      <w:r>
        <w:t xml:space="preserve">Rayleen</w:t>
      </w:r>
      <w:r>
        <w:t xml:space="preserve"> </w:t>
      </w:r>
      <w:r>
        <w:t xml:space="preserve">Lewis</w:t>
      </w:r>
    </w:p>
    <w:p>
      <w:pPr>
        <w:pStyle w:val="FirstParagraph"/>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BodyText"/>
      </w:pPr>
      <w:r>
        <w:rPr>
          <w:b/>
          <w:bCs/>
        </w:rPr>
        <w:t xml:space="preserve">Authors</w:t>
      </w:r>
    </w:p>
    <w:p>
      <w:pPr>
        <w:pStyle w:val="Compact"/>
        <w:numPr>
          <w:ilvl w:val="0"/>
          <w:numId w:val="1001"/>
        </w:numPr>
      </w:pPr>
      <w:r>
        <w:t xml:space="preserve">Rayleen Lewis</w:t>
      </w:r>
      <m:oMath>
        <m:sSup>
          <m:e>
            <m:r>
              <m:t>​</m:t>
            </m:r>
          </m:e>
          <m:sup>
            <m:r>
              <m:t>1</m:t>
            </m:r>
          </m:sup>
        </m:sSup>
      </m:oMath>
      <w:r>
        <w:t xml:space="preserve"> </w:t>
      </w:r>
      <w:r>
        <w:t xml:space="preserve">(ORCID: 0000-0000-1234-5678)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some@email.com</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their employer or University.</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
          <w:iCs/>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
          <w:iCs/>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t xml:space="preserve">The objective of this work is to determine if HPV vaccination coverage changed between 2019 and 2022 among countries offering HPV vaccination as of 2019, and if so, are these changes correlated with COVID-19 burden in 2020-2021. I hypothesize that HPV vaccination coverage was lower in 2022 than 2019 among countries with high burden of COVID-19 in 2020-2021 and comparable in countries with a low COVID-19 burden.</w:t>
      </w:r>
    </w:p>
    <w:p>
      <w:r>
        <w:br w:type="page"/>
      </w:r>
    </w:p>
    <w:bookmarkEnd w:id="25"/>
    <w:bookmarkEnd w:id="26"/>
    <w:bookmarkStart w:id="39" w:name="methods"/>
    <w:p>
      <w:pPr>
        <w:pStyle w:val="Heading1"/>
      </w:pPr>
      <w:r>
        <w:t xml:space="preserve">3. Methods</w:t>
      </w:r>
    </w:p>
    <w:p>
      <w:pPr>
        <w:pStyle w:val="FirstParagraph"/>
      </w:pPr>
      <w:r>
        <w:t xml:space="preserve">Briefly, all datasets will be reduced to include only countries with vaccination coverage estimates in both 2019 and 2022. Average coverage will be compared in 2022 to 2019. Multivariable linear regression modeling the difference in coverage between the two years as the outcome will be conducting using measures of COVID-19 burden, HPV vaccination program characteristics, country income information, and country-level demographics. Measure(s) of COVID-19 burden will be considered the explanatory variable of interest. Other characteristics will be considered for adjustment.</w:t>
      </w:r>
    </w:p>
    <w:bookmarkStart w:id="31"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30" w:name="fig-schematic"/>
          <w:p>
            <w:pPr>
              <w:pStyle w:val="Compact"/>
              <w:jc w:val="center"/>
            </w:pPr>
            <w:r>
              <w:drawing>
                <wp:inline>
                  <wp:extent cx="5334000" cy="4978399"/>
                  <wp:effectExtent b="0" l="0" r="0" t="0"/>
                  <wp:docPr descr="" title="" id="28" name="Picture"/>
                  <a:graphic>
                    <a:graphicData uri="http://schemas.openxmlformats.org/drawingml/2006/picture">
                      <pic:pic>
                        <pic:nvPicPr>
                          <pic:cNvPr descr="../../assets/antigen-recognition.png" id="29" name="Picture"/>
                          <pic:cNvPicPr>
                            <a:picLocks noChangeArrowheads="1" noChangeAspect="1"/>
                          </pic:cNvPicPr>
                        </pic:nvPicPr>
                        <pic:blipFill>
                          <a:blip r:embed="rId27"/>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0"/>
        </w:tc>
      </w:tr>
    </w:tbl>
    <w:bookmarkEnd w:id="31"/>
    <w:bookmarkStart w:id="36" w:name="data-aquisition"/>
    <w:p>
      <w:pPr>
        <w:pStyle w:val="Heading2"/>
      </w:pPr>
      <w:r>
        <w:t xml:space="preserve">3.2 Data aquisition</w:t>
      </w:r>
    </w:p>
    <w:p>
      <w:pPr>
        <w:pStyle w:val="FirstParagraph"/>
      </w:pPr>
      <w:r>
        <w:t xml:space="preserve">Data on HPV vaccination coverage and vaccination program details are available at the country level through the World Health Organization’s (WHO)</w:t>
      </w:r>
      <w:r>
        <w:t xml:space="preserve"> </w:t>
      </w:r>
      <w:hyperlink r:id="rId32">
        <w:r>
          <w:rPr>
            <w:rStyle w:val="Hyperlink"/>
          </w:rPr>
          <w:t xml:space="preserve">HPV Dashboard</w:t>
        </w:r>
      </w:hyperlink>
      <w:r>
        <w:t xml:space="preserve">. HPV Dashboard include country income level (low, lower middle, upper middle, high), whether there was a national HPV vaccine schedule, year of vaccine introduction, primary delivery strategy (school-based, facility based, varies by region, mixed), number of doses in routine schedule, whether the program is gender neutral (target males and females), WHO region, and year-specific coverage from 2010 to 2023.</w:t>
      </w:r>
    </w:p>
    <w:p>
      <w:pPr>
        <w:pStyle w:val="BodyText"/>
      </w:pPr>
      <w:r>
        <w:t xml:space="preserve">Country-specific weekly COVID-19 case and death counts are available from starting in 1/4/2020 through the WHO</w:t>
      </w:r>
      <w:r>
        <w:t xml:space="preserve"> </w:t>
      </w:r>
      <w:hyperlink r:id="rId33">
        <w:r>
          <w:rPr>
            <w:rStyle w:val="Hyperlink"/>
          </w:rPr>
          <w:t xml:space="preserve">COVID-19 dashboard</w:t>
        </w:r>
      </w:hyperlink>
      <w:r>
        <w:t xml:space="preserve">. In August 2023, WHO stopped requiring weekly reporting, although some countries continued to voluntarily report COVID-19 data.</w:t>
      </w:r>
    </w:p>
    <w:p>
      <w:pPr>
        <w:pStyle w:val="BodyText"/>
      </w:pPr>
      <w:r>
        <w:t xml:space="preserve">Additional country-level covariates were collected from other publicly available data sources. Information on country income level by year is available through the</w:t>
      </w:r>
      <w:r>
        <w:t xml:space="preserve"> </w:t>
      </w:r>
      <w:hyperlink r:id="rId34">
        <w:r>
          <w:rPr>
            <w:rStyle w:val="Hyperlink"/>
          </w:rPr>
          <w:t xml:space="preserve">World Bank</w:t>
        </w:r>
      </w:hyperlink>
      <w:r>
        <w:t xml:space="preserve">. Country-level demographics including life expectancy of females at birth and population size were available from the</w:t>
      </w:r>
      <w:r>
        <w:t xml:space="preserve"> </w:t>
      </w:r>
      <w:hyperlink r:id="rId35">
        <w:r>
          <w:rPr>
            <w:rStyle w:val="Hyperlink"/>
          </w:rPr>
          <w:t xml:space="preserve">United Nations</w:t>
        </w:r>
      </w:hyperlink>
    </w:p>
    <w:p>
      <w:pPr>
        <w:pStyle w:val="BodyText"/>
      </w:pPr>
      <w:r>
        <w:t xml:space="preserve">All data sources are publicly available for download and were downloaded on January 26-27, 2025.</w:t>
      </w:r>
    </w:p>
    <w:bookmarkEnd w:id="36"/>
    <w:bookmarkStart w:id="37" w:name="data-import-and-cleaning"/>
    <w:p>
      <w:pPr>
        <w:pStyle w:val="Heading2"/>
      </w:pPr>
      <w:r>
        <w:t xml:space="preserve">3.3 Data import and cleaning</w:t>
      </w:r>
    </w:p>
    <w:p>
      <w:pPr>
        <w:pStyle w:val="FirstParagraph"/>
      </w:pPr>
      <w:r>
        <w:rPr>
          <w:i/>
          <w:iCs/>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7"/>
    <w:bookmarkStart w:id="38" w:name="statistical-analysis"/>
    <w:p>
      <w:pPr>
        <w:pStyle w:val="Heading2"/>
      </w:pPr>
      <w:r>
        <w:t xml:space="preserve">3.4 Statistical analysis</w:t>
      </w:r>
    </w:p>
    <w:p>
      <w:pPr>
        <w:pStyle w:val="FirstParagraph"/>
      </w:pPr>
      <w:r>
        <w:rPr>
          <w:i/>
          <w:iCs/>
        </w:rPr>
        <w:t xml:space="preserve">Explain anything related to your statistical analyses.</w:t>
      </w:r>
    </w:p>
    <w:p>
      <w:r>
        <w:br w:type="page"/>
      </w:r>
    </w:p>
    <w:bookmarkEnd w:id="38"/>
    <w:bookmarkEnd w:id="39"/>
    <w:bookmarkStart w:id="49" w:name="results"/>
    <w:p>
      <w:pPr>
        <w:pStyle w:val="Heading1"/>
      </w:pPr>
      <w:r>
        <w:t xml:space="preserve">4. Results</w:t>
      </w:r>
    </w:p>
    <w:bookmarkStart w:id="41"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40"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40"/>
          <w:p/>
        </w:tc>
      </w:tr>
    </w:tbl>
    <w:bookmarkEnd w:id="41"/>
    <w:bookmarkStart w:id="46"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w:t>
      </w:r>
      <w:r>
        <w:rPr>
          <w:i/>
          <w:iCs/>
        </w:rPr>
        <w:t xml:space="preserve">p&lt;0.05 means statistical significance</w:t>
      </w:r>
      <w:r>
        <w:rPr>
          <w:i/>
          <w:iCs/>
        </w:rPr>
        <w:t xml:space="preserv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5" w:name="fig-result"/>
          <w:p>
            <w:pPr>
              <w:pStyle w:val="Compact"/>
              <w:jc w:val="center"/>
            </w:pPr>
            <w:r>
              <w:drawing>
                <wp:inline>
                  <wp:extent cx="5334000" cy="2701322"/>
                  <wp:effectExtent b="0" l="0" r="0" t="0"/>
                  <wp:docPr descr="" title="" id="43" name="Picture"/>
                  <a:graphic>
                    <a:graphicData uri="http://schemas.openxmlformats.org/drawingml/2006/picture">
                      <pic:pic>
                        <pic:nvPicPr>
                          <pic:cNvPr descr="../../results/figures/height-weight-stratified.png" id="44" name="Picture"/>
                          <pic:cNvPicPr>
                            <a:picLocks noChangeArrowheads="1" noChangeAspect="1"/>
                          </pic:cNvPicPr>
                        </pic:nvPicPr>
                        <pic:blipFill>
                          <a:blip r:embed="rId42"/>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5"/>
        </w:tc>
      </w:tr>
    </w:tbl>
    <w:bookmarkEnd w:id="46"/>
    <w:bookmarkStart w:id="48"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7"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7"/>
          <w:p/>
        </w:tc>
      </w:tr>
    </w:tbl>
    <w:p>
      <w:r>
        <w:br w:type="page"/>
      </w:r>
    </w:p>
    <w:bookmarkEnd w:id="48"/>
    <w:bookmarkEnd w:id="49"/>
    <w:bookmarkStart w:id="54" w:name="discussion"/>
    <w:p>
      <w:pPr>
        <w:pStyle w:val="Heading1"/>
      </w:pPr>
      <w:r>
        <w:t xml:space="preserve">5. Discussion</w:t>
      </w:r>
    </w:p>
    <w:bookmarkStart w:id="50"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50"/>
    <w:bookmarkStart w:id="51"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51"/>
    <w:bookmarkStart w:id="53"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2">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53"/>
    <w:bookmarkEnd w:id="54"/>
    <w:bookmarkStart w:id="62" w:name="references"/>
    <w:p>
      <w:pPr>
        <w:pStyle w:val="Heading1"/>
      </w:pPr>
      <w:r>
        <w:t xml:space="preserve">6. References</w:t>
      </w:r>
    </w:p>
    <w:p>
      <w:pPr>
        <w:pStyle w:val="FirstParagraph"/>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(2,3)</w:t>
      </w:r>
      <w:r>
        <w:t xml:space="preserve">.</w:t>
      </w:r>
    </w:p>
    <w:bookmarkStart w:id="61" w:name="refs"/>
    <w:bookmarkStart w:id="56" w:name="ref-leek2015"/>
    <w:p>
      <w:pPr>
        <w:pStyle w:val="Bibliography"/>
      </w:pPr>
      <w:r>
        <w:t xml:space="preserve">1.</w:t>
      </w:r>
      <w:r>
        <w:t xml:space="preserve"> </w:t>
      </w:r>
      <w:r>
        <w:t xml:space="preserve">	</w:t>
      </w:r>
      <w:r>
        <w:t xml:space="preserve">Leek JT, Peng RD.</w:t>
      </w:r>
      <w:r>
        <w:t xml:space="preserve"> </w:t>
      </w:r>
      <w:hyperlink r:id="rId55">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6"/>
    <w:bookmarkStart w:id="58" w:name="ref-mckay2020"/>
    <w:p>
      <w:pPr>
        <w:pStyle w:val="Bibliography"/>
      </w:pPr>
      <w:r>
        <w:t xml:space="preserve">2.</w:t>
      </w:r>
      <w:r>
        <w:t xml:space="preserve"> </w:t>
      </w:r>
      <w:r>
        <w:t xml:space="preserve">	</w:t>
      </w:r>
      <w:r>
        <w:t xml:space="preserve">McKay B, Ebell M, Billings WZ, et al.</w:t>
      </w:r>
      <w:r>
        <w:t xml:space="preserve"> </w:t>
      </w:r>
      <w:hyperlink r:id="rId57">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58"/>
    <w:bookmarkStart w:id="60" w:name="ref-mckay2020a"/>
    <w:p>
      <w:pPr>
        <w:pStyle w:val="Bibliography"/>
      </w:pPr>
      <w:r>
        <w:t xml:space="preserve">3.</w:t>
      </w:r>
      <w:r>
        <w:t xml:space="preserve"> </w:t>
      </w:r>
      <w:r>
        <w:t xml:space="preserve">	</w:t>
      </w:r>
      <w:r>
        <w:t xml:space="preserve">McKay B, Ebell M, Dale AP, et al.</w:t>
      </w:r>
      <w:r>
        <w:t xml:space="preserve"> </w:t>
      </w:r>
      <w:hyperlink r:id="rId59">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hyperlink" Id="rId33" Target="https://data.who.int/dashboards/covid19/data?n=o" TargetMode="External" /><Relationship Type="http://schemas.openxmlformats.org/officeDocument/2006/relationships/hyperlink" Id="rId34" Target="https://datahelpdesk.worldbank.org/knowledgebase/articles/906519-world-bank-country-and-lending-groups#:~:text=For%20the%20current%202025%20fiscal,those%20with%20a%20GNI%20per" TargetMode="External" /><Relationship Type="http://schemas.openxmlformats.org/officeDocument/2006/relationships/hyperlink" Id="rId57" Target="https://doi.org/10.1093/ofid/ofaa494" TargetMode="External" /><Relationship Type="http://schemas.openxmlformats.org/officeDocument/2006/relationships/hyperlink" Id="rId59"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35" Target="https://population.un.org/wpp/downloads?folder=Standard%20Projections&amp;group=CSV%20format"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32" Target="https://www.who.int/teams/immunization-vaccines-and-biologicals/diseases/human-papillomavirus-vaccines-(HPV)/hpv-clearing-house/hpv-dashboard" TargetMode="External" /><Relationship Type="http://schemas.openxmlformats.org/officeDocument/2006/relationships/hyperlink" Id="rId5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3" Target="https://data.who.int/dashboards/covid19/data?n=o" TargetMode="External" /><Relationship Type="http://schemas.openxmlformats.org/officeDocument/2006/relationships/hyperlink" Id="rId34" Target="https://datahelpdesk.worldbank.org/knowledgebase/articles/906519-world-bank-country-and-lending-groups#:~:text=For%20the%20current%202025%20fiscal,those%20with%20a%20GNI%20per" TargetMode="External" /><Relationship Type="http://schemas.openxmlformats.org/officeDocument/2006/relationships/hyperlink" Id="rId57" Target="https://doi.org/10.1093/ofid/ofaa494" TargetMode="External" /><Relationship Type="http://schemas.openxmlformats.org/officeDocument/2006/relationships/hyperlink" Id="rId59"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35" Target="https://population.un.org/wpp/downloads?folder=Standard%20Projections&amp;group=CSV%20format"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32" Target="https://www.who.int/teams/immunization-vaccines-and-biologicals/diseases/human-papillomavirus-vaccines-(HPV)/hpv-clearing-house/hpv-dashboard" TargetMode="External" /><Relationship Type="http://schemas.openxmlformats.org/officeDocument/2006/relationships/hyperlink" Id="rId5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COVID-19 burden on changes in HPV vaccination coverage among females between 2019 and 2022</dc:title>
  <dc:creator>Rayleen Lewis</dc:creator>
  <cp:keywords/>
  <dcterms:created xsi:type="dcterms:W3CDTF">2025-01-29T03:19:45Z</dcterms:created>
  <dcterms:modified xsi:type="dcterms:W3CDTF">2025-01-29T03:19:45Z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