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  <w:r>
        <w:t xml:space="preserve"> </w:t>
      </w:r>
      <w:r>
        <w:t xml:space="preserve">to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burden</w:t>
      </w:r>
      <w:r>
        <w:t xml:space="preserve"> </w:t>
      </w:r>
      <w:r>
        <w:t xml:space="preserve">on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HPV</w:t>
      </w:r>
      <w:r>
        <w:t xml:space="preserve"> </w:t>
      </w:r>
      <w:r>
        <w:t xml:space="preserve">vaccination</w:t>
      </w:r>
      <w:r>
        <w:t xml:space="preserve"> </w:t>
      </w:r>
      <w:r>
        <w:t xml:space="preserve">coverage</w:t>
      </w:r>
      <w:r>
        <w:t xml:space="preserve"> </w:t>
      </w:r>
      <w:r>
        <w:t xml:space="preserve">among</w:t>
      </w:r>
      <w:r>
        <w:t xml:space="preserve"> </w:t>
      </w:r>
      <w:r>
        <w:t xml:space="preserve">females</w:t>
      </w:r>
      <w:r>
        <w:t xml:space="preserve"> </w:t>
      </w:r>
      <w:r>
        <w:t xml:space="preserve">between</w:t>
      </w:r>
      <w:r>
        <w:t xml:space="preserve"> </w:t>
      </w:r>
      <w:r>
        <w:t xml:space="preserve">2019</w:t>
      </w:r>
      <w:r>
        <w:t xml:space="preserve"> </w:t>
      </w:r>
      <w:r>
        <w:t xml:space="preserve">and</w:t>
      </w:r>
      <w:r>
        <w:t xml:space="preserve"> </w:t>
      </w:r>
      <w:r>
        <w:t xml:space="preserve">2022</w:t>
      </w:r>
    </w:p>
    <w:bookmarkStart w:id="20" w:name="table-of-contents"/>
    <w:p>
      <w:pPr>
        <w:pStyle w:val="Heading1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Project structure and content</w:t>
      </w:r>
    </w:p>
    <w:p>
      <w:pPr>
        <w:pStyle w:val="Compact"/>
        <w:numPr>
          <w:ilvl w:val="0"/>
          <w:numId w:val="1001"/>
        </w:numPr>
      </w:pPr>
      <w:r>
        <w:t xml:space="preserve">Country characteristic details</w:t>
      </w:r>
    </w:p>
    <w:p>
      <w:pPr>
        <w:pStyle w:val="Compact"/>
        <w:numPr>
          <w:ilvl w:val="0"/>
          <w:numId w:val="1001"/>
        </w:numPr>
      </w:pPr>
      <w:r>
        <w:t xml:space="preserve">Additional analyses</w:t>
      </w:r>
    </w:p>
    <w:bookmarkEnd w:id="20"/>
    <w:bookmarkStart w:id="22" w:name="project-structure-and-content"/>
    <w:p>
      <w:pPr>
        <w:pStyle w:val="Heading1"/>
      </w:pPr>
      <w:r>
        <w:t xml:space="preserve">Project structure and content</w:t>
      </w:r>
    </w:p>
    <w:p>
      <w:pPr>
        <w:pStyle w:val="FirstParagraph"/>
      </w:pPr>
      <w:r>
        <w:t xml:space="preserve">This project follows the following folder structure. See the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files in each folder for more details.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folder is a place holder for any files that do not belong in the data, code, results, or products folders. These items are not generated by code.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folder contains all coding files required for the project. This folder includes 3 sub-folders that do different parts of an analysis:</w:t>
      </w:r>
      <w:r>
        <w:t xml:space="preserve"> </w:t>
      </w:r>
      <w:r>
        <w:t xml:space="preserve">exploratory data analysis (EDA), processing, and analysis. See the readme files in those folders for details.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contains all data files required for the project. There are 2 sub-folders: raw-data contains raw data files</w:t>
      </w:r>
      <w:r>
        <w:t xml:space="preserve"> </w:t>
      </w:r>
      <w:r>
        <w:t xml:space="preserve">downloaded from their online sources and processed-data contains the cleaned and edited data sets, including a final</w:t>
      </w:r>
      <w:r>
        <w:t xml:space="preserve"> </w:t>
      </w:r>
      <w:r>
        <w:t xml:space="preserve">merged project data set (project_data.rds). All files are saved as .rds files.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 </w:t>
      </w:r>
      <w:r>
        <w:t xml:space="preserve">folder contains a subfolder for the manuscript,</w:t>
      </w:r>
    </w:p>
    <w:p>
      <w:pPr>
        <w:pStyle w:val="Compact"/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manuscript</w:t>
      </w:r>
      <w:r>
        <w:t xml:space="preserve"> </w:t>
      </w:r>
      <w:r>
        <w:t xml:space="preserve">subfolder contains a subfolder for a supplementary material file.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t xml:space="preserve">folder contains code generated output and includes subfolders for figures and tables.</w:t>
      </w:r>
      <w:r>
        <w:t xml:space="preserve"> </w:t>
      </w:r>
      <w:r>
        <w:t xml:space="preserve">All figures are saved as .png files. Most tables are saved as .png and .rds files. Rds files can be used to reference specific</w:t>
      </w:r>
      <w:r>
        <w:t xml:space="preserve"> </w:t>
      </w:r>
      <w:r>
        <w:t xml:space="preserve">values, while the png files will be displayed in the body of the manuscript since Quarto is currently unable to knit tables to</w:t>
      </w:r>
      <w:r>
        <w:t xml:space="preserve"> </w:t>
      </w:r>
      <w:r>
        <w:t xml:space="preserve">Word. All content in these folders are automatically generated by code.</w:t>
      </w:r>
    </w:p>
    <w:p>
      <w:pPr>
        <w:numPr>
          <w:ilvl w:val="0"/>
          <w:numId w:val="1002"/>
        </w:numPr>
      </w:pPr>
      <w:r>
        <w:t xml:space="preserve">There are multiple special files in the repo.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readme.md</w:t>
      </w:r>
      <w:r>
        <w:t xml:space="preserve">: this file contains instructions and/or details about the folder it is located in.</w:t>
      </w:r>
      <w:r>
        <w:t xml:space="preserve"> </w:t>
      </w:r>
      <w:r>
        <w:t xml:space="preserve">The information you are reading now is covered in the project-level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file. There is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almost every folder.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data-analysis-template.Rproj</w:t>
      </w:r>
      <w:r>
        <w:t xml:space="preserve"> </w:t>
      </w:r>
      <w:r>
        <w:t xml:space="preserve">is a file that tells RStudio that this is the main folder for a project.</w:t>
      </w:r>
    </w:p>
    <w:p>
      <w:pPr>
        <w:pStyle w:val="Compact"/>
        <w:numPr>
          <w:ilvl w:val="1"/>
          <w:numId w:val="1004"/>
        </w:numPr>
      </w:pPr>
      <w:r>
        <w:t xml:space="preserve">a few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files and folders (they start with a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and depending on how your OS is configured, you might not see them). Those are for R/RStudio and Git/GitHub and you can ignore them.</w:t>
      </w:r>
    </w:p>
    <w:bookmarkStart w:id="21" w:name="steps-for-reproducing-the-project"/>
    <w:p>
      <w:pPr>
        <w:pStyle w:val="Heading2"/>
      </w:pPr>
      <w:r>
        <w:t xml:space="preserve">Steps for reproducing the project</w:t>
      </w:r>
    </w:p>
    <w:p>
      <w:pPr>
        <w:pStyle w:val="FirstParagraph"/>
      </w:pPr>
      <w:r>
        <w:t xml:space="preserve">To fully reproduce all steps of the project, the code should be run in the following order:</w:t>
      </w:r>
    </w:p>
    <w:p>
      <w:pPr>
        <w:pStyle w:val="Compact"/>
        <w:numPr>
          <w:ilvl w:val="0"/>
          <w:numId w:val="1005"/>
        </w:numPr>
      </w:pPr>
      <w:r>
        <w:t xml:space="preserve">processing-code/processing-code.qmd</w:t>
      </w:r>
    </w:p>
    <w:p>
      <w:pPr>
        <w:pStyle w:val="Compact"/>
        <w:numPr>
          <w:ilvl w:val="0"/>
          <w:numId w:val="1005"/>
        </w:numPr>
      </w:pPr>
      <w:r>
        <w:t xml:space="preserve">eda-code/eda_for_manuscript.qmd</w:t>
      </w:r>
    </w:p>
    <w:p>
      <w:pPr>
        <w:pStyle w:val="Compact"/>
        <w:numPr>
          <w:ilvl w:val="0"/>
          <w:numId w:val="1005"/>
        </w:numPr>
      </w:pPr>
      <w:r>
        <w:t xml:space="preserve">analysis-code/statistical-analysis.R</w:t>
      </w:r>
    </w:p>
    <w:p>
      <w:pPr>
        <w:pStyle w:val="Compact"/>
        <w:numPr>
          <w:ilvl w:val="0"/>
          <w:numId w:val="1005"/>
        </w:numPr>
      </w:pPr>
      <w:r>
        <w:t xml:space="preserve">products/manuscript/Manuscript.qmd</w:t>
      </w:r>
    </w:p>
    <w:p>
      <w:pPr>
        <w:pStyle w:val="Compact"/>
        <w:numPr>
          <w:ilvl w:val="0"/>
          <w:numId w:val="1005"/>
        </w:numPr>
      </w:pPr>
      <w:r>
        <w:t xml:space="preserve">products/manuscript/supplement/Supplementary-Material.qmd</w:t>
      </w:r>
    </w:p>
    <w:p>
      <w:pPr>
        <w:pStyle w:val="FirstParagraph"/>
      </w:pPr>
      <w:r>
        <w:t xml:space="preserve">Note: Because all data, figures, and tables are saved in the relevant subfolders, the manuscript</w:t>
      </w:r>
      <w:r>
        <w:t xml:space="preserve"> </w:t>
      </w:r>
      <w:r>
        <w:t xml:space="preserve">can be produced by simply running the Manuscript.qmd file.</w:t>
      </w:r>
    </w:p>
    <w:bookmarkEnd w:id="21"/>
    <w:bookmarkEnd w:id="22"/>
    <w:bookmarkStart w:id="23" w:name="country-characteristic-details"/>
    <w:p>
      <w:pPr>
        <w:pStyle w:val="Heading1"/>
      </w:pPr>
      <w:r>
        <w:t xml:space="preserve">Country characteristic details</w:t>
      </w:r>
    </w:p>
    <w:p>
      <w:pPr>
        <w:pStyle w:val="FirstParagraph"/>
      </w:pPr>
      <w:r>
        <w:t xml:space="preserve">The following list provides additional details for each country-level characteristics, including data source - World Health Organization (WHO) or United Nations (UN)</w:t>
      </w:r>
    </w:p>
    <w:p>
      <w:pPr>
        <w:pStyle w:val="Compact"/>
        <w:numPr>
          <w:ilvl w:val="0"/>
          <w:numId w:val="1006"/>
        </w:numPr>
      </w:pPr>
      <w:r>
        <w:t xml:space="preserve">HPV vaccination coverage (WHO)</w:t>
      </w:r>
    </w:p>
    <w:p>
      <w:pPr>
        <w:pStyle w:val="Compact"/>
        <w:numPr>
          <w:ilvl w:val="1"/>
          <w:numId w:val="1007"/>
        </w:numPr>
      </w:pPr>
      <w:r>
        <w:t xml:space="preserve">HPV vaccination coverage in 2022</w:t>
      </w:r>
    </w:p>
    <w:p>
      <w:pPr>
        <w:pStyle w:val="Compact"/>
        <w:numPr>
          <w:ilvl w:val="1"/>
          <w:numId w:val="1007"/>
        </w:numPr>
      </w:pPr>
      <w:r>
        <w:t xml:space="preserve">HPV vaccination coverage in 2019</w:t>
      </w:r>
    </w:p>
    <w:p>
      <w:pPr>
        <w:pStyle w:val="Compact"/>
        <w:numPr>
          <w:ilvl w:val="0"/>
          <w:numId w:val="1006"/>
        </w:numPr>
      </w:pPr>
      <w:r>
        <w:t xml:space="preserve">HPV vaccination program characteristics (WHO)</w:t>
      </w:r>
    </w:p>
    <w:p>
      <w:pPr>
        <w:pStyle w:val="Compact"/>
        <w:numPr>
          <w:ilvl w:val="1"/>
          <w:numId w:val="1008"/>
        </w:numPr>
      </w:pPr>
      <w:r>
        <w:t xml:space="preserve">WHO region</w:t>
      </w:r>
    </w:p>
    <w:p>
      <w:pPr>
        <w:pStyle w:val="Compact"/>
        <w:numPr>
          <w:ilvl w:val="1"/>
          <w:numId w:val="1008"/>
        </w:numPr>
      </w:pPr>
      <w:r>
        <w:t xml:space="preserve">World Bank country income level</w:t>
      </w:r>
    </w:p>
    <w:p>
      <w:pPr>
        <w:pStyle w:val="Compact"/>
        <w:numPr>
          <w:ilvl w:val="1"/>
          <w:numId w:val="1008"/>
        </w:numPr>
      </w:pPr>
      <w:r>
        <w:t xml:space="preserve">Indicator for whether HPV vaccine is offered through a national recommendation</w:t>
      </w:r>
    </w:p>
    <w:p>
      <w:pPr>
        <w:pStyle w:val="Compact"/>
        <w:numPr>
          <w:ilvl w:val="1"/>
          <w:numId w:val="1008"/>
        </w:numPr>
      </w:pPr>
      <w:r>
        <w:t xml:space="preserve">Year of HPV vaccine program introduction</w:t>
      </w:r>
    </w:p>
    <w:p>
      <w:pPr>
        <w:pStyle w:val="Compact"/>
        <w:numPr>
          <w:ilvl w:val="1"/>
          <w:numId w:val="1008"/>
        </w:numPr>
      </w:pPr>
      <w:r>
        <w:t xml:space="preserve">Primary HPV vaccine delivery strategy (school-based, clinic-based, varies)</w:t>
      </w:r>
    </w:p>
    <w:p>
      <w:pPr>
        <w:pStyle w:val="Compact"/>
        <w:numPr>
          <w:ilvl w:val="1"/>
          <w:numId w:val="1008"/>
        </w:numPr>
      </w:pPr>
      <w:r>
        <w:t xml:space="preserve">Indicator for gender neutral vaccination (female-only vaccination or females and males)</w:t>
      </w:r>
    </w:p>
    <w:p>
      <w:pPr>
        <w:pStyle w:val="Compact"/>
        <w:numPr>
          <w:ilvl w:val="1"/>
          <w:numId w:val="1008"/>
        </w:numPr>
      </w:pPr>
      <w:r>
        <w:t xml:space="preserve">Recommended number of doses (1 or 2)</w:t>
      </w:r>
    </w:p>
    <w:p>
      <w:pPr>
        <w:pStyle w:val="Compact"/>
        <w:numPr>
          <w:ilvl w:val="0"/>
          <w:numId w:val="1006"/>
        </w:numPr>
      </w:pPr>
      <w:r>
        <w:t xml:space="preserve">United Nations country demographic data (UN)</w:t>
      </w:r>
    </w:p>
    <w:p>
      <w:pPr>
        <w:pStyle w:val="Compact"/>
        <w:numPr>
          <w:ilvl w:val="1"/>
          <w:numId w:val="1009"/>
        </w:numPr>
      </w:pPr>
      <w:r>
        <w:t xml:space="preserve">Total Population, as of 1 July (thousands)</w:t>
      </w:r>
    </w:p>
    <w:p>
      <w:pPr>
        <w:pStyle w:val="Compact"/>
        <w:numPr>
          <w:ilvl w:val="1"/>
          <w:numId w:val="1009"/>
        </w:numPr>
      </w:pPr>
      <w:r>
        <w:t xml:space="preserve">Population Density, as of 1 July (persons per square km)</w:t>
      </w:r>
    </w:p>
    <w:p>
      <w:pPr>
        <w:pStyle w:val="Compact"/>
        <w:numPr>
          <w:ilvl w:val="1"/>
          <w:numId w:val="1009"/>
        </w:numPr>
      </w:pPr>
      <w:r>
        <w:t xml:space="preserve">Median Age, as of 1 July (years)</w:t>
      </w:r>
    </w:p>
    <w:p>
      <w:pPr>
        <w:pStyle w:val="Compact"/>
        <w:numPr>
          <w:ilvl w:val="1"/>
          <w:numId w:val="1009"/>
        </w:numPr>
      </w:pPr>
      <w:r>
        <w:t xml:space="preserve">Population Growth Rate (percentage)</w:t>
      </w:r>
    </w:p>
    <w:p>
      <w:pPr>
        <w:pStyle w:val="Compact"/>
        <w:numPr>
          <w:ilvl w:val="1"/>
          <w:numId w:val="1009"/>
        </w:numPr>
      </w:pPr>
      <w:r>
        <w:t xml:space="preserve">Total Fertility Rate (live births per woman)</w:t>
      </w:r>
    </w:p>
    <w:p>
      <w:pPr>
        <w:pStyle w:val="Compact"/>
        <w:numPr>
          <w:ilvl w:val="1"/>
          <w:numId w:val="1009"/>
        </w:numPr>
      </w:pPr>
      <w:r>
        <w:t xml:space="preserve">Crude Death Rate (deaths per 1,000 population)</w:t>
      </w:r>
    </w:p>
    <w:p>
      <w:pPr>
        <w:pStyle w:val="Compact"/>
        <w:numPr>
          <w:ilvl w:val="1"/>
          <w:numId w:val="1009"/>
        </w:numPr>
      </w:pPr>
      <w:r>
        <w:t xml:space="preserve">Life Expectancy at Birth, both sexes (years)</w:t>
      </w:r>
    </w:p>
    <w:p>
      <w:pPr>
        <w:pStyle w:val="Compact"/>
        <w:numPr>
          <w:ilvl w:val="1"/>
          <w:numId w:val="1009"/>
        </w:numPr>
      </w:pPr>
      <w:r>
        <w:t xml:space="preserve">Net Migration Rate (per 1,000 population)</w:t>
      </w:r>
    </w:p>
    <w:p>
      <w:pPr>
        <w:pStyle w:val="Compact"/>
        <w:numPr>
          <w:ilvl w:val="0"/>
          <w:numId w:val="1006"/>
        </w:numPr>
      </w:pPr>
      <w:r>
        <w:t xml:space="preserve">COVID burden through Dec. 31, 2022 (WHO)</w:t>
      </w:r>
    </w:p>
    <w:p>
      <w:pPr>
        <w:pStyle w:val="Compact"/>
        <w:numPr>
          <w:ilvl w:val="1"/>
          <w:numId w:val="1010"/>
        </w:numPr>
      </w:pPr>
      <w:r>
        <w:t xml:space="preserve">Cumulative number of COVID cases per 100,000 persons</w:t>
      </w:r>
    </w:p>
    <w:p>
      <w:pPr>
        <w:pStyle w:val="Compact"/>
        <w:numPr>
          <w:ilvl w:val="1"/>
          <w:numId w:val="1010"/>
        </w:numPr>
      </w:pPr>
      <w:r>
        <w:t xml:space="preserve">Cumulative number of COVID deaths per 100,000 persons</w:t>
      </w:r>
    </w:p>
    <w:p>
      <w:r>
        <w:br w:type="page"/>
      </w:r>
    </w:p>
    <w:bookmarkEnd w:id="23"/>
    <w:bookmarkStart w:id="29" w:name="additional-analyses"/>
    <w:p>
      <w:pPr>
        <w:pStyle w:val="Heading1"/>
      </w:pPr>
      <w:r>
        <w:t xml:space="preserve">Additional Analyses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Figure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scatter_death_covdiff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Scatterplot of difference in HPV vaccination coverage between 2022 and 2019 and cumulative COVID deaths per 100,000 persons</w:t>
            </w:r>
          </w:p>
          <w:bookmarkEnd w:id="27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tbl-medianage_lm_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Parameter estimates for median age adjusted linear regression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estimate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std.error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statistic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p.value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(Intercept)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-39.0680653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9.3303322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-4.1872105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0.0000631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Cumulative_case_rate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-0.0001824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0.0004832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-0.3774436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0.7066859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median_age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1.1126973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0.3613828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3.0789991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0.0027154</w:t>
                  </w:r>
                </w:p>
              </w:tc>
            </w:tr>
          </w:tbl>
          <w:bookmarkEnd w:id="28"/>
          <w:p/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Effect of COVID-19 burden on changes in HPV vaccination coverage among females between 2019 and 2022</dc:title>
  <dc:creator/>
  <cp:keywords/>
  <dcterms:created xsi:type="dcterms:W3CDTF">2025-04-16T22:23:25Z</dcterms:created>
  <dcterms:modified xsi:type="dcterms:W3CDTF">2025-04-16T22:23:25Z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