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5CDF" w:rsidRDefault="00512F97">
      <w:r w:rsidRPr="00512F97">
        <w:t>Elemental properties, hydrology, and biology interact to shape concentration-discharge curves for carbon, nutrients, sediment, and major ions</w:t>
      </w:r>
      <w:r w:rsidRPr="00512F97">
        <w:rPr>
          <w:rFonts w:ascii="MS Gothic" w:eastAsia="MS Gothic" w:hAnsi="MS Gothic" w:cs="MS Gothic" w:hint="eastAsia"/>
        </w:rPr>
        <w:t> </w:t>
      </w:r>
      <w:proofErr w:type="spellStart"/>
      <w:r w:rsidRPr="00512F97">
        <w:t>Moatar</w:t>
      </w:r>
      <w:proofErr w:type="spellEnd"/>
      <w:r w:rsidRPr="00512F97">
        <w:t xml:space="preserve"> et al. 2017 WRR</w:t>
      </w:r>
    </w:p>
    <w:sectPr w:rsidR="00245CDF" w:rsidSect="0067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97"/>
    <w:rsid w:val="00477FD8"/>
    <w:rsid w:val="00512F97"/>
    <w:rsid w:val="006708BB"/>
    <w:rsid w:val="0091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9BAD61-E4CA-4A4F-8972-7EDE64EB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Landman</dc:creator>
  <cp:keywords/>
  <dc:description/>
  <cp:lastModifiedBy>Rachel Landman</cp:lastModifiedBy>
  <cp:revision>1</cp:revision>
  <dcterms:created xsi:type="dcterms:W3CDTF">2020-04-23T19:27:00Z</dcterms:created>
  <dcterms:modified xsi:type="dcterms:W3CDTF">2020-04-23T20:24:00Z</dcterms:modified>
</cp:coreProperties>
</file>