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Manual do Usuário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&lt;1.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&lt;AAI&gt; - &lt;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AgendaAÍ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7/11/2024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[1.0]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Primeira versão do manual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Segunda versão do manual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Maria Eduarda Guedes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Como está organizado o manual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Funcionalidades gerais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Funcionalidades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documento tem como objetivo auxiliar o usuário final, assumindo o papel de cliente, a navegar e utilizar o sistema Agenda Aí, possibilitando que faça o agendamento do serviço de profissionais, como mecânicos, costureiras, etc., ou, assumindo o papel de negócio, a anunciar o seu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Como está organizado o manual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O manual está organizado por etapas que o cliente percorreria para agendar um serviço ou um prestador de serviço percorreria para oferecer seu serviço na plataforma.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Funcionalidades gerais do sistema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Pode-se dividir as funcionalidades de acordo com dois tipos de conta: conta de cliente e conta de negócio. Os clientes podem: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serviços disponíveis;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Criar, ler, atualizar ou apagar pedidos que fizeram;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seu perfil (inclui criar, ler, atualizar e apagar).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Por outro lado, os anunciantes de serviço podem: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os seus serviços (criar, ler, atualizar e apagar);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o perfil de empresa (criar, ler, atualizar e apagar).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Funcionalidades do sistema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Para realização do cadastro, é necessário pressionar o botão criação de conta e inserir os dados de cadastro.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Para a realização do login, é necessário a inserção dos dados de cadastro para possibilitar o login.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Para utilizar os CRUDs, o usuário, enquanto cadastrado e em sessão como um cliente (customer), pode realizar a criação, leitura, edição ou remoção de um pedido, e de seu próprio perfil. Podendo criá-lo (no cadastro), editá-lo, ver suas próprias informações ou apagar o próprio perfil.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Para criar um serviço, o usuário, enquanto cadastrado e em sessão como um prestador de serviço (business), pode realizar a criação, leitura, edição ou remoção dos próprios serviços (jobs). Também pode fazer o mesmo para o seu próprio perfil, ou página de negócio, podendo criá-lo através de um cadastro, editar, ver suas próprias informações ou apagar seu perfil.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Para visualizar os serviços disponíveis, o usuário deve estar cadastrado e em sessão como cliente (customer) e abrir a página de “Serviços”. 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4"/>
        <w:gridCol w:w="7594"/>
        <w:tblGridChange w:id="0">
          <w:tblGrid>
            <w:gridCol w:w="2034"/>
            <w:gridCol w:w="7594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Termo/Sigla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AAI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AAI - Manual de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521"/>
      <w:gridCol w:w="1484"/>
      <w:gridCol w:w="1705"/>
      <w:tblGridChange w:id="0">
        <w:tblGrid>
          <w:gridCol w:w="6521"/>
          <w:gridCol w:w="1484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5309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&lt;Agenda</w:t>
          </w:r>
          <w:r w:rsidDel="00000000" w:rsidR="00000000" w:rsidRPr="00000000">
            <w:rPr>
              <w:rtl w:val="0"/>
            </w:rPr>
            <w:t xml:space="preserve"> 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90575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Manual do Usuário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