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0" w:before="0"/>
        <w:jc w:val="center"/>
      </w:pPr>
      <w:r>
        <w:rPr>
          <w:rFonts w:ascii="Arial" w:cs="Arial" w:eastAsia="Arial" w:hAnsi="Arial"/>
          <w:b/>
          <w:bCs/>
          <w:color w:val="0049A6"/>
          <w:sz w:val="80"/>
          <w:szCs w:val="80"/>
        </w:rPr>
        <w:t xml:space="preserve">TrialFinder</w:t>
      </w:r>
    </w:p>
    <w:p>
      <w:pPr>
        <w:spacing w:after="0" w:before="80"/>
        <w:jc w:val="center"/>
      </w:pPr>
      <w:r>
        <w:rPr>
          <w:rFonts w:ascii="Arial" w:cs="Arial" w:eastAsia="Arial" w:hAnsi="Arial"/>
          <w:color w:val="00A3E0"/>
          <w:sz w:val="38"/>
          <w:szCs w:val="38"/>
        </w:rPr>
        <w:t xml:space="preserve">AI-Powered Clinical Trial Matching</w:t>
      </w:r>
    </w:p>
    <w:p>
      <w:pPr>
        <w:spacing w:after="0" w:before="40"/>
      </w:pPr>
      <w:r>
        <w:t xml:space="preserve"/>
      </w:r>
    </w:p>
    <w:p>
      <w:pPr>
        <w:pBdr>
          <w:bottom w:val="single" w:color="0049A6" w:sz="6" w:space="1"/>
        </w:pBdr>
        <w:spacing w:after="0" w:before="0"/>
      </w:pPr>
    </w:p>
    <w:p>
      <w:pPr>
        <w:spacing w:after="0" w:before="40"/>
      </w:pPr>
      <w:r>
        <w:t xml:space="preserve"/>
      </w:r>
    </w:p>
    <w:p>
      <w:pPr>
        <w:spacing w:after="0" w:before="0"/>
        <w:jc w:val="center"/>
      </w:pPr>
      <w:r>
        <w:rPr>
          <w:rFonts w:ascii="Arial" w:cs="Arial" w:eastAsia="Arial" w:hAnsi="Arial"/>
          <w:color w:val="6B7280"/>
          <w:sz w:val="26"/>
          <w:szCs w:val="26"/>
        </w:rPr>
        <w:t xml:space="preserve">Pfizer Digital Health Hackathon — Project Proposal</w:t>
      </w:r>
    </w:p>
    <w:p>
      <w:pPr>
        <w:spacing w:after="0" w:before="5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8EFF9" w:val="clear"/>
            <w:tcMar>
              <w:top w:type="dxa" w:w="140"/>
              <w:left w:type="dxa" w:w="200"/>
              <w:bottom w:type="dxa" w:w="140"/>
              <w:right w:type="dxa" w:w="200"/>
            </w:tcMar>
          </w:tcPr>
          <w:p>
            <w:pPr>
              <w:spacing w:after="0" w:before="0"/>
              <w:jc w:val="center"/>
            </w:pPr>
            <w:r>
              <w:rPr>
                <w:rFonts w:ascii="Arial" w:cs="Arial" w:eastAsia="Arial" w:hAnsi="Arial"/>
                <w:b/>
                <w:bCs/>
                <w:color w:val="0049A6"/>
                <w:sz w:val="24"/>
                <w:szCs w:val="24"/>
              </w:rPr>
              <w:t xml:space="preserve">The Problem We Are Solving</w:t>
            </w:r>
          </w:p>
          <w:p>
            <w:pPr>
              <w:spacing w:after="0" w:before="60"/>
            </w:pPr>
            <w:r>
              <w:t xml:space="preserve"/>
            </w:r>
          </w:p>
          <w:p>
            <w:pPr>
              <w:spacing w:after="0" w:before="0"/>
              <w:jc w:val="center"/>
            </w:pPr>
            <w:r>
              <w:rPr>
                <w:rFonts w:ascii="Arial" w:cs="Arial" w:eastAsia="Arial" w:hAnsi="Arial"/>
                <w:b/>
                <w:bCs/>
                <w:color w:val="1A1A2E"/>
                <w:sz w:val="22"/>
                <w:szCs w:val="22"/>
              </w:rPr>
              <w:t xml:space="preserve">80% of clinical trials fail to meet enrollment timelines.</w:t>
            </w:r>
          </w:p>
          <w:p>
            <w:pPr>
              <w:spacing w:after="0" w:before="0"/>
              <w:jc w:val="center"/>
            </w:pPr>
            <w:r>
              <w:rPr>
                <w:rFonts w:ascii="Arial" w:cs="Arial" w:eastAsia="Arial" w:hAnsi="Arial"/>
                <w:color w:val="1A1A2E"/>
                <w:sz w:val="22"/>
                <w:szCs w:val="22"/>
              </w:rPr>
              <w:t xml:space="preserve">19% close without enrolling a single patient.</w:t>
            </w:r>
          </w:p>
          <w:p>
            <w:pPr>
              <w:spacing w:after="0" w:before="60"/>
            </w:pPr>
            <w:r>
              <w:t xml:space="preserve"/>
            </w:r>
          </w:p>
          <w:p>
            <w:pPr>
              <w:spacing w:after="0" w:before="0"/>
              <w:jc w:val="center"/>
            </w:pPr>
            <w:r>
              <w:rPr>
                <w:rFonts w:ascii="Arial" w:cs="Arial" w:eastAsia="Arial" w:hAnsi="Arial"/>
                <w:color w:val="0049A6"/>
                <w:sz w:val="22"/>
                <w:szCs w:val="22"/>
              </w:rPr>
              <w:t xml:space="preserve">TrialFinder will bridge the gap between patients and trials through AI-driven, personalized matching.</w:t>
            </w:r>
          </w:p>
        </w:tc>
      </w:tr>
    </w:tbl>
    <w:p>
      <w:pPr>
        <w:spacing w:after="0" w:before="200"/>
      </w:pPr>
      <w:r>
        <w:t xml:space="preserve"/>
      </w:r>
    </w:p>
    <w:p>
      <w:pPr>
        <w:spacing w:after="0" w:before="0"/>
        <w:jc w:val="center"/>
      </w:pPr>
      <w:r>
        <w:rPr>
          <w:rFonts w:ascii="Arial" w:cs="Arial" w:eastAsia="Arial" w:hAnsi="Arial"/>
          <w:color w:val="6B7280"/>
          <w:sz w:val="20"/>
          <w:szCs w:val="20"/>
        </w:rPr>
        <w:t xml:space="preserve">Ruhani Nagda  |  rmn2151@columbia.edu</w:t>
      </w:r>
    </w:p>
    <w:p>
      <w:pPr>
        <w:sectPr>
          <w:pgSz w:w="12240" w:h="15840" w:orient="portrait"/>
          <w:pgMar w:top="1440" w:right="1440" w:bottom="1440" w:left="1440" w:header="708" w:footer="708" w:gutter="0"/>
          <w:pgNumType/>
          <w:docGrid w:linePitch="360"/>
        </w:sectPr>
      </w:pPr>
    </w:p>
    <w:p>
      <w:pPr>
        <w:pStyle w:val="Heading1"/>
        <w:spacing w:after="100" w:before="280"/>
      </w:pPr>
      <w:r>
        <w:rPr>
          <w:rFonts w:ascii="Arial" w:cs="Arial" w:eastAsia="Arial" w:hAnsi="Arial"/>
          <w:b/>
          <w:bCs/>
          <w:color w:val="0049A6"/>
          <w:sz w:val="32"/>
          <w:szCs w:val="32"/>
        </w:rPr>
        <w:t xml:space="preserve">1. The Problem</w:t>
      </w:r>
    </w:p>
    <w:p>
      <w:pPr>
        <w:pBdr>
          <w:bottom w:val="single" w:color="0049A6" w:sz="6" w:space="1"/>
        </w:pBdr>
        <w:spacing w:after="0" w:before="0"/>
      </w:pPr>
    </w:p>
    <w:p>
      <w:pPr>
        <w:spacing w:after="0" w:before="120"/>
      </w:pPr>
      <w:r>
        <w:t xml:space="preserve"/>
      </w:r>
    </w:p>
    <w:p>
      <w:pPr>
        <w:pStyle w:val="Heading2"/>
        <w:spacing w:after="80" w:before="240"/>
      </w:pPr>
      <w:r>
        <w:rPr>
          <w:rFonts w:ascii="Arial" w:cs="Arial" w:eastAsia="Arial" w:hAnsi="Arial"/>
          <w:b/>
          <w:bCs/>
          <w:color w:val="0049A6"/>
          <w:sz w:val="26"/>
          <w:szCs w:val="26"/>
        </w:rPr>
        <w:t xml:space="preserve">The Clinical Trial Enrollment Crisis</w:t>
      </w:r>
    </w:p>
    <w:p>
      <w:pPr>
        <w:spacing w:after="60" w:before="60"/>
      </w:pPr>
      <w:r>
        <w:rPr>
          <w:rFonts w:ascii="Arial" w:cs="Arial" w:eastAsia="Arial" w:hAnsi="Arial"/>
          <w:sz w:val="22"/>
          <w:szCs w:val="22"/>
        </w:rPr>
        <w:t xml:space="preserve">The clinical trial ecosystem is broken. ClinicalTrials.gov lists over 500,000 studies, yet patients and caregivers face an impossible task: parsing cryptic eligibility criteria written for clinical researchers, not human beings. The result is a system where qualified patients never find the right trial, and trials never find the right patients — at enormous cost to patients, sponsors, and science.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049A6" w:val="clear"/>
            <w:tcMar>
              <w:top w:type="dxa" w:w="100"/>
              <w:left w:type="dxa" w:w="140"/>
              <w:bottom w:type="dxa" w:w="100"/>
              <w:right w:type="dxa" w:w="140"/>
            </w:tcMar>
          </w:tcPr>
          <w:p>
            <w:r>
              <w:rPr>
                <w:rFonts w:ascii="Arial" w:cs="Arial" w:eastAsia="Arial" w:hAnsi="Arial"/>
                <w:b/>
                <w:bCs/>
                <w:color w:val="FFFFFF"/>
                <w:sz w:val="20"/>
                <w:szCs w:val="20"/>
              </w:rPr>
              <w:t xml:space="preserve">Key Statistic</w:t>
            </w:r>
          </w:p>
        </w:tc>
        <w:tc>
          <w:tcPr>
            <w:tcW w:type="dxa" w:w="6560"/>
            <w:tcBorders>
              <w:top w:val="single" w:color="D1D5DB" w:sz="1"/>
              <w:left w:val="single" w:color="D1D5DB" w:sz="1"/>
              <w:bottom w:val="single" w:color="D1D5DB" w:sz="1"/>
              <w:right w:val="single" w:color="D1D5DB" w:sz="1"/>
            </w:tcBorders>
            <w:shd w:fill="0049A6" w:val="clear"/>
            <w:tcMar>
              <w:top w:type="dxa" w:w="100"/>
              <w:left w:type="dxa" w:w="140"/>
              <w:bottom w:type="dxa" w:w="100"/>
              <w:right w:type="dxa" w:w="140"/>
            </w:tcMar>
          </w:tcPr>
          <w:p>
            <w:r>
              <w:rPr>
                <w:rFonts w:ascii="Arial" w:cs="Arial" w:eastAsia="Arial" w:hAnsi="Arial"/>
                <w:b/>
                <w:bCs/>
                <w:color w:val="FFFFFF"/>
                <w:sz w:val="20"/>
                <w:szCs w:val="20"/>
              </w:rPr>
              <w:t xml:space="preserve">Impact on Pfizer and Patients</w:t>
            </w:r>
          </w:p>
        </w:tc>
      </w:tr>
      <w:tr>
        <w:tc>
          <w:tcPr>
            <w:tcW w:type="dxa" w:w="28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80% of clinical trials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miss their enrollment timeline, delaying approvals and patient access</w:t>
            </w:r>
          </w:p>
        </w:tc>
      </w:tr>
      <w:tr>
        <w:tc>
          <w:tcPr>
            <w:tcW w:type="dxa" w:w="28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19% of trials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close without enrolling a single patient — wasted investment and lost hope</w:t>
            </w:r>
          </w:p>
        </w:tc>
      </w:tr>
      <w:tr>
        <w:tc>
          <w:tcPr>
            <w:tcW w:type="dxa" w:w="28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~$60M annual cost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per delayed Phase III trial in operational overhead alone</w:t>
            </w:r>
          </w:p>
        </w:tc>
      </w:tr>
      <w:tr>
        <w:tc>
          <w:tcPr>
            <w:tcW w:type="dxa" w:w="28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11 years average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time from trial start to FDA approval — enrollment delays extend this</w:t>
            </w:r>
          </w:p>
        </w:tc>
      </w:tr>
      <w:tr>
        <w:tc>
          <w:tcPr>
            <w:tcW w:type="dxa" w:w="28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34% of screen failures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caused by eligibility criteria misunderstanding, not actual ineligibility</w:t>
            </w:r>
          </w:p>
        </w:tc>
      </w:tr>
    </w:tbl>
    <w:p>
      <w:pPr>
        <w:spacing w:after="0" w:before="160"/>
      </w:pPr>
      <w:r>
        <w:t xml:space="preserve"/>
      </w:r>
    </w:p>
    <w:p>
      <w:pPr>
        <w:pStyle w:val="Heading2"/>
        <w:spacing w:after="80" w:before="240"/>
      </w:pPr>
      <w:r>
        <w:rPr>
          <w:rFonts w:ascii="Arial" w:cs="Arial" w:eastAsia="Arial" w:hAnsi="Arial"/>
          <w:b/>
          <w:bCs/>
          <w:color w:val="0049A6"/>
          <w:sz w:val="26"/>
          <w:szCs w:val="26"/>
        </w:rPr>
        <w:t xml:space="preserve">Why Existing Solutions Fall Short</w:t>
      </w:r>
    </w:p>
    <w:p>
      <w:pPr>
        <w:pStyle w:val="ListParagraph"/>
        <w:numPr>
          <w:ilvl w:val="0"/>
          <w:numId w:val="2"/>
        </w:numPr>
        <w:spacing w:after="50" w:before="50"/>
      </w:pPr>
      <w:r>
        <w:rPr>
          <w:rFonts w:ascii="Arial" w:cs="Arial" w:eastAsia="Arial" w:hAnsi="Arial"/>
          <w:b w:val="false"/>
          <w:bCs w:val="false"/>
          <w:sz w:val="22"/>
          <w:szCs w:val="22"/>
        </w:rPr>
        <w:t xml:space="preserve">ClinicalTrials.gov requires medical literacy and returns hundreds of unranked, unpersonalized results with no reasoning about individual fit</w:t>
      </w:r>
    </w:p>
    <w:p>
      <w:pPr>
        <w:pStyle w:val="ListParagraph"/>
        <w:numPr>
          <w:ilvl w:val="0"/>
          <w:numId w:val="2"/>
        </w:numPr>
        <w:spacing w:after="50" w:before="50"/>
      </w:pPr>
      <w:r>
        <w:rPr>
          <w:rFonts w:ascii="Arial" w:cs="Arial" w:eastAsia="Arial" w:hAnsi="Arial"/>
          <w:b w:val="false"/>
          <w:bCs w:val="false"/>
          <w:sz w:val="22"/>
          <w:szCs w:val="22"/>
        </w:rPr>
        <w:t xml:space="preserve">ResearchMatch and similar platforms offer basic keyword filters but no AI reasoning about a specific patient's biomarkers, history, or medications</w:t>
      </w:r>
    </w:p>
    <w:p>
      <w:pPr>
        <w:pStyle w:val="ListParagraph"/>
        <w:numPr>
          <w:ilvl w:val="0"/>
          <w:numId w:val="2"/>
        </w:numPr>
        <w:spacing w:after="50" w:before="50"/>
      </w:pPr>
      <w:r>
        <w:rPr>
          <w:rFonts w:ascii="Arial" w:cs="Arial" w:eastAsia="Arial" w:hAnsi="Arial"/>
          <w:b w:val="false"/>
          <w:bCs w:val="false"/>
          <w:sz w:val="22"/>
          <w:szCs w:val="22"/>
        </w:rPr>
        <w:t xml:space="preserve">Oncologists are overworked and cannot personally research every open trial for every patient during a clinical appointment</w:t>
      </w:r>
    </w:p>
    <w:p>
      <w:pPr>
        <w:pStyle w:val="ListParagraph"/>
        <w:numPr>
          <w:ilvl w:val="0"/>
          <w:numId w:val="2"/>
        </w:numPr>
        <w:spacing w:after="50" w:before="50"/>
      </w:pPr>
      <w:r>
        <w:rPr>
          <w:rFonts w:ascii="Arial" w:cs="Arial" w:eastAsia="Arial" w:hAnsi="Arial"/>
          <w:b w:val="false"/>
          <w:bCs w:val="false"/>
          <w:sz w:val="22"/>
          <w:szCs w:val="22"/>
        </w:rPr>
        <w:t xml:space="preserve">Patients in underserved areas or without specialist access have no reliable, independent path to trial discovery</w:t>
      </w:r>
    </w:p>
    <w:p>
      <w:pPr>
        <w:pStyle w:val="ListParagraph"/>
        <w:numPr>
          <w:ilvl w:val="0"/>
          <w:numId w:val="2"/>
        </w:numPr>
        <w:spacing w:after="50" w:before="50"/>
      </w:pPr>
      <w:r>
        <w:rPr>
          <w:rFonts w:ascii="Arial" w:cs="Arial" w:eastAsia="Arial" w:hAnsi="Arial"/>
          <w:b w:val="false"/>
          <w:bCs w:val="false"/>
          <w:sz w:val="22"/>
          <w:szCs w:val="22"/>
        </w:rPr>
        <w:t xml:space="preserve">Patients who do find a trial often misunderstand the eligibility criteria, arrive at a screening visit ineligible, and become a screen failure — costing the sponsor $5,000-$15,000 per failed screen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8EFF9" w:val="clear"/>
            <w:tcMar>
              <w:top w:type="dxa" w:w="140"/>
              <w:left w:type="dxa" w:w="200"/>
              <w:bottom w:type="dxa" w:w="140"/>
              <w:right w:type="dxa" w:w="200"/>
            </w:tcMar>
          </w:tcPr>
          <w:p>
            <w:pPr>
              <w:spacing w:after="0" w:before="0"/>
            </w:pPr>
            <w:r>
              <w:rPr>
                <w:rFonts w:ascii="Arial" w:cs="Arial" w:eastAsia="Arial" w:hAnsi="Arial"/>
                <w:b/>
                <w:bCs/>
                <w:color w:val="0049A6"/>
                <w:sz w:val="22"/>
                <w:szCs w:val="22"/>
              </w:rPr>
              <w:t xml:space="preserve">The core gap: </w:t>
            </w:r>
            <w:r>
              <w:rPr>
                <w:rFonts w:ascii="Arial" w:cs="Arial" w:eastAsia="Arial" w:hAnsi="Arial"/>
                <w:color w:val="1A1A2E"/>
                <w:sz w:val="22"/>
                <w:szCs w:val="22"/>
              </w:rPr>
              <w:t xml:space="preserve">No tool exists today that takes a patient's full clinical picture — condition, biomarkers, treatment history, current medications, and location — and returns a ranked, plain-English shortlist explaining in 2-3 personalized sentences exactly why each trial is or is not a fit. TrialFinder is designed to be that tool.</w:t>
            </w:r>
          </w:p>
        </w:tc>
      </w:tr>
    </w:tbl>
    <w:p>
      <w:pPr>
        <w:sectPr>
          <w:pgSz w:w="12240" w:h="15840" w:orient="portrait"/>
          <w:pgMar w:top="1440" w:right="1440" w:bottom="1440" w:left="1440" w:header="708" w:footer="708" w:gutter="0"/>
          <w:pgNumType/>
          <w:docGrid w:linePitch="360"/>
        </w:sectPr>
      </w:pPr>
    </w:p>
    <w:p>
      <w:pPr>
        <w:pStyle w:val="Heading1"/>
        <w:spacing w:after="100" w:before="280"/>
      </w:pPr>
      <w:r>
        <w:rPr>
          <w:rFonts w:ascii="Arial" w:cs="Arial" w:eastAsia="Arial" w:hAnsi="Arial"/>
          <w:b/>
          <w:bCs/>
          <w:color w:val="0049A6"/>
          <w:sz w:val="32"/>
          <w:szCs w:val="32"/>
        </w:rPr>
        <w:t xml:space="preserve">2. Proposed Solution</w:t>
      </w:r>
    </w:p>
    <w:p>
      <w:pPr>
        <w:pBdr>
          <w:bottom w:val="single" w:color="0049A6" w:sz="6" w:space="1"/>
        </w:pBdr>
        <w:spacing w:after="0" w:before="0"/>
      </w:pPr>
    </w:p>
    <w:p>
      <w:pPr>
        <w:spacing w:after="0" w:before="120"/>
      </w:pPr>
      <w:r>
        <w:t xml:space="preserve"/>
      </w:r>
    </w:p>
    <w:p>
      <w:pPr>
        <w:spacing w:after="60" w:before="60"/>
      </w:pPr>
      <w:r>
        <w:rPr>
          <w:rFonts w:ascii="Arial" w:cs="Arial" w:eastAsia="Arial" w:hAnsi="Arial"/>
          <w:sz w:val="22"/>
          <w:szCs w:val="22"/>
        </w:rPr>
        <w:t xml:space="preserve">TrialFinder will be a full-stack web application that uses real-time AI-powered search and large language model reasoning to match patients to the clinical trials most likely to accept them — explained in plain English, ranked by fit, and updated daily. It will require no medical literacy to use and will be free for patients.</w:t>
      </w:r>
    </w:p>
    <w:p>
      <w:pPr>
        <w:spacing w:after="0" w:before="120"/>
      </w:pPr>
      <w:r>
        <w:t xml:space="preserve"/>
      </w:r>
    </w:p>
    <w:p>
      <w:pPr>
        <w:pStyle w:val="Heading2"/>
        <w:spacing w:after="80" w:before="240"/>
      </w:pPr>
      <w:r>
        <w:rPr>
          <w:rFonts w:ascii="Arial" w:cs="Arial" w:eastAsia="Arial" w:hAnsi="Arial"/>
          <w:b/>
          <w:bCs/>
          <w:color w:val="0049A6"/>
          <w:sz w:val="26"/>
          <w:szCs w:val="26"/>
        </w:rPr>
        <w:t xml:space="preserve">How TrialFinder Will Work</w:t>
      </w:r>
    </w:p>
    <w:p>
      <w:pPr>
        <w:spacing w:after="60" w:before="60"/>
      </w:pPr>
      <w:r>
        <w:rPr>
          <w:rFonts w:ascii="Arial" w:cs="Arial" w:eastAsia="Arial" w:hAnsi="Arial"/>
          <w:sz w:val="22"/>
          <w:szCs w:val="22"/>
        </w:rPr>
        <w:t xml:space="preserve">A patient or caregiver will visit TrialFinder and complete a guided intake form covering:</w:t>
      </w:r>
    </w:p>
    <w:p>
      <w:pPr>
        <w:pStyle w:val="ListParagraph"/>
        <w:numPr>
          <w:ilvl w:val="0"/>
          <w:numId w:val="2"/>
        </w:numPr>
        <w:spacing w:after="50" w:before="50"/>
      </w:pPr>
      <w:r>
        <w:rPr>
          <w:rFonts w:ascii="Arial" w:cs="Arial" w:eastAsia="Arial" w:hAnsi="Arial"/>
          <w:b w:val="false"/>
          <w:bCs w:val="false"/>
          <w:sz w:val="22"/>
          <w:szCs w:val="22"/>
        </w:rPr>
        <w:t xml:space="preserve">Primary condition and known biomarkers (e.g., KRAS G12C, HER2+, BRCA1)</w:t>
      </w:r>
    </w:p>
    <w:p>
      <w:pPr>
        <w:pStyle w:val="ListParagraph"/>
        <w:numPr>
          <w:ilvl w:val="0"/>
          <w:numId w:val="2"/>
        </w:numPr>
        <w:spacing w:after="50" w:before="50"/>
      </w:pPr>
      <w:r>
        <w:rPr>
          <w:rFonts w:ascii="Arial" w:cs="Arial" w:eastAsia="Arial" w:hAnsi="Arial"/>
          <w:b w:val="false"/>
          <w:bCs w:val="false"/>
          <w:sz w:val="22"/>
          <w:szCs w:val="22"/>
        </w:rPr>
        <w:t xml:space="preserve">Prior treatments, medications tried, and washout windows</w:t>
      </w:r>
    </w:p>
    <w:p>
      <w:pPr>
        <w:pStyle w:val="ListParagraph"/>
        <w:numPr>
          <w:ilvl w:val="0"/>
          <w:numId w:val="2"/>
        </w:numPr>
        <w:spacing w:after="50" w:before="50"/>
      </w:pPr>
      <w:r>
        <w:rPr>
          <w:rFonts w:ascii="Arial" w:cs="Arial" w:eastAsia="Arial" w:hAnsi="Arial"/>
          <w:b w:val="false"/>
          <w:bCs w:val="false"/>
          <w:sz w:val="22"/>
          <w:szCs w:val="22"/>
        </w:rPr>
        <w:t xml:space="preserve">Location and travel capacity</w:t>
      </w:r>
    </w:p>
    <w:p>
      <w:pPr>
        <w:pStyle w:val="ListParagraph"/>
        <w:numPr>
          <w:ilvl w:val="0"/>
          <w:numId w:val="2"/>
        </w:numPr>
        <w:spacing w:after="50" w:before="50"/>
      </w:pPr>
      <w:r>
        <w:rPr>
          <w:rFonts w:ascii="Arial" w:cs="Arial" w:eastAsia="Arial" w:hAnsi="Arial"/>
          <w:b w:val="false"/>
          <w:bCs w:val="false"/>
          <w:sz w:val="22"/>
          <w:szCs w:val="22"/>
        </w:rPr>
        <w:t xml:space="preserve">Current medications (to detect eligibility conflicts)</w:t>
      </w:r>
    </w:p>
    <w:p>
      <w:pPr>
        <w:pStyle w:val="ListParagraph"/>
        <w:numPr>
          <w:ilvl w:val="0"/>
          <w:numId w:val="2"/>
        </w:numPr>
        <w:spacing w:after="50" w:before="50"/>
      </w:pPr>
      <w:r>
        <w:rPr>
          <w:rFonts w:ascii="Arial" w:cs="Arial" w:eastAsia="Arial" w:hAnsi="Arial"/>
          <w:b w:val="false"/>
          <w:bCs w:val="false"/>
          <w:sz w:val="22"/>
          <w:szCs w:val="22"/>
        </w:rPr>
        <w:t xml:space="preserve">Age and any additional clinical context in plain language</w:t>
      </w:r>
    </w:p>
    <w:p>
      <w:pPr>
        <w:spacing w:after="0" w:before="120"/>
      </w:pPr>
      <w:r>
        <w:t xml:space="preserve"/>
      </w:r>
    </w:p>
    <w:p>
      <w:pPr>
        <w:spacing w:after="60" w:before="60"/>
      </w:pPr>
      <w:r>
        <w:rPr>
          <w:rFonts w:ascii="Arial" w:cs="Arial" w:eastAsia="Arial" w:hAnsi="Arial"/>
          <w:sz w:val="22"/>
          <w:szCs w:val="22"/>
        </w:rPr>
        <w:t xml:space="preserve">TrialFinder will then fire three parallel real-time searches using the Linkup web search API:</w:t>
      </w:r>
    </w:p>
    <w:p>
      <w:pPr>
        <w:pStyle w:val="ListParagraph"/>
        <w:numPr>
          <w:ilvl w:val="0"/>
          <w:numId w:val="2"/>
        </w:numPr>
        <w:spacing w:after="50" w:before="50"/>
      </w:pPr>
      <w:r>
        <w:rPr>
          <w:rFonts w:ascii="Arial" w:cs="Arial" w:eastAsia="Arial" w:hAnsi="Arial"/>
          <w:b w:val="false"/>
          <w:bCs w:val="false"/>
          <w:sz w:val="22"/>
          <w:szCs w:val="22"/>
        </w:rPr>
        <w:t xml:space="preserve">Query 1 — open recruiting trials on ClinicalTrials.gov for the patient's condition and location</w:t>
      </w:r>
    </w:p>
    <w:p>
      <w:pPr>
        <w:pStyle w:val="ListParagraph"/>
        <w:numPr>
          <w:ilvl w:val="0"/>
          <w:numId w:val="2"/>
        </w:numPr>
        <w:spacing w:after="50" w:before="50"/>
      </w:pPr>
      <w:r>
        <w:rPr>
          <w:rFonts w:ascii="Arial" w:cs="Arial" w:eastAsia="Arial" w:hAnsi="Arial"/>
          <w:b w:val="false"/>
          <w:bCs w:val="false"/>
          <w:sz w:val="22"/>
          <w:szCs w:val="22"/>
        </w:rPr>
        <w:t xml:space="preserve">Query 2 — recent trial results, efficacy data, and safety news for related trials</w:t>
      </w:r>
    </w:p>
    <w:p>
      <w:pPr>
        <w:pStyle w:val="ListParagraph"/>
        <w:numPr>
          <w:ilvl w:val="0"/>
          <w:numId w:val="2"/>
        </w:numPr>
        <w:spacing w:after="50" w:before="50"/>
      </w:pPr>
      <w:r>
        <w:rPr>
          <w:rFonts w:ascii="Arial" w:cs="Arial" w:eastAsia="Arial" w:hAnsi="Arial"/>
          <w:b w:val="false"/>
          <w:bCs w:val="false"/>
          <w:sz w:val="22"/>
          <w:szCs w:val="22"/>
        </w:rPr>
        <w:t xml:space="preserve">Query 3 — mechanism and plain-English journal coverage explaining what the trials are actually testing</w:t>
      </w:r>
    </w:p>
    <w:p>
      <w:pPr>
        <w:spacing w:after="0" w:before="120"/>
      </w:pPr>
      <w:r>
        <w:t xml:space="preserve"/>
      </w:r>
    </w:p>
    <w:p>
      <w:pPr>
        <w:spacing w:after="60" w:before="60"/>
      </w:pPr>
      <w:r>
        <w:rPr>
          <w:rFonts w:ascii="Arial" w:cs="Arial" w:eastAsia="Arial" w:hAnsi="Arial"/>
          <w:sz w:val="22"/>
          <w:szCs w:val="22"/>
        </w:rPr>
        <w:t xml:space="preserve">A Claude Sonnet AI model will synthesize all three data streams against the patient's profile to produce a ranked shortlist: up to five trials, each with a personalized fit score from 0 to 100, a two-to-three sentence explanation of why this trial fits this specific patient's biomarkers and treatment history, a plain-English summary of what the trial is testing, eligibility criteria in everyday language, and warning flags for potential conflicts with current medications.</w:t>
      </w:r>
    </w:p>
    <w:p>
      <w:pPr>
        <w:spacing w:after="0" w:before="120"/>
      </w:pPr>
      <w:r>
        <w:t xml:space="preserve"/>
      </w:r>
    </w:p>
    <w:p>
      <w:pPr>
        <w:pStyle w:val="Heading2"/>
        <w:spacing w:after="80" w:before="240"/>
      </w:pPr>
      <w:r>
        <w:rPr>
          <w:rFonts w:ascii="Arial" w:cs="Arial" w:eastAsia="Arial" w:hAnsi="Arial"/>
          <w:b/>
          <w:bCs/>
          <w:color w:val="0049A6"/>
          <w:sz w:val="26"/>
          <w:szCs w:val="26"/>
        </w:rPr>
        <w:t xml:space="preserve">Planned Feature 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060"/>
        <w:gridCol w:w="1700"/>
      </w:tblGrid>
      <w:tr>
        <w:tc>
          <w:tcPr>
            <w:tcW w:type="dxa" w:w="2000"/>
            <w:tcBorders>
              <w:top w:val="single" w:color="D1D5DB" w:sz="1"/>
              <w:left w:val="single" w:color="D1D5DB" w:sz="1"/>
              <w:bottom w:val="single" w:color="D1D5DB" w:sz="1"/>
              <w:right w:val="single" w:color="D1D5DB" w:sz="1"/>
            </w:tcBorders>
            <w:shd w:fill="0049A6" w:val="clear"/>
            <w:tcMar>
              <w:top w:type="dxa" w:w="80"/>
              <w:left w:type="dxa" w:w="110"/>
              <w:bottom w:type="dxa" w:w="80"/>
              <w:right w:type="dxa" w:w="110"/>
            </w:tcMar>
          </w:tcPr>
          <w:p>
            <w:r>
              <w:rPr>
                <w:rFonts w:ascii="Arial" w:cs="Arial" w:eastAsia="Arial" w:hAnsi="Arial"/>
                <w:b/>
                <w:bCs/>
                <w:color w:val="FFFFFF"/>
                <w:sz w:val="19"/>
                <w:szCs w:val="19"/>
              </w:rPr>
              <w:t xml:space="preserve">Feature</w:t>
            </w:r>
          </w:p>
        </w:tc>
        <w:tc>
          <w:tcPr>
            <w:tcW w:type="dxa" w:w="2600"/>
            <w:tcBorders>
              <w:top w:val="single" w:color="D1D5DB" w:sz="1"/>
              <w:left w:val="single" w:color="D1D5DB" w:sz="1"/>
              <w:bottom w:val="single" w:color="D1D5DB" w:sz="1"/>
              <w:right w:val="single" w:color="D1D5DB" w:sz="1"/>
            </w:tcBorders>
            <w:shd w:fill="0049A6" w:val="clear"/>
            <w:tcMar>
              <w:top w:type="dxa" w:w="80"/>
              <w:left w:type="dxa" w:w="110"/>
              <w:bottom w:type="dxa" w:w="80"/>
              <w:right w:type="dxa" w:w="110"/>
            </w:tcMar>
          </w:tcPr>
          <w:p>
            <w:r>
              <w:rPr>
                <w:rFonts w:ascii="Arial" w:cs="Arial" w:eastAsia="Arial" w:hAnsi="Arial"/>
                <w:b/>
                <w:bCs/>
                <w:color w:val="FFFFFF"/>
                <w:sz w:val="19"/>
                <w:szCs w:val="19"/>
              </w:rPr>
              <w:t xml:space="preserve">What It Will Do</w:t>
            </w:r>
          </w:p>
        </w:tc>
        <w:tc>
          <w:tcPr>
            <w:tcW w:type="dxa" w:w="3060"/>
            <w:tcBorders>
              <w:top w:val="single" w:color="D1D5DB" w:sz="1"/>
              <w:left w:val="single" w:color="D1D5DB" w:sz="1"/>
              <w:bottom w:val="single" w:color="D1D5DB" w:sz="1"/>
              <w:right w:val="single" w:color="D1D5DB" w:sz="1"/>
            </w:tcBorders>
            <w:shd w:fill="0049A6" w:val="clear"/>
            <w:tcMar>
              <w:top w:type="dxa" w:w="80"/>
              <w:left w:type="dxa" w:w="110"/>
              <w:bottom w:type="dxa" w:w="80"/>
              <w:right w:type="dxa" w:w="110"/>
            </w:tcMar>
          </w:tcPr>
          <w:p>
            <w:r>
              <w:rPr>
                <w:rFonts w:ascii="Arial" w:cs="Arial" w:eastAsia="Arial" w:hAnsi="Arial"/>
                <w:b/>
                <w:bCs/>
                <w:color w:val="FFFFFF"/>
                <w:sz w:val="19"/>
                <w:szCs w:val="19"/>
              </w:rPr>
              <w:t xml:space="preserve">Why It Matters for Pfizer</w:t>
            </w:r>
          </w:p>
        </w:tc>
        <w:tc>
          <w:tcPr>
            <w:tcW w:type="dxa" w:w="1700"/>
            <w:tcBorders>
              <w:top w:val="single" w:color="D1D5DB" w:sz="1"/>
              <w:left w:val="single" w:color="D1D5DB" w:sz="1"/>
              <w:bottom w:val="single" w:color="D1D5DB" w:sz="1"/>
              <w:right w:val="single" w:color="D1D5DB" w:sz="1"/>
            </w:tcBorders>
            <w:shd w:fill="0049A6" w:val="clear"/>
            <w:tcMar>
              <w:top w:type="dxa" w:w="80"/>
              <w:left w:type="dxa" w:w="110"/>
              <w:bottom w:type="dxa" w:w="80"/>
              <w:right w:type="dxa" w:w="110"/>
            </w:tcMar>
          </w:tcPr>
          <w:p>
            <w:r>
              <w:rPr>
                <w:rFonts w:ascii="Arial" w:cs="Arial" w:eastAsia="Arial" w:hAnsi="Arial"/>
                <w:b/>
                <w:bCs/>
                <w:color w:val="FFFFFF"/>
                <w:sz w:val="19"/>
                <w:szCs w:val="19"/>
              </w:rPr>
              <w:t xml:space="preserve">Priority</w:t>
            </w:r>
          </w:p>
        </w:tc>
      </w:tr>
      <w:tr>
        <w:tc>
          <w:tcPr>
            <w:tcW w:type="dxa" w:w="2000"/>
            <w:tcBorders>
              <w:top w:val="single" w:color="D1D5DB" w:sz="1"/>
              <w:left w:val="single" w:color="D1D5DB" w:sz="1"/>
              <w:bottom w:val="single" w:color="D1D5DB" w:sz="1"/>
              <w:right w:val="single" w:color="D1D5DB" w:sz="1"/>
            </w:tcBorders>
            <w:shd w:fill="E8EFF9" w:val="clear"/>
            <w:tcMar>
              <w:top w:type="dxa" w:w="80"/>
              <w:left w:type="dxa" w:w="110"/>
              <w:bottom w:type="dxa" w:w="80"/>
              <w:right w:type="dxa" w:w="110"/>
            </w:tcMar>
          </w:tcPr>
          <w:p>
            <w:r>
              <w:rPr>
                <w:rFonts w:ascii="Arial" w:cs="Arial" w:eastAsia="Arial" w:hAnsi="Arial"/>
                <w:b/>
                <w:bCs/>
                <w:color w:val="0049A6"/>
                <w:sz w:val="18"/>
                <w:szCs w:val="18"/>
              </w:rPr>
              <w:t xml:space="preserve">AI Trial Matching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3 parallel Linkup searches + Claude LLM ranking per patient</w:t>
            </w:r>
          </w:p>
        </w:tc>
        <w:tc>
          <w:tcPr>
            <w:tcW w:type="dxa" w:w="30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Reduces screen failures; surfaces relevant trials in seconds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MVP</w:t>
            </w:r>
          </w:p>
        </w:tc>
      </w:tr>
      <w:tr>
        <w:tc>
          <w:tcPr>
            <w:tcW w:type="dxa" w:w="2000"/>
            <w:tcBorders>
              <w:top w:val="single" w:color="D1D5DB" w:sz="1"/>
              <w:left w:val="single" w:color="D1D5DB" w:sz="1"/>
              <w:bottom w:val="single" w:color="D1D5DB" w:sz="1"/>
              <w:right w:val="single" w:color="D1D5DB" w:sz="1"/>
            </w:tcBorders>
            <w:shd w:fill="E8EFF9" w:val="clear"/>
            <w:tcMar>
              <w:top w:type="dxa" w:w="80"/>
              <w:left w:type="dxa" w:w="110"/>
              <w:bottom w:type="dxa" w:w="80"/>
              <w:right w:type="dxa" w:w="110"/>
            </w:tcMar>
          </w:tcPr>
          <w:p>
            <w:r>
              <w:rPr>
                <w:rFonts w:ascii="Arial" w:cs="Arial" w:eastAsia="Arial" w:hAnsi="Arial"/>
                <w:b/>
                <w:bCs/>
                <w:color w:val="0049A6"/>
                <w:sz w:val="18"/>
                <w:szCs w:val="18"/>
              </w:rPr>
              <w:t xml:space="preserve">Biomarker Matching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Biomarker tag input; LLM weights precision targets as top fit signal</w:t>
            </w:r>
          </w:p>
        </w:tc>
        <w:tc>
          <w:tcPr>
            <w:tcW w:type="dxa" w:w="30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Critical for Pfizer oncology and rare disease portfolios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MVP</w:t>
            </w:r>
          </w:p>
        </w:tc>
      </w:tr>
      <w:tr>
        <w:tc>
          <w:tcPr>
            <w:tcW w:type="dxa" w:w="2000"/>
            <w:tcBorders>
              <w:top w:val="single" w:color="D1D5DB" w:sz="1"/>
              <w:left w:val="single" w:color="D1D5DB" w:sz="1"/>
              <w:bottom w:val="single" w:color="D1D5DB" w:sz="1"/>
              <w:right w:val="single" w:color="D1D5DB" w:sz="1"/>
            </w:tcBorders>
            <w:shd w:fill="E8EFF9" w:val="clear"/>
            <w:tcMar>
              <w:top w:type="dxa" w:w="80"/>
              <w:left w:type="dxa" w:w="110"/>
              <w:bottom w:type="dxa" w:w="80"/>
              <w:right w:type="dxa" w:w="110"/>
            </w:tcMar>
          </w:tcPr>
          <w:p>
            <w:r>
              <w:rPr>
                <w:rFonts w:ascii="Arial" w:cs="Arial" w:eastAsia="Arial" w:hAnsi="Arial"/>
                <w:b/>
                <w:bCs/>
                <w:color w:val="0049A6"/>
                <w:sz w:val="18"/>
                <w:szCs w:val="18"/>
              </w:rPr>
              <w:t xml:space="preserve">Personalized Reasoning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"Why this fits you" 2-3 sentences citing patient's specific inputs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Closes the health literacy gap; increases enrollment intent</w:t>
            </w:r>
          </w:p>
        </w:tc>
        <w:tc>
          <w:tcPr>
            <w:tcW w:type="dxa" w:w="17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MVP</w:t>
            </w:r>
          </w:p>
        </w:tc>
      </w:tr>
      <w:tr>
        <w:tc>
          <w:tcPr>
            <w:tcW w:type="dxa" w:w="2000"/>
            <w:tcBorders>
              <w:top w:val="single" w:color="D1D5DB" w:sz="1"/>
              <w:left w:val="single" w:color="D1D5DB" w:sz="1"/>
              <w:bottom w:val="single" w:color="D1D5DB" w:sz="1"/>
              <w:right w:val="single" w:color="D1D5DB" w:sz="1"/>
            </w:tcBorders>
            <w:shd w:fill="E8EFF9" w:val="clear"/>
            <w:tcMar>
              <w:top w:type="dxa" w:w="80"/>
              <w:left w:type="dxa" w:w="110"/>
              <w:bottom w:type="dxa" w:w="80"/>
              <w:right w:type="dxa" w:w="110"/>
            </w:tcMar>
          </w:tcPr>
          <w:p>
            <w:r>
              <w:rPr>
                <w:rFonts w:ascii="Arial" w:cs="Arial" w:eastAsia="Arial" w:hAnsi="Arial"/>
                <w:b/>
                <w:bCs/>
                <w:color w:val="0049A6"/>
                <w:sz w:val="18"/>
                <w:szCs w:val="18"/>
              </w:rPr>
              <w:t xml:space="preserve">Trust Score Breakdown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Per-axis confidence: eligibility, location, line-of-therapy with citations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Transparent AI; meets FDA responsible AI expectations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MVP</w:t>
            </w:r>
          </w:p>
        </w:tc>
      </w:tr>
      <w:tr>
        <w:tc>
          <w:tcPr>
            <w:tcW w:type="dxa" w:w="2000"/>
            <w:tcBorders>
              <w:top w:val="single" w:color="D1D5DB" w:sz="1"/>
              <w:left w:val="single" w:color="D1D5DB" w:sz="1"/>
              <w:bottom w:val="single" w:color="D1D5DB" w:sz="1"/>
              <w:right w:val="single" w:color="D1D5DB" w:sz="1"/>
            </w:tcBorders>
            <w:shd w:fill="E8EFF9" w:val="clear"/>
            <w:tcMar>
              <w:top w:type="dxa" w:w="80"/>
              <w:left w:type="dxa" w:w="110"/>
              <w:bottom w:type="dxa" w:w="80"/>
              <w:right w:type="dxa" w:w="110"/>
            </w:tcMar>
          </w:tcPr>
          <w:p>
            <w:r>
              <w:rPr>
                <w:rFonts w:ascii="Arial" w:cs="Arial" w:eastAsia="Arial" w:hAnsi="Arial"/>
                <w:b/>
                <w:bCs/>
                <w:color w:val="0049A6"/>
                <w:sz w:val="18"/>
                <w:szCs w:val="18"/>
              </w:rPr>
              <w:t xml:space="preserve">Excluded Trials Panel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Shows which trials were considered and why ruled out</w:t>
            </w:r>
          </w:p>
        </w:tc>
        <w:tc>
          <w:tcPr>
            <w:tcW w:type="dxa" w:w="30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Auditable AI decisions; reduces perceived bias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MVP</w:t>
            </w:r>
          </w:p>
        </w:tc>
      </w:tr>
      <w:tr>
        <w:tc>
          <w:tcPr>
            <w:tcW w:type="dxa" w:w="2000"/>
            <w:tcBorders>
              <w:top w:val="single" w:color="D1D5DB" w:sz="1"/>
              <w:left w:val="single" w:color="D1D5DB" w:sz="1"/>
              <w:bottom w:val="single" w:color="D1D5DB" w:sz="1"/>
              <w:right w:val="single" w:color="D1D5DB" w:sz="1"/>
            </w:tcBorders>
            <w:shd w:fill="E8EFF9" w:val="clear"/>
            <w:tcMar>
              <w:top w:type="dxa" w:w="80"/>
              <w:left w:type="dxa" w:w="110"/>
              <w:bottom w:type="dxa" w:w="80"/>
              <w:right w:type="dxa" w:w="110"/>
            </w:tcMar>
          </w:tcPr>
          <w:p>
            <w:r>
              <w:rPr>
                <w:rFonts w:ascii="Arial" w:cs="Arial" w:eastAsia="Arial" w:hAnsi="Arial"/>
                <w:b/>
                <w:bCs/>
                <w:color w:val="0049A6"/>
                <w:sz w:val="18"/>
                <w:szCs w:val="18"/>
              </w:rPr>
              <w:t xml:space="preserve">Caregiver Multi-Profile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Multiple patient profiles per account ("Search for Mom")</w:t>
            </w:r>
          </w:p>
        </w:tc>
        <w:tc>
          <w:tcPr>
            <w:tcW w:type="dxa" w:w="30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30% of trial inquiries come from family caregivers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MVP</w:t>
            </w:r>
          </w:p>
        </w:tc>
      </w:tr>
      <w:tr>
        <w:tc>
          <w:tcPr>
            <w:tcW w:type="dxa" w:w="2000"/>
            <w:tcBorders>
              <w:top w:val="single" w:color="D1D5DB" w:sz="1"/>
              <w:left w:val="single" w:color="D1D5DB" w:sz="1"/>
              <w:bottom w:val="single" w:color="D1D5DB" w:sz="1"/>
              <w:right w:val="single" w:color="D1D5DB" w:sz="1"/>
            </w:tcBorders>
            <w:shd w:fill="E8EFF9" w:val="clear"/>
            <w:tcMar>
              <w:top w:type="dxa" w:w="80"/>
              <w:left w:type="dxa" w:w="110"/>
              <w:bottom w:type="dxa" w:w="80"/>
              <w:right w:type="dxa" w:w="110"/>
            </w:tcMar>
          </w:tcPr>
          <w:p>
            <w:r>
              <w:rPr>
                <w:rFonts w:ascii="Arial" w:cs="Arial" w:eastAsia="Arial" w:hAnsi="Arial"/>
                <w:b/>
                <w:bCs/>
                <w:color w:val="0049A6"/>
                <w:sz w:val="18"/>
                <w:szCs w:val="18"/>
              </w:rPr>
              <w:t xml:space="preserve">Watchlist + Email Alerts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Save trials; daily status change email notifications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Keeps patients engaged through slow enrollment windows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MVP</w:t>
            </w:r>
          </w:p>
        </w:tc>
      </w:tr>
      <w:tr>
        <w:tc>
          <w:tcPr>
            <w:tcW w:type="dxa" w:w="2000"/>
            <w:tcBorders>
              <w:top w:val="single" w:color="D1D5DB" w:sz="1"/>
              <w:left w:val="single" w:color="D1D5DB" w:sz="1"/>
              <w:bottom w:val="single" w:color="D1D5DB" w:sz="1"/>
              <w:right w:val="single" w:color="D1D5DB" w:sz="1"/>
            </w:tcBorders>
            <w:shd w:fill="E8EFF9" w:val="clear"/>
            <w:tcMar>
              <w:top w:type="dxa" w:w="80"/>
              <w:left w:type="dxa" w:w="110"/>
              <w:bottom w:type="dxa" w:w="80"/>
              <w:right w:type="dxa" w:w="110"/>
            </w:tcMar>
          </w:tcPr>
          <w:p>
            <w:r>
              <w:rPr>
                <w:rFonts w:ascii="Arial" w:cs="Arial" w:eastAsia="Arial" w:hAnsi="Arial"/>
                <w:b/>
                <w:bCs/>
                <w:color w:val="0049A6"/>
                <w:sz w:val="18"/>
                <w:szCs w:val="18"/>
              </w:rPr>
              <w:t xml:space="preserve">Washout Calculator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LLM extracts washout windows; computes earliest eligibility date</w:t>
            </w:r>
          </w:p>
        </w:tc>
        <w:tc>
          <w:tcPr>
            <w:tcW w:type="dxa" w:w="30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Prevents disqualification from medication timing errors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MVP</w:t>
            </w:r>
          </w:p>
        </w:tc>
      </w:tr>
      <w:tr>
        <w:tc>
          <w:tcPr>
            <w:tcW w:type="dxa" w:w="2000"/>
            <w:tcBorders>
              <w:top w:val="single" w:color="D1D5DB" w:sz="1"/>
              <w:left w:val="single" w:color="D1D5DB" w:sz="1"/>
              <w:bottom w:val="single" w:color="D1D5DB" w:sz="1"/>
              <w:right w:val="single" w:color="D1D5DB" w:sz="1"/>
            </w:tcBorders>
            <w:shd w:fill="E8EFF9" w:val="clear"/>
            <w:tcMar>
              <w:top w:type="dxa" w:w="80"/>
              <w:left w:type="dxa" w:w="110"/>
              <w:bottom w:type="dxa" w:w="80"/>
              <w:right w:type="dxa" w:w="110"/>
            </w:tcMar>
          </w:tcPr>
          <w:p>
            <w:r>
              <w:rPr>
                <w:rFonts w:ascii="Arial" w:cs="Arial" w:eastAsia="Arial" w:hAnsi="Arial"/>
                <w:b/>
                <w:bCs/>
                <w:color w:val="0049A6"/>
                <w:sz w:val="18"/>
                <w:szCs w:val="18"/>
              </w:rPr>
              <w:t xml:space="preserve">Site/PI Reputation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Linkup-powered sponsor and investigator reputation lookup</w:t>
            </w:r>
          </w:p>
        </w:tc>
        <w:tc>
          <w:tcPr>
            <w:tcW w:type="dxa" w:w="30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Helps patients choose high-performing, reputable sites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Phase 2</w:t>
            </w:r>
          </w:p>
        </w:tc>
      </w:tr>
      <w:tr>
        <w:tc>
          <w:tcPr>
            <w:tcW w:type="dxa" w:w="2000"/>
            <w:tcBorders>
              <w:top w:val="single" w:color="D1D5DB" w:sz="1"/>
              <w:left w:val="single" w:color="D1D5DB" w:sz="1"/>
              <w:bottom w:val="single" w:color="D1D5DB" w:sz="1"/>
              <w:right w:val="single" w:color="D1D5DB" w:sz="1"/>
            </w:tcBorders>
            <w:shd w:fill="E8EFF9" w:val="clear"/>
            <w:tcMar>
              <w:top w:type="dxa" w:w="80"/>
              <w:left w:type="dxa" w:w="110"/>
              <w:bottom w:type="dxa" w:w="80"/>
              <w:right w:type="dxa" w:w="110"/>
            </w:tcMar>
          </w:tcPr>
          <w:p>
            <w:r>
              <w:rPr>
                <w:rFonts w:ascii="Arial" w:cs="Arial" w:eastAsia="Arial" w:hAnsi="Arial"/>
                <w:b/>
                <w:bCs/>
                <w:color w:val="0049A6"/>
                <w:sz w:val="18"/>
                <w:szCs w:val="18"/>
              </w:rPr>
              <w:t xml:space="preserve">Drug Intelligence Briefings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Plain-English briefing on each trial's intervention</w:t>
            </w:r>
          </w:p>
        </w:tc>
        <w:tc>
          <w:tcPr>
            <w:tcW w:type="dxa" w:w="30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Reduces patient dropout from anxiety about unknown drugs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Phase 2</w:t>
            </w:r>
          </w:p>
        </w:tc>
      </w:tr>
      <w:tr>
        <w:tc>
          <w:tcPr>
            <w:tcW w:type="dxa" w:w="2000"/>
            <w:tcBorders>
              <w:top w:val="single" w:color="D1D5DB" w:sz="1"/>
              <w:left w:val="single" w:color="D1D5DB" w:sz="1"/>
              <w:bottom w:val="single" w:color="D1D5DB" w:sz="1"/>
              <w:right w:val="single" w:color="D1D5DB" w:sz="1"/>
            </w:tcBorders>
            <w:shd w:fill="E8EFF9" w:val="clear"/>
            <w:tcMar>
              <w:top w:type="dxa" w:w="80"/>
              <w:left w:type="dxa" w:w="110"/>
              <w:bottom w:type="dxa" w:w="80"/>
              <w:right w:type="dxa" w:w="110"/>
            </w:tcMar>
          </w:tcPr>
          <w:p>
            <w:r>
              <w:rPr>
                <w:rFonts w:ascii="Arial" w:cs="Arial" w:eastAsia="Arial" w:hAnsi="Arial"/>
                <w:b/>
                <w:bCs/>
                <w:color w:val="0049A6"/>
                <w:sz w:val="18"/>
                <w:szCs w:val="18"/>
              </w:rPr>
              <w:t xml:space="preserve">CT.gov API Fallback</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Free ClinicalTrials.gov v2 API supplements Linkup when sparse</w:t>
            </w:r>
          </w:p>
        </w:tc>
        <w:tc>
          <w:tcPr>
            <w:tcW w:type="dxa" w:w="30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Resilient coverage; no single point of failure</w:t>
            </w:r>
          </w:p>
        </w:tc>
        <w:tc>
          <w:tcPr>
            <w:tcW w:type="dxa" w:w="17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MVP</w:t>
            </w:r>
          </w:p>
        </w:tc>
      </w:tr>
      <w:tr>
        <w:tc>
          <w:tcPr>
            <w:tcW w:type="dxa" w:w="2000"/>
            <w:tcBorders>
              <w:top w:val="single" w:color="D1D5DB" w:sz="1"/>
              <w:left w:val="single" w:color="D1D5DB" w:sz="1"/>
              <w:bottom w:val="single" w:color="D1D5DB" w:sz="1"/>
              <w:right w:val="single" w:color="D1D5DB" w:sz="1"/>
            </w:tcBorders>
            <w:shd w:fill="E8EFF9" w:val="clear"/>
            <w:tcMar>
              <w:top w:type="dxa" w:w="80"/>
              <w:left w:type="dxa" w:w="110"/>
              <w:bottom w:type="dxa" w:w="80"/>
              <w:right w:type="dxa" w:w="110"/>
            </w:tcMar>
          </w:tcPr>
          <w:p>
            <w:r>
              <w:rPr>
                <w:rFonts w:ascii="Arial" w:cs="Arial" w:eastAsia="Arial" w:hAnsi="Arial"/>
                <w:b/>
                <w:bCs/>
                <w:color w:val="0049A6"/>
                <w:sz w:val="18"/>
                <w:szCs w:val="18"/>
              </w:rPr>
              <w:t xml:space="preserve">Auth + Profiles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Email/password + JWT, full profile management</w:t>
            </w:r>
          </w:p>
        </w:tc>
        <w:tc>
          <w:tcPr>
            <w:tcW w:type="dxa" w:w="30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Enables longitudinal engagement and personalization</w:t>
            </w:r>
          </w:p>
        </w:tc>
        <w:tc>
          <w:tcPr>
            <w:tcW w:type="dxa" w:w="17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MVP</w:t>
            </w:r>
          </w:p>
        </w:tc>
      </w:tr>
      <w:tr>
        <w:tc>
          <w:tcPr>
            <w:tcW w:type="dxa" w:w="2000"/>
            <w:tcBorders>
              <w:top w:val="single" w:color="D1D5DB" w:sz="1"/>
              <w:left w:val="single" w:color="D1D5DB" w:sz="1"/>
              <w:bottom w:val="single" w:color="D1D5DB" w:sz="1"/>
              <w:right w:val="single" w:color="D1D5DB" w:sz="1"/>
            </w:tcBorders>
            <w:shd w:fill="E8EFF9" w:val="clear"/>
            <w:tcMar>
              <w:top w:type="dxa" w:w="80"/>
              <w:left w:type="dxa" w:w="110"/>
              <w:bottom w:type="dxa" w:w="80"/>
              <w:right w:type="dxa" w:w="110"/>
            </w:tcMar>
          </w:tcPr>
          <w:p>
            <w:r>
              <w:rPr>
                <w:rFonts w:ascii="Arial" w:cs="Arial" w:eastAsia="Arial" w:hAnsi="Arial"/>
                <w:b/>
                <w:bCs/>
                <w:color w:val="0049A6"/>
                <w:sz w:val="18"/>
                <w:szCs w:val="18"/>
              </w:rPr>
              <w:t xml:space="preserve">Educational Content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Phases I-IV explainers, glossary, why-to-participate guide</w:t>
            </w:r>
          </w:p>
        </w:tc>
        <w:tc>
          <w:tcPr>
            <w:tcW w:type="dxa" w:w="30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Drives health literacy; reduces first-touch drop-off</w:t>
            </w:r>
          </w:p>
        </w:tc>
        <w:tc>
          <w:tcPr>
            <w:tcW w:type="dxa" w:w="17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2E"/>
                <w:sz w:val="18"/>
                <w:szCs w:val="18"/>
              </w:rPr>
              <w:t xml:space="preserve">Phase 2</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8EFF9" w:val="clear"/>
            <w:tcMar>
              <w:top w:type="dxa" w:w="140"/>
              <w:left w:type="dxa" w:w="200"/>
              <w:bottom w:type="dxa" w:w="140"/>
              <w:right w:type="dxa" w:w="200"/>
            </w:tcMar>
          </w:tcPr>
          <w:p>
            <w:pPr>
              <w:spacing w:after="0" w:before="0"/>
            </w:pPr>
            <w:r>
              <w:rPr>
                <w:rFonts w:ascii="Arial" w:cs="Arial" w:eastAsia="Arial" w:hAnsi="Arial"/>
                <w:b/>
                <w:bCs/>
                <w:color w:val="0049A6"/>
                <w:sz w:val="21"/>
                <w:szCs w:val="21"/>
              </w:rPr>
              <w:t xml:space="preserve">Proposed tech stack: </w:t>
            </w:r>
            <w:r>
              <w:rPr>
                <w:rFonts w:ascii="Arial" w:cs="Arial" w:eastAsia="Arial" w:hAnsi="Arial"/>
                <w:color w:val="1A1A2E"/>
                <w:sz w:val="21"/>
                <w:szCs w:val="21"/>
              </w:rPr>
              <w:t xml:space="preserve">React (Vite) frontend + FastAPI (Python) backend + Linkup Search API + Claude claude-sonnet-4-6 (Anthropic) for LLM ranking + SQLAlchemy/SQLite for persistence + Resend for email alerts. Deployable to Railway (backend) and Vercel (frontend) within the hackathon window.</w:t>
            </w:r>
          </w:p>
        </w:tc>
      </w:tr>
    </w:tbl>
    <w:p>
      <w:pPr>
        <w:sectPr>
          <w:pgSz w:w="12240" w:h="15840" w:orient="portrait"/>
          <w:pgMar w:top="1440" w:right="1440" w:bottom="1440" w:left="1440" w:header="708" w:footer="708" w:gutter="0"/>
          <w:pgNumType/>
          <w:docGrid w:linePitch="360"/>
        </w:sectPr>
      </w:pPr>
    </w:p>
    <w:p>
      <w:pPr>
        <w:pStyle w:val="Heading1"/>
        <w:spacing w:after="100" w:before="280"/>
      </w:pPr>
      <w:r>
        <w:rPr>
          <w:rFonts w:ascii="Arial" w:cs="Arial" w:eastAsia="Arial" w:hAnsi="Arial"/>
          <w:b/>
          <w:bCs/>
          <w:color w:val="0049A6"/>
          <w:sz w:val="32"/>
          <w:szCs w:val="32"/>
        </w:rPr>
        <w:t xml:space="preserve">3. Alignment with Pfizer</w:t>
      </w:r>
    </w:p>
    <w:p>
      <w:pPr>
        <w:pBdr>
          <w:bottom w:val="single" w:color="0049A6" w:sz="6" w:space="1"/>
        </w:pBdr>
        <w:spacing w:after="0" w:before="0"/>
      </w:pPr>
    </w:p>
    <w:p>
      <w:pPr>
        <w:spacing w:after="0" w:before="120"/>
      </w:pPr>
      <w:r>
        <w:t xml:space="preserve"/>
      </w:r>
    </w:p>
    <w:p>
      <w:pPr>
        <w:spacing w:after="60" w:before="60"/>
      </w:pPr>
      <w:r>
        <w:rPr>
          <w:rFonts w:ascii="Arial" w:cs="Arial" w:eastAsia="Arial" w:hAnsi="Arial"/>
          <w:sz w:val="22"/>
          <w:szCs w:val="22"/>
        </w:rPr>
        <w:t xml:space="preserve">TrialFinder is not a generic trial directory. Every design decision maps directly to Pfizer's most pressing operational and strategic challenges across clinical operations, precision medicine, patient centricity, and digital health.</w:t>
      </w:r>
    </w:p>
    <w:p>
      <w:pPr>
        <w:spacing w:after="0" w:before="120"/>
      </w:pPr>
      <w:r>
        <w:t xml:space="preserve"/>
      </w:r>
    </w:p>
    <w:p>
      <w:pPr>
        <w:pStyle w:val="Heading2"/>
        <w:spacing w:after="80" w:before="240"/>
      </w:pPr>
      <w:r>
        <w:rPr>
          <w:rFonts w:ascii="Arial" w:cs="Arial" w:eastAsia="Arial" w:hAnsi="Arial"/>
          <w:b/>
          <w:bCs/>
          <w:color w:val="0049A6"/>
          <w:sz w:val="26"/>
          <w:szCs w:val="26"/>
        </w:rPr>
        <w:t xml:space="preserve">3.1  Accelerating Enrollment in Pfizer Trials</w:t>
      </w:r>
    </w:p>
    <w:p>
      <w:pPr>
        <w:spacing w:after="60" w:before="60"/>
      </w:pPr>
      <w:r>
        <w:rPr>
          <w:rFonts w:ascii="Arial" w:cs="Arial" w:eastAsia="Arial" w:hAnsi="Arial"/>
          <w:sz w:val="22"/>
          <w:szCs w:val="22"/>
        </w:rPr>
        <w:t xml:space="preserve">Pfizer's oncology, rare disease, vaccines, and inflammation/immunology portfolios depend on enrolling qualified patients quickly. Every month of enrollment delay costs an estimated $1-3M in operational overhead per Phase III trial. TrialFinder would address this from three angles: reducing screen failures by surfacing patients who have already matched against biomarker and treatment-history criteria before they contact a site; extending reach to underserved populations through plain-English explanations and caregiver multi-profile support; and maintaining engagement through watchlist alerts that keep interested patients attached to Pfizer trials through slow enrollment windows.</w:t>
      </w:r>
    </w:p>
    <w:p>
      <w:pPr>
        <w:spacing w:after="0" w:before="120"/>
      </w:pPr>
      <w:r>
        <w:t xml:space="preserve"/>
      </w:r>
    </w:p>
    <w:p>
      <w:pPr>
        <w:pStyle w:val="Heading2"/>
        <w:spacing w:after="80" w:before="240"/>
      </w:pPr>
      <w:r>
        <w:rPr>
          <w:rFonts w:ascii="Arial" w:cs="Arial" w:eastAsia="Arial" w:hAnsi="Arial"/>
          <w:b/>
          <w:bCs/>
          <w:color w:val="0049A6"/>
          <w:sz w:val="26"/>
          <w:szCs w:val="26"/>
        </w:rPr>
        <w:t xml:space="preserve">3.2  Precision Medicine and Biomarker Strategy</w:t>
      </w:r>
    </w:p>
    <w:p>
      <w:pPr>
        <w:spacing w:after="60" w:before="60"/>
      </w:pPr>
      <w:r>
        <w:rPr>
          <w:rFonts w:ascii="Arial" w:cs="Arial" w:eastAsia="Arial" w:hAnsi="Arial"/>
          <w:sz w:val="22"/>
          <w:szCs w:val="22"/>
        </w:rPr>
        <w:t xml:space="preserve">Pfizer's oncology pipeline is increasingly defined by biomarker-stratified trials across KRAS, BRCA, HER2, CDK4/6, PD-L1, and others. TrialFinder would be the first consumer-facing trial discovery tool with biomarker matching as a first-class feature rather than an afterthought. Patients would enter their confirmed biomarkers in plain language, the AI ranking model would explicitly weight biomarker alignment as the strongest fit signal, and matched biomarkers would appear as a dedicated callout on each trial card so patients clearly understand why the match is strong. This would directly support Pfizer's shift from broad enrollment to precision recruitment.</w:t>
      </w:r>
    </w:p>
    <w:p>
      <w:pPr>
        <w:spacing w:after="0" w:before="120"/>
      </w:pPr>
      <w:r>
        <w:t xml:space="preserve"/>
      </w:r>
    </w:p>
    <w:p>
      <w:pPr>
        <w:pStyle w:val="Heading2"/>
        <w:spacing w:after="80" w:before="240"/>
      </w:pPr>
      <w:r>
        <w:rPr>
          <w:rFonts w:ascii="Arial" w:cs="Arial" w:eastAsia="Arial" w:hAnsi="Arial"/>
          <w:b/>
          <w:bCs/>
          <w:color w:val="0049A6"/>
          <w:sz w:val="26"/>
          <w:szCs w:val="26"/>
        </w:rPr>
        <w:t xml:space="preserve">3.3  Patient Centricity and Health Equity</w:t>
      </w:r>
    </w:p>
    <w:p>
      <w:pPr>
        <w:spacing w:after="60" w:before="60"/>
      </w:pPr>
      <w:r>
        <w:rPr>
          <w:rFonts w:ascii="Arial" w:cs="Arial" w:eastAsia="Arial" w:hAnsi="Arial"/>
          <w:sz w:val="22"/>
          <w:szCs w:val="22"/>
        </w:rPr>
        <w:t xml:space="preserve">Pfizer's Patient Centricity programs are built on the recognition that patients are partners, not subjects. TrialFinder operationalizes this by explaining every trial in plain English without requiring medical literacy, personalizing every explanation to the specific patient's inputs rather than using generic copy, and acknowledging through caregiver mode that in oncology and rare disease the decision-maker is frequently a family member. Educational content on clinical trial phases, what enrollment actually involves, and questions to ask the study team would directly address the trust barrier that deters underrepresented communities from enrolling.</w:t>
      </w:r>
    </w:p>
    <w:p>
      <w:pPr>
        <w:spacing w:after="0" w:before="120"/>
      </w:pPr>
      <w:r>
        <w:t xml:space="preserve"/>
      </w:r>
    </w:p>
    <w:p>
      <w:pPr>
        <w:pStyle w:val="Heading2"/>
        <w:spacing w:after="80" w:before="240"/>
      </w:pPr>
      <w:r>
        <w:rPr>
          <w:rFonts w:ascii="Arial" w:cs="Arial" w:eastAsia="Arial" w:hAnsi="Arial"/>
          <w:b/>
          <w:bCs/>
          <w:color w:val="0049A6"/>
          <w:sz w:val="26"/>
          <w:szCs w:val="26"/>
        </w:rPr>
        <w:t xml:space="preserve">3.4  Digital Health and Responsible AI</w:t>
      </w:r>
    </w:p>
    <w:p>
      <w:pPr>
        <w:spacing w:after="60" w:before="60"/>
      </w:pPr>
      <w:r>
        <w:rPr>
          <w:rFonts w:ascii="Arial" w:cs="Arial" w:eastAsia="Arial" w:hAnsi="Arial"/>
          <w:sz w:val="22"/>
          <w:szCs w:val="22"/>
        </w:rPr>
        <w:t xml:space="preserve">Pfizer has committed to digital innovation across clinical operations. TrialFinder would demonstrate a responsible, transparent AI approach aligned with Pfizer's values and FDA's Digital Health Center of Excellence guidance. Every AI fit score would be decomposed into sub-scores with citations to source material — no black box. Patients would see which trials were considered and ruled out, with reasoning. All recommendations would be sourced from ClinicalTrials.gov and peer-reviewed journals, never generated from scratch by the model. A mandatory disclaimer would appear on every results page as a non-negotiable product requirement.</w:t>
      </w:r>
    </w:p>
    <w:p>
      <w:pPr>
        <w:spacing w:after="0" w:before="120"/>
      </w:pPr>
      <w:r>
        <w:t xml:space="preserve"/>
      </w:r>
    </w:p>
    <w:p>
      <w:pPr>
        <w:pStyle w:val="Heading2"/>
        <w:spacing w:after="80" w:before="240"/>
      </w:pPr>
      <w:r>
        <w:rPr>
          <w:rFonts w:ascii="Arial" w:cs="Arial" w:eastAsia="Arial" w:hAnsi="Arial"/>
          <w:b/>
          <w:bCs/>
          <w:color w:val="0049A6"/>
          <w:sz w:val="26"/>
          <w:szCs w:val="26"/>
        </w:rPr>
        <w:t xml:space="preserve">3.5  Commercial Partnership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0049A6"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7160"/>
            <w:tcBorders>
              <w:top w:val="single" w:color="D1D5DB" w:sz="1"/>
              <w:left w:val="single" w:color="D1D5DB" w:sz="1"/>
              <w:bottom w:val="single" w:color="D1D5DB" w:sz="1"/>
              <w:right w:val="single" w:color="D1D5DB" w:sz="1"/>
            </w:tcBorders>
            <w:shd w:fill="0049A6" w:val="clear"/>
            <w:tcMar>
              <w:top w:type="dxa" w:w="100"/>
              <w:left w:type="dxa" w:w="140"/>
              <w:bottom w:type="dxa" w:w="100"/>
              <w:right w:type="dxa" w:w="140"/>
            </w:tcMar>
          </w:tcPr>
          <w:p>
            <w:r>
              <w:rPr>
                <w:rFonts w:ascii="Arial" w:cs="Arial" w:eastAsia="Arial" w:hAnsi="Arial"/>
                <w:b/>
                <w:bCs/>
                <w:color w:val="FFFFFF"/>
                <w:sz w:val="20"/>
                <w:szCs w:val="20"/>
              </w:rPr>
              <w:t xml:space="preserve">Model</w:t>
            </w:r>
          </w:p>
        </w:tc>
      </w:tr>
      <w:tr>
        <w:tc>
          <w:tcPr>
            <w:tcW w:type="dxa" w:w="22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B2C (Launch)</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Free to patients — monetized through Pfizer-sponsored trial featuring; Pfizer trials appear at the top of matched results</w:t>
            </w:r>
          </w:p>
        </w:tc>
      </w:tr>
      <w:tr>
        <w:tc>
          <w:tcPr>
            <w:tcW w:type="dxa" w:w="22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B2B Year 1</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API access for hospital systems (MSK, Mayo, Cleveland Clinic) to embed TrialFinder in patient portals with Pfizer trials highlighted</w:t>
            </w:r>
          </w:p>
        </w:tc>
      </w:tr>
      <w:tr>
        <w:tc>
          <w:tcPr>
            <w:tcW w:type="dxa" w:w="22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Site Intelligence Year 2</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Aggregate anonymized search data shows Pfizer where patient demand is concentrated — informing site selection and enrollment projections</w:t>
            </w:r>
          </w:p>
        </w:tc>
      </w:tr>
      <w:tr>
        <w:tc>
          <w:tcPr>
            <w:tcW w:type="dxa" w:w="22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Protocol Optimization Year 3</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Real-world search patterns fed back to trial designers: if a specific eligibility criterion consistently filters out otherwise matched patients, flag it for potential amendment</w:t>
            </w:r>
          </w:p>
        </w:tc>
      </w:tr>
    </w:tbl>
    <w:p>
      <w:pPr>
        <w:sectPr>
          <w:pgSz w:w="12240" w:h="15840" w:orient="portrait"/>
          <w:pgMar w:top="1440" w:right="1440" w:bottom="1440" w:left="1440" w:header="708" w:footer="708" w:gutter="0"/>
          <w:pgNumType/>
          <w:docGrid w:linePitch="360"/>
        </w:sectPr>
      </w:pPr>
    </w:p>
    <w:p>
      <w:pPr>
        <w:pStyle w:val="Heading1"/>
        <w:spacing w:after="100" w:before="280"/>
      </w:pPr>
      <w:r>
        <w:rPr>
          <w:rFonts w:ascii="Arial" w:cs="Arial" w:eastAsia="Arial" w:hAnsi="Arial"/>
          <w:b/>
          <w:bCs/>
          <w:color w:val="0049A6"/>
          <w:sz w:val="32"/>
          <w:szCs w:val="32"/>
        </w:rPr>
        <w:t xml:space="preserve">4. Roadmap to MVP</w:t>
      </w:r>
    </w:p>
    <w:p>
      <w:pPr>
        <w:pBdr>
          <w:bottom w:val="single" w:color="0049A6" w:sz="6" w:space="1"/>
        </w:pBdr>
        <w:spacing w:after="0" w:before="0"/>
      </w:pPr>
    </w:p>
    <w:p>
      <w:pPr>
        <w:spacing w:after="0" w:before="120"/>
      </w:pPr>
      <w:r>
        <w:t xml:space="preserve"/>
      </w:r>
    </w:p>
    <w:p>
      <w:pPr>
        <w:spacing w:after="60" w:before="60"/>
      </w:pPr>
      <w:r>
        <w:rPr>
          <w:rFonts w:ascii="Arial" w:cs="Arial" w:eastAsia="Arial" w:hAnsi="Arial"/>
          <w:sz w:val="22"/>
          <w:szCs w:val="22"/>
        </w:rPr>
        <w:t xml:space="preserve">The roadmap below describes the path from zero to a production-grade platform ready for Pfizer partnership, structured as five phases with concrete milestones and measurable deliverables.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c>
          <w:tcPr>
            <w:tcW w:type="dxa" w:w="1500"/>
            <w:tcBorders>
              <w:top w:val="single" w:color="D1D5DB" w:sz="1"/>
              <w:left w:val="single" w:color="D1D5DB" w:sz="1"/>
              <w:bottom w:val="single" w:color="D1D5DB" w:sz="1"/>
              <w:right w:val="single" w:color="D1D5DB" w:sz="1"/>
            </w:tcBorders>
            <w:shd w:fill="0049A6" w:val="clear"/>
            <w:tcMar>
              <w:top w:type="dxa" w:w="100"/>
              <w:left w:type="dxa" w:w="120"/>
              <w:bottom w:type="dxa" w:w="100"/>
              <w:right w:type="dxa" w:w="120"/>
            </w:tcMar>
          </w:tcPr>
          <w:p>
            <w:r>
              <w:rPr>
                <w:rFonts w:ascii="Arial" w:cs="Arial" w:eastAsia="Arial" w:hAnsi="Arial"/>
                <w:b/>
                <w:bCs/>
                <w:color w:val="FFFFFF"/>
                <w:sz w:val="19"/>
                <w:szCs w:val="19"/>
              </w:rPr>
              <w:t xml:space="preserve">Phase</w:t>
            </w:r>
          </w:p>
        </w:tc>
        <w:tc>
          <w:tcPr>
            <w:tcW w:type="dxa" w:w="1700"/>
            <w:tcBorders>
              <w:top w:val="single" w:color="D1D5DB" w:sz="1"/>
              <w:left w:val="single" w:color="D1D5DB" w:sz="1"/>
              <w:bottom w:val="single" w:color="D1D5DB" w:sz="1"/>
              <w:right w:val="single" w:color="D1D5DB" w:sz="1"/>
            </w:tcBorders>
            <w:shd w:fill="0049A6" w:val="clear"/>
            <w:tcMar>
              <w:top w:type="dxa" w:w="100"/>
              <w:left w:type="dxa" w:w="120"/>
              <w:bottom w:type="dxa" w:w="100"/>
              <w:right w:type="dxa" w:w="120"/>
            </w:tcMar>
          </w:tcPr>
          <w:p>
            <w:r>
              <w:rPr>
                <w:rFonts w:ascii="Arial" w:cs="Arial" w:eastAsia="Arial" w:hAnsi="Arial"/>
                <w:b/>
                <w:bCs/>
                <w:color w:val="FFFFFF"/>
                <w:sz w:val="19"/>
                <w:szCs w:val="19"/>
              </w:rPr>
              <w:t xml:space="preserve">Timeline</w:t>
            </w:r>
          </w:p>
        </w:tc>
        <w:tc>
          <w:tcPr>
            <w:tcW w:type="dxa" w:w="6160"/>
            <w:tcBorders>
              <w:top w:val="single" w:color="D1D5DB" w:sz="1"/>
              <w:left w:val="single" w:color="D1D5DB" w:sz="1"/>
              <w:bottom w:val="single" w:color="D1D5DB" w:sz="1"/>
              <w:right w:val="single" w:color="D1D5DB" w:sz="1"/>
            </w:tcBorders>
            <w:shd w:fill="0049A6" w:val="clear"/>
            <w:tcMar>
              <w:top w:type="dxa" w:w="100"/>
              <w:left w:type="dxa" w:w="120"/>
              <w:bottom w:type="dxa" w:w="100"/>
              <w:right w:type="dxa" w:w="120"/>
            </w:tcMar>
          </w:tcPr>
          <w:p>
            <w:r>
              <w:rPr>
                <w:rFonts w:ascii="Arial" w:cs="Arial" w:eastAsia="Arial" w:hAnsi="Arial"/>
                <w:b/>
                <w:bCs/>
                <w:color w:val="FFFFFF"/>
                <w:sz w:val="19"/>
                <w:szCs w:val="19"/>
              </w:rPr>
              <w:t xml:space="preserve">Key Milestones and Deliverables</w:t>
            </w:r>
          </w:p>
        </w:tc>
      </w:tr>
      <w:tr>
        <w:tc>
          <w:tcPr>
            <w:tcW w:type="dxa" w:w="15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color w:val="1A1A2E"/>
                <w:sz w:val="18"/>
                <w:szCs w:val="18"/>
              </w:rPr>
              <w:t xml:space="preserve">0 — Foundation</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color w:val="1A1A2E"/>
                <w:sz w:val="18"/>
                <w:szCs w:val="18"/>
              </w:rPr>
              <w:t xml:space="preserve">Weeks 1-2</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color w:val="1A1A2E"/>
                <w:sz w:val="18"/>
                <w:szCs w:val="18"/>
              </w:rPr>
              <w:t xml:space="preserve">Set up monorepo (React + FastAPI). Implement Linkup SDK integration with three parallel queries. Build core matching pipeline: patient intake form, Linkup search, Claude ranking, structured JSON response. Deploy basic results page with ranked trial cards. Validate with real patient profiles for three conditions (NSCLC, breast cancer, Crohn's disease).</w:t>
            </w:r>
          </w:p>
        </w:tc>
      </w:tr>
      <w:tr>
        <w:tc>
          <w:tcPr>
            <w:tcW w:type="dxa" w:w="15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color w:val="1A1A2E"/>
                <w:sz w:val="18"/>
                <w:szCs w:val="18"/>
              </w:rPr>
              <w:t xml:space="preserve">1 — Core MVP</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color w:val="1A1A2E"/>
                <w:sz w:val="18"/>
                <w:szCs w:val="18"/>
              </w:rPr>
              <w:t xml:space="preserve">Weeks 3-4</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color w:val="1A1A2E"/>
                <w:sz w:val="18"/>
                <w:szCs w:val="18"/>
              </w:rPr>
              <w:t xml:space="preserve">Add biomarker tag input and LLM biomarker weighting. Build trust score breakdown (eligibility/location/therapy axis scores with source citations). Implement excluded trials panel. Add ClinicalTrials.gov free API fallback for sparse conditions. Launch in-memory caching layer (SHA-256 keyed, 1-hour TTL) to protect API budget. Add JWT auth and multi-profile caregiver support.</w:t>
            </w:r>
          </w:p>
        </w:tc>
      </w:tr>
      <w:tr>
        <w:tc>
          <w:tcPr>
            <w:tcW w:type="dxa" w:w="15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color w:val="1A1A2E"/>
                <w:sz w:val="18"/>
                <w:szCs w:val="18"/>
              </w:rPr>
              <w:t xml:space="preserve">2 — Retention Layer</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color w:val="1A1A2E"/>
                <w:sz w:val="18"/>
                <w:szCs w:val="18"/>
              </w:rPr>
              <w:t xml:space="preserve">Month 2</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color w:val="1A1A2E"/>
                <w:sz w:val="18"/>
                <w:szCs w:val="18"/>
              </w:rPr>
              <w:t xml:space="preserve">Implement watchlist: save trials per profile, nightly ClinicalTrials.gov status re-fetch, email alerts on status changes (Resend API). Build washout calculator: LLM extracts washout weeks from eligibility text, compute earliest enrollment date from patient's last treatment date. Add rate limiting (10 requests/minute/IP) to protect Linkup budget.</w:t>
            </w:r>
          </w:p>
        </w:tc>
      </w:tr>
      <w:tr>
        <w:tc>
          <w:tcPr>
            <w:tcW w:type="dxa" w:w="15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color w:val="1A1A2E"/>
                <w:sz w:val="18"/>
                <w:szCs w:val="18"/>
              </w:rPr>
              <w:t xml:space="preserve">3 — Clinical Validation</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color w:val="1A1A2E"/>
                <w:sz w:val="18"/>
                <w:szCs w:val="18"/>
              </w:rPr>
              <w:t xml:space="preserve">Months 3-5</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color w:val="1A1A2E"/>
                <w:sz w:val="18"/>
                <w:szCs w:val="18"/>
              </w:rPr>
              <w:t xml:space="preserve">Partner with 2-3 academic medical centers to validate matching accuracy against manual clinical review. Target: 85% or more of trials in oncologist shortlist also appear in TrialFinder top 5. IRB-exempt user research with 20 or more patients. Establish clinical advisory board (oncologist, rare disease specialist, patient advocate). Publish internal validation report.</w:t>
            </w:r>
          </w:p>
        </w:tc>
      </w:tr>
      <w:tr>
        <w:tc>
          <w:tcPr>
            <w:tcW w:type="dxa" w:w="15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color w:val="1A1A2E"/>
                <w:sz w:val="18"/>
                <w:szCs w:val="18"/>
              </w:rPr>
              <w:t xml:space="preserve">4 — Pfizer Integration</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color w:val="1A1A2E"/>
                <w:sz w:val="18"/>
                <w:szCs w:val="18"/>
              </w:rPr>
              <w:t xml:space="preserve">Months 5-8</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color w:val="1A1A2E"/>
                <w:sz w:val="18"/>
                <w:szCs w:val="18"/>
              </w:rPr>
              <w:t xml:space="preserve">Ingest Pfizer trial metadata via ClinicalTrials.gov API feed. Build Pfizer-branded trial cards with direct study coordinator contact flow. Pilot with one active Pfizer Phase II/III oncology or rare disease trial. Measure screen failure rate reduction vs. historical baseline. Launch analytics dashboard for Pfizer trial teams: search volume by condition, biomarker, and location.</w:t>
            </w:r>
          </w:p>
        </w:tc>
      </w:tr>
      <w:tr>
        <w:tc>
          <w:tcPr>
            <w:tcW w:type="dxa" w:w="15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color w:val="1A1A2E"/>
                <w:sz w:val="18"/>
                <w:szCs w:val="18"/>
              </w:rPr>
              <w:t xml:space="preserve">5 — Scale</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color w:val="1A1A2E"/>
                <w:sz w:val="18"/>
                <w:szCs w:val="18"/>
              </w:rPr>
              <w:t xml:space="preserve">Year 2</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color w:val="1A1A2E"/>
                <w:sz w:val="18"/>
                <w:szCs w:val="18"/>
              </w:rPr>
              <w:t xml:space="preserve">B2B API for hospital EHR integration (FHIR-compatible patient profile import). Expand to EU CTR and WHO ICTRP for global trial coverage. Multilingual support (Spanish, Mandarin, Portuguese). ICD-10 code extraction from uploaded pathology reports. Protocol amendment recommendations surfaced from TrialFinder search data to Pfizer trial designers.</w:t>
            </w:r>
          </w:p>
        </w:tc>
      </w:tr>
    </w:tbl>
    <w:p>
      <w:pPr>
        <w:spacing w:after="0" w:before="160"/>
      </w:pPr>
      <w:r>
        <w:t xml:space="preserve"/>
      </w:r>
    </w:p>
    <w:p>
      <w:pPr>
        <w:pStyle w:val="Heading2"/>
        <w:spacing w:after="80" w:before="240"/>
      </w:pPr>
      <w:r>
        <w:rPr>
          <w:rFonts w:ascii="Arial" w:cs="Arial" w:eastAsia="Arial" w:hAnsi="Arial"/>
          <w:b/>
          <w:bCs/>
          <w:color w:val="0049A6"/>
          <w:sz w:val="26"/>
          <w:szCs w:val="26"/>
        </w:rPr>
        <w:t xml:space="preserve">Why This Roadmap Is Achievable</w:t>
      </w:r>
    </w:p>
    <w:p>
      <w:pPr>
        <w:spacing w:after="60" w:before="60"/>
      </w:pPr>
      <w:r>
        <w:rPr>
          <w:rFonts w:ascii="Arial" w:cs="Arial" w:eastAsia="Arial" w:hAnsi="Arial"/>
          <w:sz w:val="22"/>
          <w:szCs w:val="22"/>
        </w:rPr>
        <w:t xml:space="preserve">Each component of TrialFinder uses well-documented, production-tested technologies with clear integration paths:</w:t>
      </w:r>
    </w:p>
    <w:p>
      <w:pPr>
        <w:pStyle w:val="ListParagraph"/>
        <w:numPr>
          <w:ilvl w:val="0"/>
          <w:numId w:val="2"/>
        </w:numPr>
        <w:spacing w:after="50" w:before="50"/>
      </w:pPr>
      <w:r>
        <w:rPr>
          <w:rFonts w:ascii="Arial" w:cs="Arial" w:eastAsia="Arial" w:hAnsi="Arial"/>
          <w:b w:val="false"/>
          <w:bCs w:val="false"/>
          <w:sz w:val="22"/>
          <w:szCs w:val="22"/>
        </w:rPr>
        <w:t xml:space="preserve">The Linkup SDK is a simple Python client with a single search method — three parallel async calls can be wired in a day</w:t>
      </w:r>
    </w:p>
    <w:p>
      <w:pPr>
        <w:pStyle w:val="ListParagraph"/>
        <w:numPr>
          <w:ilvl w:val="0"/>
          <w:numId w:val="2"/>
        </w:numPr>
        <w:spacing w:after="50" w:before="50"/>
      </w:pPr>
      <w:r>
        <w:rPr>
          <w:rFonts w:ascii="Arial" w:cs="Arial" w:eastAsia="Arial" w:hAnsi="Arial"/>
          <w:b w:val="false"/>
          <w:bCs w:val="false"/>
          <w:sz w:val="22"/>
          <w:szCs w:val="22"/>
        </w:rPr>
        <w:t xml:space="preserve">The Anthropic Python SDK produces structured JSON output with reliable prompting — the ranking pipeline is a known, solvable engineering problem</w:t>
      </w:r>
    </w:p>
    <w:p>
      <w:pPr>
        <w:pStyle w:val="ListParagraph"/>
        <w:numPr>
          <w:ilvl w:val="0"/>
          <w:numId w:val="2"/>
        </w:numPr>
        <w:spacing w:after="50" w:before="50"/>
      </w:pPr>
      <w:r>
        <w:rPr>
          <w:rFonts w:ascii="Arial" w:cs="Arial" w:eastAsia="Arial" w:hAnsi="Arial"/>
          <w:b w:val="false"/>
          <w:bCs w:val="false"/>
          <w:sz w:val="22"/>
          <w:szCs w:val="22"/>
        </w:rPr>
        <w:t xml:space="preserve">ClinicalTrials.gov v2 API is free, requires no key, and returns structured study data — the fallback layer has no dependencies</w:t>
      </w:r>
    </w:p>
    <w:p>
      <w:pPr>
        <w:pStyle w:val="ListParagraph"/>
        <w:numPr>
          <w:ilvl w:val="0"/>
          <w:numId w:val="2"/>
        </w:numPr>
        <w:spacing w:after="50" w:before="50"/>
      </w:pPr>
      <w:r>
        <w:rPr>
          <w:rFonts w:ascii="Arial" w:cs="Arial" w:eastAsia="Arial" w:hAnsi="Arial"/>
          <w:b w:val="false"/>
          <w:bCs w:val="false"/>
          <w:sz w:val="22"/>
          <w:szCs w:val="22"/>
        </w:rPr>
        <w:t xml:space="preserve">FastAPI's async architecture handles concurrent Linkup queries natively without additional infrastructure</w:t>
      </w:r>
    </w:p>
    <w:p>
      <w:pPr>
        <w:pStyle w:val="ListParagraph"/>
        <w:numPr>
          <w:ilvl w:val="0"/>
          <w:numId w:val="2"/>
        </w:numPr>
        <w:spacing w:after="50" w:before="50"/>
      </w:pPr>
      <w:r>
        <w:rPr>
          <w:rFonts w:ascii="Arial" w:cs="Arial" w:eastAsia="Arial" w:hAnsi="Arial"/>
          <w:b w:val="false"/>
          <w:bCs w:val="false"/>
          <w:sz w:val="22"/>
          <w:szCs w:val="22"/>
        </w:rPr>
        <w:t xml:space="preserve">SQLAlchemy + SQLite covers MVP persistence; upgrading to PostgreSQL for production requires only a DATABASE_URL change</w:t>
      </w:r>
    </w:p>
    <w:p>
      <w:pPr>
        <w:sectPr>
          <w:pgSz w:w="12240" w:h="15840" w:orient="portrait"/>
          <w:pgMar w:top="1440" w:right="1440" w:bottom="1440" w:left="1440" w:header="708" w:footer="708" w:gutter="0"/>
          <w:pgNumType/>
          <w:docGrid w:linePitch="360"/>
        </w:sectPr>
      </w:pPr>
    </w:p>
    <w:p>
      <w:pPr>
        <w:pStyle w:val="Heading1"/>
        <w:spacing w:after="100" w:before="280"/>
      </w:pPr>
      <w:r>
        <w:rPr>
          <w:rFonts w:ascii="Arial" w:cs="Arial" w:eastAsia="Arial" w:hAnsi="Arial"/>
          <w:b/>
          <w:bCs/>
          <w:color w:val="0049A6"/>
          <w:sz w:val="32"/>
          <w:szCs w:val="32"/>
        </w:rPr>
        <w:t xml:space="preserve">5. Key Challenges and Proposed Mitigations</w:t>
      </w:r>
    </w:p>
    <w:p>
      <w:pPr>
        <w:pBdr>
          <w:bottom w:val="single" w:color="0049A6" w:sz="6" w:space="1"/>
        </w:pBdr>
        <w:spacing w:after="0" w:before="0"/>
      </w:pPr>
    </w:p>
    <w:p>
      <w:pPr>
        <w:spacing w:after="0" w:before="120"/>
      </w:pPr>
      <w:r>
        <w:t xml:space="preserve"/>
      </w:r>
    </w:p>
    <w:p>
      <w:pPr>
        <w:spacing w:after="60" w:before="60"/>
      </w:pPr>
      <w:r>
        <w:rPr>
          <w:rFonts w:ascii="Arial" w:cs="Arial" w:eastAsia="Arial" w:hAnsi="Arial"/>
          <w:sz w:val="22"/>
          <w:szCs w:val="22"/>
        </w:rPr>
        <w:t xml:space="preserve">We have identified five significant challenges to TrialFinder's implementation and have designed specific mitigations into the architecture from the outset.</w:t>
      </w:r>
    </w:p>
    <w:p>
      <w:pPr>
        <w:spacing w:after="0" w:before="120"/>
      </w:pPr>
      <w:r>
        <w:t xml:space="preserve"/>
      </w:r>
    </w:p>
    <w:p>
      <w:pPr>
        <w:pStyle w:val="Heading3"/>
        <w:spacing w:after="60" w:before="180"/>
      </w:pPr>
      <w:r>
        <w:rPr>
          <w:rFonts w:ascii="Arial" w:cs="Arial" w:eastAsia="Arial" w:hAnsi="Arial"/>
          <w:b/>
          <w:bCs/>
          <w:color w:val="1A1A2E"/>
          <w:sz w:val="22"/>
          <w:szCs w:val="22"/>
        </w:rPr>
        <w:t xml:space="preserve">5.1  Regulatory Classification</w:t>
      </w:r>
    </w:p>
    <w:p>
      <w:pPr>
        <w:spacing w:after="60" w:before="60"/>
      </w:pPr>
      <w:r>
        <w:rPr>
          <w:rFonts w:ascii="Arial" w:cs="Arial" w:eastAsia="Arial" w:hAnsi="Arial"/>
          <w:sz w:val="22"/>
          <w:szCs w:val="22"/>
        </w:rPr>
        <w:t xml:space="preserve">Challenge: The FDA's Digital Health Center of Excellence has not issued final guidance on AI trial-matching tools. If TrialFinder's recommendations are classified as clinical decision support software that influences individual treatment decisions, FDA 510(k) clearance could be required before public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40"/>
              <w:left w:type="dxa" w:w="200"/>
              <w:bottom w:type="dxa" w:w="140"/>
              <w:right w:type="dxa" w:w="200"/>
            </w:tcMar>
          </w:tcPr>
          <w:p>
            <w:pPr>
              <w:spacing w:after="0" w:before="0"/>
            </w:pPr>
            <w:r>
              <w:rPr>
                <w:rFonts w:ascii="Arial" w:cs="Arial" w:eastAsia="Arial" w:hAnsi="Arial"/>
                <w:b/>
                <w:bCs/>
                <w:color w:val="B45309"/>
                <w:sz w:val="21"/>
                <w:szCs w:val="21"/>
              </w:rPr>
              <w:t xml:space="preserve">Mitigation: </w:t>
            </w:r>
            <w:r>
              <w:rPr>
                <w:rFonts w:ascii="Arial" w:cs="Arial" w:eastAsia="Arial" w:hAnsi="Arial"/>
                <w:color w:val="1A1A2E"/>
                <w:sz w:val="21"/>
                <w:szCs w:val="21"/>
              </w:rPr>
              <w:t xml:space="preserve">TrialFinder will be positioned as an informational research tool, not a clinical recommendation engine. A mandatory disclaimer will appear on every results page. The product will explicitly instruct users to consult a physician before making any enrollment decision. We will target the patient education software exemption under the 21st Century Cures Act. During the Pfizer partnership phase, Pfizer's regulatory team will guide classification and advise on any 510(k) requirements.</w:t>
            </w:r>
          </w:p>
        </w:tc>
      </w:tr>
    </w:tbl>
    <w:p>
      <w:pPr>
        <w:spacing w:after="0" w:before="120"/>
      </w:pPr>
      <w:r>
        <w:t xml:space="preserve"/>
      </w:r>
    </w:p>
    <w:p>
      <w:pPr>
        <w:pStyle w:val="Heading3"/>
        <w:spacing w:after="60" w:before="180"/>
      </w:pPr>
      <w:r>
        <w:rPr>
          <w:rFonts w:ascii="Arial" w:cs="Arial" w:eastAsia="Arial" w:hAnsi="Arial"/>
          <w:b/>
          <w:bCs/>
          <w:color w:val="1A1A2E"/>
          <w:sz w:val="22"/>
          <w:szCs w:val="22"/>
        </w:rPr>
        <w:t xml:space="preserve">5.2  LLM Hallucination and Data Accuracy</w:t>
      </w:r>
    </w:p>
    <w:p>
      <w:pPr>
        <w:spacing w:after="60" w:before="60"/>
      </w:pPr>
      <w:r>
        <w:rPr>
          <w:rFonts w:ascii="Arial" w:cs="Arial" w:eastAsia="Arial" w:hAnsi="Arial"/>
          <w:sz w:val="22"/>
          <w:szCs w:val="22"/>
        </w:rPr>
        <w:t xml:space="preserve">Challenge: Large language models can generate plausible-sounding but incorrect eligibility criteria, or fabricate NCT IDs that do not exist. Erroneous information in a medical context can cause direct patient harm if patients act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40"/>
              <w:left w:type="dxa" w:w="200"/>
              <w:bottom w:type="dxa" w:w="140"/>
              <w:right w:type="dxa" w:w="200"/>
            </w:tcMar>
          </w:tcPr>
          <w:p>
            <w:pPr>
              <w:spacing w:after="0" w:before="0"/>
            </w:pPr>
            <w:r>
              <w:rPr>
                <w:rFonts w:ascii="Arial" w:cs="Arial" w:eastAsia="Arial" w:hAnsi="Arial"/>
                <w:b/>
                <w:bCs/>
                <w:color w:val="B45309"/>
                <w:sz w:val="21"/>
                <w:szCs w:val="21"/>
              </w:rPr>
              <w:t xml:space="preserve">Mitigation: </w:t>
            </w:r>
            <w:r>
              <w:rPr>
                <w:rFonts w:ascii="Arial" w:cs="Arial" w:eastAsia="Arial" w:hAnsi="Arial"/>
                <w:color w:val="1A1A2E"/>
                <w:sz w:val="21"/>
                <w:szCs w:val="21"/>
              </w:rPr>
              <w:t xml:space="preserve">The AI model will extract and reason over sourced data — it will not generate trial information from scratch. All trial content will trace back to ClinicalTrials.gov or Linkup-indexed sources. NCT IDs will be validated by regex before display and rejected if malformed. The trust score breakdown will surface citation URLs so patients can verify any claim. No trial will be shown without a verified source link.</w:t>
            </w:r>
          </w:p>
        </w:tc>
      </w:tr>
    </w:tbl>
    <w:p>
      <w:pPr>
        <w:spacing w:after="0" w:before="120"/>
      </w:pPr>
      <w:r>
        <w:t xml:space="preserve"/>
      </w:r>
    </w:p>
    <w:p>
      <w:pPr>
        <w:pStyle w:val="Heading3"/>
        <w:spacing w:after="60" w:before="180"/>
      </w:pPr>
      <w:r>
        <w:rPr>
          <w:rFonts w:ascii="Arial" w:cs="Arial" w:eastAsia="Arial" w:hAnsi="Arial"/>
          <w:b/>
          <w:bCs/>
          <w:color w:val="1A1A2E"/>
          <w:sz w:val="22"/>
          <w:szCs w:val="22"/>
        </w:rPr>
        <w:t xml:space="preserve">5.3  Privacy and HIPAA Compliance</w:t>
      </w:r>
    </w:p>
    <w:p>
      <w:pPr>
        <w:spacing w:after="60" w:before="60"/>
      </w:pPr>
      <w:r>
        <w:rPr>
          <w:rFonts w:ascii="Arial" w:cs="Arial" w:eastAsia="Arial" w:hAnsi="Arial"/>
          <w:sz w:val="22"/>
          <w:szCs w:val="22"/>
        </w:rPr>
        <w:t xml:space="preserve">Challenge: Patients entering their diagnosis, biomarkers, and medications into a web form are submitting protected health information. A HIPAA breach would expose both patients and Pfizer to significant regulatory and reputational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40"/>
              <w:left w:type="dxa" w:w="200"/>
              <w:bottom w:type="dxa" w:w="140"/>
              <w:right w:type="dxa" w:w="200"/>
            </w:tcMar>
          </w:tcPr>
          <w:p>
            <w:pPr>
              <w:spacing w:after="0" w:before="0"/>
            </w:pPr>
            <w:r>
              <w:rPr>
                <w:rFonts w:ascii="Arial" w:cs="Arial" w:eastAsia="Arial" w:hAnsi="Arial"/>
                <w:b/>
                <w:bCs/>
                <w:color w:val="B45309"/>
                <w:sz w:val="21"/>
                <w:szCs w:val="21"/>
              </w:rPr>
              <w:t xml:space="preserve">Mitigation: </w:t>
            </w:r>
            <w:r>
              <w:rPr>
                <w:rFonts w:ascii="Arial" w:cs="Arial" w:eastAsia="Arial" w:hAnsi="Arial"/>
                <w:color w:val="1A1A2E"/>
                <w:sz w:val="21"/>
                <w:szCs w:val="21"/>
              </w:rPr>
              <w:t xml:space="preserve">The MVP will use session-scoped caching only — patient inputs will not be persisted to a database beyond a 1-hour anonymous cache keyed by a hash, not by identity. Watchlist features (which require persistence) will be implemented only after engaging a HIPAA compliance consultant, establishing a BAA with the cloud provider, and implementing encryption at rest and in transit. De-identification will be enforced before any analytics are generated.</w:t>
            </w:r>
          </w:p>
        </w:tc>
      </w:tr>
    </w:tbl>
    <w:p>
      <w:pPr>
        <w:spacing w:after="0" w:before="120"/>
      </w:pPr>
      <w:r>
        <w:t xml:space="preserve"/>
      </w:r>
    </w:p>
    <w:p>
      <w:pPr>
        <w:pStyle w:val="Heading3"/>
        <w:spacing w:after="60" w:before="180"/>
      </w:pPr>
      <w:r>
        <w:rPr>
          <w:rFonts w:ascii="Arial" w:cs="Arial" w:eastAsia="Arial" w:hAnsi="Arial"/>
          <w:b/>
          <w:bCs/>
          <w:color w:val="1A1A2E"/>
          <w:sz w:val="22"/>
          <w:szCs w:val="22"/>
        </w:rPr>
        <w:t xml:space="preserve">5.4  Trial Data Freshness</w:t>
      </w:r>
    </w:p>
    <w:p>
      <w:pPr>
        <w:spacing w:after="60" w:before="60"/>
      </w:pPr>
      <w:r>
        <w:rPr>
          <w:rFonts w:ascii="Arial" w:cs="Arial" w:eastAsia="Arial" w:hAnsi="Arial"/>
          <w:sz w:val="22"/>
          <w:szCs w:val="22"/>
        </w:rPr>
        <w:t xml:space="preserve">Challenge: ClinicalTrials.gov enrollment status changes (a site drops out, a trial pauses recruitment) can happen faster than search index updates. A patient could be matched to and contact a trial that has since stopped recruiting, creating a frustrating and potentially distressing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40"/>
              <w:left w:type="dxa" w:w="200"/>
              <w:bottom w:type="dxa" w:w="140"/>
              <w:right w:type="dxa" w:w="200"/>
            </w:tcMar>
          </w:tcPr>
          <w:p>
            <w:pPr>
              <w:spacing w:after="0" w:before="0"/>
            </w:pPr>
            <w:r>
              <w:rPr>
                <w:rFonts w:ascii="Arial" w:cs="Arial" w:eastAsia="Arial" w:hAnsi="Arial"/>
                <w:b/>
                <w:bCs/>
                <w:color w:val="B45309"/>
                <w:sz w:val="21"/>
                <w:szCs w:val="21"/>
              </w:rPr>
              <w:t xml:space="preserve">Mitigation: </w:t>
            </w:r>
            <w:r>
              <w:rPr>
                <w:rFonts w:ascii="Arial" w:cs="Arial" w:eastAsia="Arial" w:hAnsi="Arial"/>
                <w:color w:val="1A1A2E"/>
                <w:sz w:val="21"/>
                <w:szCs w:val="21"/>
              </w:rPr>
              <w:t xml:space="preserve">The watchlist nightly job will re-fetch each saved trial's live status directly from the ClinicalTrials.gov API (free, no Linkup spend) and email users immediately when status changes. Trial cards will display the CT.gov last-updated timestamp and a direct "Verify current status" link to the live listing. In the Pfizer partnership phase, we would consume Pfizer's internal trial status feed for real-time accuracy on Pfizer-sponsored trials.</w:t>
            </w:r>
          </w:p>
        </w:tc>
      </w:tr>
    </w:tbl>
    <w:p>
      <w:pPr>
        <w:spacing w:after="0" w:before="120"/>
      </w:pPr>
      <w:r>
        <w:t xml:space="preserve"/>
      </w:r>
    </w:p>
    <w:p>
      <w:pPr>
        <w:pStyle w:val="Heading3"/>
        <w:spacing w:after="60" w:before="180"/>
      </w:pPr>
      <w:r>
        <w:rPr>
          <w:rFonts w:ascii="Arial" w:cs="Arial" w:eastAsia="Arial" w:hAnsi="Arial"/>
          <w:b/>
          <w:bCs/>
          <w:color w:val="1A1A2E"/>
          <w:sz w:val="22"/>
          <w:szCs w:val="22"/>
        </w:rPr>
        <w:t xml:space="preserve">5.5  API Cost at Scale</w:t>
      </w:r>
    </w:p>
    <w:p>
      <w:pPr>
        <w:spacing w:after="60" w:before="60"/>
      </w:pPr>
      <w:r>
        <w:rPr>
          <w:rFonts w:ascii="Arial" w:cs="Arial" w:eastAsia="Arial" w:hAnsi="Arial"/>
          <w:sz w:val="22"/>
          <w:szCs w:val="22"/>
        </w:rPr>
        <w:t xml:space="preserve">Challenge: At three Linkup queries plus one Claude API call per search, the estimated cost is $0.10-0.20 per user search. At meaningful scale — 10,000 searches per day — this represents $1,000-2,000 per day in variable API costs before any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40"/>
              <w:left w:type="dxa" w:w="200"/>
              <w:bottom w:type="dxa" w:w="140"/>
              <w:right w:type="dxa" w:w="200"/>
            </w:tcMar>
          </w:tcPr>
          <w:p>
            <w:pPr>
              <w:spacing w:after="0" w:before="0"/>
            </w:pPr>
            <w:r>
              <w:rPr>
                <w:rFonts w:ascii="Arial" w:cs="Arial" w:eastAsia="Arial" w:hAnsi="Arial"/>
                <w:b/>
                <w:bCs/>
                <w:color w:val="B45309"/>
                <w:sz w:val="21"/>
                <w:szCs w:val="21"/>
              </w:rPr>
              <w:t xml:space="preserve">Mitigation: </w:t>
            </w:r>
            <w:r>
              <w:rPr>
                <w:rFonts w:ascii="Arial" w:cs="Arial" w:eastAsia="Arial" w:hAnsi="Arial"/>
                <w:color w:val="1A1A2E"/>
                <w:sz w:val="21"/>
                <w:szCs w:val="21"/>
              </w:rPr>
              <w:t xml:space="preserve">An in-memory cache layer will handle an estimated 70-85% of repeat searches at zero marginal cost, keyed by a SHA-256 hash of the patient's condition, location, and treatment history. At scale, this would move to Redis with nightly pre-computation for the 200 most common conditions. Enterprise Pfizer integration would use Pfizer's existing Anthropic enterprise contract, eliminating variable LLM costs for Pfizer-sponsored searches. The free ClinicalTrials.gov API fallback ensures baseline coverage with no API spend.</w:t>
            </w:r>
          </w:p>
        </w:tc>
      </w:tr>
    </w:tbl>
    <w:p>
      <w:pPr>
        <w:sectPr>
          <w:pgSz w:w="12240" w:h="15840" w:orient="portrait"/>
          <w:pgMar w:top="1440" w:right="1440" w:bottom="1440" w:left="1440" w:header="708" w:footer="708" w:gutter="0"/>
          <w:pgNumType/>
          <w:docGrid w:linePitch="360"/>
        </w:sectPr>
      </w:pPr>
    </w:p>
    <w:p>
      <w:pPr>
        <w:pStyle w:val="Heading1"/>
        <w:spacing w:after="100" w:before="280"/>
      </w:pPr>
      <w:r>
        <w:rPr>
          <w:rFonts w:ascii="Arial" w:cs="Arial" w:eastAsia="Arial" w:hAnsi="Arial"/>
          <w:b/>
          <w:bCs/>
          <w:color w:val="0049A6"/>
          <w:sz w:val="32"/>
          <w:szCs w:val="32"/>
        </w:rPr>
        <w:t xml:space="preserve">6. Expected Outcomes</w:t>
      </w:r>
    </w:p>
    <w:p>
      <w:pPr>
        <w:pBdr>
          <w:bottom w:val="single" w:color="0049A6" w:sz="6" w:space="1"/>
        </w:pBdr>
        <w:spacing w:after="0" w:before="0"/>
      </w:pPr>
    </w:p>
    <w:p>
      <w:pPr>
        <w:spacing w:after="0" w:before="120"/>
      </w:pPr>
      <w:r>
        <w:t xml:space="preserve"/>
      </w:r>
    </w:p>
    <w:p>
      <w:pPr>
        <w:pStyle w:val="Heading2"/>
        <w:spacing w:after="80" w:before="240"/>
      </w:pPr>
      <w:r>
        <w:rPr>
          <w:rFonts w:ascii="Arial" w:cs="Arial" w:eastAsia="Arial" w:hAnsi="Arial"/>
          <w:b/>
          <w:bCs/>
          <w:color w:val="0049A6"/>
          <w:sz w:val="26"/>
          <w:szCs w:val="26"/>
        </w:rPr>
        <w:t xml:space="preserve">6.1  Patient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049A6"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6560"/>
            <w:tcBorders>
              <w:top w:val="single" w:color="D1D5DB" w:sz="1"/>
              <w:left w:val="single" w:color="D1D5DB" w:sz="1"/>
              <w:bottom w:val="single" w:color="D1D5DB" w:sz="1"/>
              <w:right w:val="single" w:color="D1D5DB" w:sz="1"/>
            </w:tcBorders>
            <w:shd w:fill="0049A6" w:val="clear"/>
            <w:tcMar>
              <w:top w:type="dxa" w:w="100"/>
              <w:left w:type="dxa" w:w="140"/>
              <w:bottom w:type="dxa" w:w="100"/>
              <w:right w:type="dxa" w:w="140"/>
            </w:tcMar>
          </w:tcPr>
          <w:p>
            <w:r>
              <w:rPr>
                <w:rFonts w:ascii="Arial" w:cs="Arial" w:eastAsia="Arial" w:hAnsi="Arial"/>
                <w:b/>
                <w:bCs/>
                <w:color w:val="FFFFFF"/>
                <w:sz w:val="20"/>
                <w:szCs w:val="20"/>
              </w:rPr>
              <w:t xml:space="preserve">Expected Impact</w:t>
            </w:r>
          </w:p>
        </w:tc>
      </w:tr>
      <w:tr>
        <w:tc>
          <w:tcPr>
            <w:tcW w:type="dxa" w:w="28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Time to trial discovery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30-50% reduction vs. unaided ClinicalTrials.gov search (from hours to minutes)</w:t>
            </w:r>
          </w:p>
        </w:tc>
      </w:tr>
      <w:tr>
        <w:tc>
          <w:tcPr>
            <w:tcW w:type="dxa" w:w="28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Trials found per session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3 or more relevant trials per patient vs. 0-1 with unguided search</w:t>
            </w:r>
          </w:p>
        </w:tc>
      </w:tr>
      <w:tr>
        <w:tc>
          <w:tcPr>
            <w:tcW w:type="dxa" w:w="28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Enrollment intent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25% increase among patients who receive a personalized match vs. generic search (target for validation study)</w:t>
            </w:r>
          </w:p>
        </w:tc>
      </w:tr>
      <w:tr>
        <w:tc>
          <w:tcPr>
            <w:tcW w:type="dxa" w:w="28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Health equity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Patients without specialist access and family caregivers navigate the trial ecosystem independently for the first time</w:t>
            </w:r>
          </w:p>
        </w:tc>
      </w:tr>
    </w:tbl>
    <w:p>
      <w:pPr>
        <w:spacing w:after="0" w:before="160"/>
      </w:pPr>
      <w:r>
        <w:t xml:space="preserve"/>
      </w:r>
    </w:p>
    <w:p>
      <w:pPr>
        <w:pStyle w:val="Heading2"/>
        <w:spacing w:after="80" w:before="240"/>
      </w:pPr>
      <w:r>
        <w:rPr>
          <w:rFonts w:ascii="Arial" w:cs="Arial" w:eastAsia="Arial" w:hAnsi="Arial"/>
          <w:b/>
          <w:bCs/>
          <w:color w:val="0049A6"/>
          <w:sz w:val="26"/>
          <w:szCs w:val="26"/>
        </w:rPr>
        <w:t xml:space="preserve">6.2  Pfizer Clinical Operations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049A6" w:val="clear"/>
            <w:tcMar>
              <w:top w:type="dxa" w:w="100"/>
              <w:left w:type="dxa" w:w="140"/>
              <w:bottom w:type="dxa" w:w="100"/>
              <w:right w:type="dxa" w:w="140"/>
            </w:tcMar>
          </w:tcPr>
          <w:p>
            <w:r>
              <w:rPr>
                <w:rFonts w:ascii="Arial" w:cs="Arial" w:eastAsia="Arial" w:hAnsi="Arial"/>
                <w:b/>
                <w:bCs/>
                <w:color w:val="FFFFFF"/>
                <w:sz w:val="20"/>
                <w:szCs w:val="20"/>
              </w:rPr>
              <w:t xml:space="preserve">Benefit</w:t>
            </w:r>
          </w:p>
        </w:tc>
        <w:tc>
          <w:tcPr>
            <w:tcW w:type="dxa" w:w="6960"/>
            <w:tcBorders>
              <w:top w:val="single" w:color="D1D5DB" w:sz="1"/>
              <w:left w:val="single" w:color="D1D5DB" w:sz="1"/>
              <w:bottom w:val="single" w:color="D1D5DB" w:sz="1"/>
              <w:right w:val="single" w:color="D1D5DB" w:sz="1"/>
            </w:tcBorders>
            <w:shd w:fill="0049A6" w:val="clear"/>
            <w:tcMar>
              <w:top w:type="dxa" w:w="100"/>
              <w:left w:type="dxa" w:w="140"/>
              <w:bottom w:type="dxa" w:w="100"/>
              <w:right w:type="dxa" w:w="140"/>
            </w:tcMar>
          </w:tcPr>
          <w:p>
            <w:r>
              <w:rPr>
                <w:rFonts w:ascii="Arial" w:cs="Arial" w:eastAsia="Arial" w:hAnsi="Arial"/>
                <w:b/>
                <w:bCs/>
                <w:color w:val="FFFFFF"/>
                <w:sz w:val="20"/>
                <w:szCs w:val="20"/>
              </w:rPr>
              <w:t xml:space="preserve">How TrialFinder Delivers It</w:t>
            </w:r>
          </w:p>
        </w:tc>
      </w:tr>
      <w:tr>
        <w:tc>
          <w:tcPr>
            <w:tcW w:type="dxa" w:w="24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Fewer screen failures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Patients arrive pre-screened against biomarker and treatment history criteria — reducing per-enrollment cost</w:t>
            </w:r>
          </w:p>
        </w:tc>
      </w:tr>
      <w:tr>
        <w:tc>
          <w:tcPr>
            <w:tcW w:type="dxa" w:w="24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Faster enrollment timelines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Higher-quality inquiries to site coordinators translates to faster enrollment-to-activation ratios</w:t>
            </w:r>
          </w:p>
        </w:tc>
      </w:tr>
      <w:tr>
        <w:tc>
          <w:tcPr>
            <w:tcW w:type="dxa" w:w="24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Site intelligence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Anonymized aggregate search data shows where patient demand is concentrated — informing site selection for future Pfizer trials</w:t>
            </w:r>
          </w:p>
        </w:tc>
      </w:tr>
      <w:tr>
        <w:tc>
          <w:tcPr>
            <w:tcW w:type="dxa" w:w="24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Protocol insight</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Eligibility criteria consistently filtering out otherwise-matched patients are flagged for amendment consideration</w:t>
            </w:r>
          </w:p>
        </w:tc>
      </w:tr>
      <w:tr>
        <w:tc>
          <w:tcPr>
            <w:tcW w:type="dxa" w:w="24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Diverse enrollment</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Plain-English UX and caregiver mode extend Pfizer's trial reach to underrepresented populations — a regulatory and societal priority</w:t>
            </w:r>
          </w:p>
        </w:tc>
      </w:tr>
    </w:tbl>
    <w:p>
      <w:pPr>
        <w:spacing w:after="0" w:before="160"/>
      </w:pPr>
      <w:r>
        <w:t xml:space="preserve"/>
      </w:r>
    </w:p>
    <w:p>
      <w:pPr>
        <w:pStyle w:val="Heading2"/>
        <w:spacing w:after="80" w:before="240"/>
      </w:pPr>
      <w:r>
        <w:rPr>
          <w:rFonts w:ascii="Arial" w:cs="Arial" w:eastAsia="Arial" w:hAnsi="Arial"/>
          <w:b/>
          <w:bCs/>
          <w:color w:val="0049A6"/>
          <w:sz w:val="26"/>
          <w:szCs w:val="26"/>
        </w:rPr>
        <w:t xml:space="preserve">6.3  12-Month Success Metrics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049A6"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6160"/>
            <w:tcBorders>
              <w:top w:val="single" w:color="D1D5DB" w:sz="1"/>
              <w:left w:val="single" w:color="D1D5DB" w:sz="1"/>
              <w:bottom w:val="single" w:color="D1D5DB" w:sz="1"/>
              <w:right w:val="single" w:color="D1D5DB" w:sz="1"/>
            </w:tcBorders>
            <w:shd w:fill="0049A6"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32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Monthly active users</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10,000 (organic growth + Pfizer patient community referrals)</w:t>
            </w:r>
          </w:p>
        </w:tc>
      </w:tr>
      <w:tr>
        <w:tc>
          <w:tcPr>
            <w:tcW w:type="dxa" w:w="32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Trials surfaced per search</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3 or more relevant trials, validated by oncologist review sample</w:t>
            </w:r>
          </w:p>
        </w:tc>
      </w:tr>
      <w:tr>
        <w:tc>
          <w:tcPr>
            <w:tcW w:type="dxa" w:w="32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Screen failure rate</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20% or greater reduction vs. historical baseline in Pfizer pilot trial</w:t>
            </w:r>
          </w:p>
        </w:tc>
      </w:tr>
      <w:tr>
        <w:tc>
          <w:tcPr>
            <w:tcW w:type="dxa" w:w="32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Watchlist retention</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40% or more of matched patients save at least one trial</w:t>
            </w:r>
          </w:p>
        </w:tc>
      </w:tr>
      <w:tr>
        <w:tc>
          <w:tcPr>
            <w:tcW w:type="dxa" w:w="32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Net Promoter Score</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50 or above among patients with cancer diagnoses using the tool</w:t>
            </w:r>
          </w:p>
        </w:tc>
      </w:tr>
      <w:tr>
        <w:tc>
          <w:tcPr>
            <w:tcW w:type="dxa" w:w="3200"/>
            <w:tcBorders>
              <w:top w:val="single" w:color="D1D5DB" w:sz="1"/>
              <w:left w:val="single" w:color="D1D5DB" w:sz="1"/>
              <w:bottom w:val="single" w:color="D1D5DB" w:sz="1"/>
              <w:right w:val="single" w:color="D1D5DB" w:sz="1"/>
            </w:tcBorders>
            <w:shd w:fill="E8EFF9" w:val="clear"/>
            <w:tcMar>
              <w:top w:type="dxa" w:w="100"/>
              <w:left w:type="dxa" w:w="140"/>
              <w:bottom w:type="dxa" w:w="100"/>
              <w:right w:type="dxa" w:w="140"/>
            </w:tcMar>
          </w:tcPr>
          <w:p>
            <w:r>
              <w:rPr>
                <w:rFonts w:ascii="Arial" w:cs="Arial" w:eastAsia="Arial" w:hAnsi="Arial"/>
                <w:b/>
                <w:bCs/>
                <w:color w:val="0049A6"/>
                <w:sz w:val="21"/>
                <w:szCs w:val="21"/>
              </w:rPr>
              <w:t xml:space="preserve">System uptime</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99.5% with auto-scaling deployment</w:t>
            </w:r>
          </w:p>
        </w:tc>
      </w:tr>
    </w:tbl>
    <w:p>
      <w:pPr>
        <w:spacing w:after="0" w:before="200"/>
      </w:pPr>
      <w:r>
        <w:t xml:space="preserve"/>
      </w:r>
    </w:p>
    <w:p>
      <w:pPr>
        <w:pBdr>
          <w:bottom w:val="single" w:color="0049A6" w:sz="6" w:space="1"/>
        </w:pBdr>
        <w:spacing w:after="0" w:before="0"/>
      </w:pP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8EFF9" w:val="clear"/>
            <w:tcMar>
              <w:top w:type="dxa" w:w="140"/>
              <w:left w:type="dxa" w:w="200"/>
              <w:bottom w:type="dxa" w:w="140"/>
              <w:right w:type="dxa" w:w="200"/>
            </w:tcMar>
          </w:tcPr>
          <w:p>
            <w:pPr>
              <w:spacing w:after="0" w:before="0"/>
              <w:jc w:val="center"/>
            </w:pPr>
            <w:r>
              <w:rPr>
                <w:rFonts w:ascii="Arial" w:cs="Arial" w:eastAsia="Arial" w:hAnsi="Arial"/>
                <w:b/>
                <w:bCs/>
                <w:color w:val="0049A6"/>
                <w:sz w:val="26"/>
                <w:szCs w:val="26"/>
              </w:rPr>
              <w:t xml:space="preserve">The vision is simple.</w:t>
            </w:r>
          </w:p>
          <w:p>
            <w:pPr>
              <w:spacing w:after="0" w:before="80"/>
            </w:pPr>
            <w:r>
              <w:t xml:space="preserve"/>
            </w:r>
          </w:p>
          <w:p>
            <w:pPr>
              <w:spacing w:after="0" w:before="0"/>
              <w:jc w:val="center"/>
            </w:pPr>
            <w:r>
              <w:rPr>
                <w:rFonts w:ascii="Arial" w:cs="Arial" w:eastAsia="Arial" w:hAnsi="Arial"/>
                <w:color w:val="1A1A2E"/>
                <w:sz w:val="22"/>
                <w:szCs w:val="22"/>
              </w:rPr>
              <w:t xml:space="preserve">A patient sitting in an oncologist's office, just told they have a KRAS G12C mutation,
should be able to describe that in plain English and receive — within 30 seconds —
a ranked list of trials that actually fit them, with a clear explanation of why.</w:t>
            </w:r>
          </w:p>
          <w:p>
            <w:pPr>
              <w:spacing w:after="0" w:before="80"/>
            </w:pPr>
            <w:r>
              <w:t xml:space="preserve"/>
            </w:r>
          </w:p>
          <w:p>
            <w:pPr>
              <w:spacing w:after="0" w:before="0"/>
              <w:jc w:val="center"/>
            </w:pPr>
            <w:r>
              <w:rPr>
                <w:rFonts w:ascii="Arial" w:cs="Arial" w:eastAsia="Arial" w:hAnsi="Arial"/>
                <w:b/>
                <w:bCs/>
                <w:color w:val="00A3E0"/>
                <w:sz w:val="22"/>
                <w:szCs w:val="22"/>
              </w:rPr>
              <w:t xml:space="preserve">TrialFinder will build that experience.
We are ready to partner with Pfizer to make it real.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0049A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049A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2026-06-19T15:24:12.561Z</dcterms:created>
  <dcterms:modified xsi:type="dcterms:W3CDTF">2026-06-19T15:24:12.569Z</dcterms:modified>
</cp:coreProperties>
</file>

<file path=docProps/custom.xml><?xml version="1.0" encoding="utf-8"?>
<Properties xmlns="http://schemas.openxmlformats.org/officeDocument/2006/custom-properties" xmlns:vt="http://schemas.openxmlformats.org/officeDocument/2006/docPropsVTypes"/>
</file>