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8.svg" ContentType="image/svg+xml"/>
  <Override PartName="/word/media/rId73.svg" ContentType="image/svg+xml"/>
  <Override PartName="/word/media/rId83.svg" ContentType="image/svg+xml"/>
  <Override PartName="/word/media/rId142.svg" ContentType="image/svg+xml"/>
  <Override PartName="/word/media/rId99.svg" ContentType="image/svg+xml"/>
  <Override PartName="/word/media/rId105.svg" ContentType="image/svg+xml"/>
  <Override PartName="/word/media/rId111.svg" ContentType="image/svg+xml"/>
  <Override PartName="/word/media/rId119.svg" ContentType="image/svg+xml"/>
  <Override PartName="/word/media/rId93.svg" ContentType="image/svg+xml"/>
  <Override PartName="/word/media/rId102.png" ContentType="image/png"/>
  <Override PartName="/word/media/rId108.png" ContentType="image/png"/>
  <Override PartName="/word/media/rId114.png" ContentType="image/png"/>
  <Override PartName="/word/media/rId122.png" ContentType="image/png"/>
  <Override PartName="/word/media/rId145.png" ContentType="image/png"/>
  <Override PartName="/word/media/rId33.png" ContentType="image/png"/>
  <Override PartName="/word/media/rId48.png" ContentType="image/png"/>
  <Override PartName="/word/media/rId76.png" ContentType="image/png"/>
  <Override PartName="/word/media/rId86.png" ContentType="image/png"/>
  <Override PartName="/word/media/rId91.png" ContentType="image/png"/>
  <Override PartName="/word/media/rId96.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treating head and neck squamous cell carcinomas (HNSCC) with radiotherapy or surgery, both the primary tumor and clinically detected lymph node metastases are targeted. Current guidelines also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By identifying patients with low contralateral risk, the model could guide reductions in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five datasets from four different institutions used to train and evaluate our model. Here, we briefly characterize the total number of OPSCC patients from the respective institution, their median age, what proportion received some form of neck dissection, the N0 portion of patients, what percentage presented with early T-category,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1f3b5"/>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To ensure uniformity in analysis,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line or was clearly lateralized (bottom left panel). Additionally, in the bottom right, we show that even for lateralized tumors, T-category and ipsilateral involvement are correlated with contralateral metastasis by comparing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facilitating contralateral metastasis.</w:t>
      </w:r>
      <w:r>
        <w:t xml:space="preserve"> </w:t>
      </w:r>
    </w:p>
    <w:bookmarkEnd w:id="37"/>
    <w:bookmarkStart w:id="38" w:name="interplay-of-risk-factors"/>
    <w:p>
      <w:pPr>
        <w:pStyle w:val="Heading3"/>
      </w:pPr>
      <w:r>
        <w:t xml:space="preserve">2.3.4 Interplay of Risk Factors</w:t>
      </w:r>
    </w:p>
    <w:p>
      <w:pPr>
        <w:pStyle w:val="FirstParagraph"/>
      </w:pPr>
      <w:r>
        <w:t xml:space="preserve">Midline extension, T-category, and ipsilateral involvement are interrelated risk factors for contralateral metastasis. For instance, 45.6% of advanced T-category tumors exhibit midline extension compared to 6.1% of early T-category tumors. While the higher fraction of midline extensions in advanced T-category patients partially accounts for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isolates patients with lateralized tumors that do not cross the midline, further demonstrating these relationships. Among early T-category patients with no ipsilateral nodal involvement (levels I-V), only 1.2% (1 of 86 patients) show involvement in contralateral level II. This proportion increases to 8.8% (24 of 272) if ipsilateral level II is involved, to 15.7% (14 of 89) if ipsilateral levels II and III are involved, and further to 22.2% (12 of 54)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 and Disease Progression:</w:t>
      </w:r>
      <w:r>
        <w:t xml:space="preserve"> </w:t>
      </w:r>
      <w:r>
        <w:t xml:space="preserve">Advanced T-category should correspond to an increased risk of nodal disease. This can be modeled using the expected time of diagnosis, as demonstrated in a prior hidden Markov model</w:t>
      </w:r>
      <w:r>
        <w:t xml:space="preserve"> </w:t>
      </w:r>
      <w:r>
        <w:t xml:space="preserve">(Ludwig et al. 2021)</w:t>
      </w:r>
      <w:r>
        <w:t xml:space="preserve">.</w:t>
      </w:r>
    </w:p>
    <w:p>
      <w:pPr>
        <w:pStyle w:val="Compact"/>
        <w:numPr>
          <w:ilvl w:val="0"/>
          <w:numId w:val="1002"/>
        </w:numPr>
      </w:pPr>
      <w:r>
        <w:rPr>
          <w:b/>
          <w:bCs/>
        </w:rPr>
        <w:t xml:space="preserve">Ipsilateral Involvement as a Progression Marker:</w:t>
      </w:r>
      <w:r>
        <w:t xml:space="preserve"> </w:t>
      </w:r>
      <w:r>
        <w:t xml:space="preserve">The extent of ipsilateral involvement should provide additional information on the time elapsed between disease onset and diagnosis, supplementing the insights gained from T-category alone.</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LNL’s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healthy or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some form of tumor presence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for inter-nodal progression.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We can evolve the distribution of all possible hidden states from</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time-steps: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likelihood function for a patient to present with a diagnosis</w:t>
      </w:r>
      <w:r>
        <w:t xml:space="preserve"> </w:t>
      </w:r>
      <m:oMath>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With</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8"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in analogy to</w:t>
      </w:r>
      <w:r>
        <w:t xml:space="preserve"> </w:t>
      </w:r>
      <w:hyperlink w:anchor="eq-uni-bayes-law">
        <w:r>
          <w:rPr>
            <w:rStyle w:val="Hyperlink"/>
          </w:rPr>
          <w:t xml:space="preserve">equation 15</w:t>
        </w:r>
      </w:hyperlink>
      <w:r>
        <w:t xml:space="preserve">,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r>
          <m:rPr>
            <m:sty m:val="b"/>
          </m:rPr>
          <m:t>Λ</m:t>
        </m:r>
        <m:r>
          <m:rPr>
            <m:nor/>
            <m:sty m:val="p"/>
          </m:rPr>
          <m:t>i</m:t>
        </m:r>
      </m:oMath>
      <w:r>
        <w:t xml:space="preserve"> </w:t>
      </w:r>
      <w:r>
        <w:t xml:space="preserve">and</w:t>
      </w:r>
      <w:r>
        <w:t xml:space="preserve"> </w:t>
      </w:r>
      <m:oMath>
        <m:r>
          <m:rPr>
            <m:sty m:val="b"/>
          </m:rPr>
          <m:t>Λ</m:t>
        </m:r>
        <m:r>
          <m:rPr>
            <m:nor/>
            <m:sty m:val="p"/>
          </m:rPr>
          <m:t>c</m:t>
        </m:r>
      </m:oMath>
      <w:r>
        <w:t xml:space="preserve"> </w:t>
      </w:r>
      <w:r>
        <w:t xml:space="preserve">could, in principle, be parameterized with entirely separate parameters, allowing ipsilateral and contralateral spread rates to differ completely.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m>
            <m:mPr>
              <m:baseJc m:val="center"/>
              <m:plcHide m:val="on"/>
              <m:mcs>
                <m:mc>
                  <m:mcPr>
                    <m:mcJc m:val="right"/>
                    <m:count m:val="1"/>
                  </m:mcPr>
                </m:mc>
                <m:mc>
                  <m:mcPr>
                    <m:mcJc m:val="left"/>
                    <m:count m:val="1"/>
                  </m:mcPr>
                </m:mc>
              </m:mcs>
            </m:mPr>
            <m:mr>
              <m:e>
                <m:sSubSup>
                  <m:e>
                    <m:r>
                      <m:t>b</m:t>
                    </m:r>
                  </m:e>
                  <m:sub>
                    <m:r>
                      <m:t>v</m:t>
                    </m:r>
                  </m:sub>
                  <m:sup>
                    <m:r>
                      <m:rPr>
                        <m:nor/>
                        <m:sty m:val="p"/>
                      </m:rPr>
                      <m:t>c</m:t>
                    </m:r>
                  </m:sup>
                </m:sSubSup>
              </m:e>
              <m:e>
                <m:r>
                  <m:rPr>
                    <m:sty m:val="p"/>
                  </m:rPr>
                  <m:t>≠</m:t>
                </m:r>
                <m:sSubSup>
                  <m:e>
                    <m:r>
                      <m:t>b</m:t>
                    </m:r>
                  </m:e>
                  <m:sub>
                    <m:r>
                      <m:t>v</m:t>
                    </m:r>
                  </m:sub>
                  <m:sup>
                    <m:r>
                      <m:rPr>
                        <m:nor/>
                        <m:sty m:val="p"/>
                      </m:rPr>
                      <m:t>i</m:t>
                    </m:r>
                  </m:sup>
                </m:sSubSup>
              </m:e>
            </m:mr>
            <m:mr>
              <m:e>
                <m:sSubSup>
                  <m:e>
                    <m:r>
                      <m:t>t</m:t>
                    </m:r>
                  </m:e>
                  <m:sub>
                    <m:r>
                      <m:t>r</m:t>
                    </m:r>
                    <m:r>
                      <m:t>v</m:t>
                    </m:r>
                  </m:sub>
                  <m:sup>
                    <m:r>
                      <m:rPr>
                        <m:nor/>
                        <m:sty m:val="p"/>
                      </m:rPr>
                      <m:t>c</m:t>
                    </m:r>
                  </m:sup>
                </m:sSubSup>
              </m:e>
              <m:e>
                <m:r>
                  <m:rPr>
                    <m:sty m:val="p"/>
                  </m:rPr>
                  <m:t>=</m:t>
                </m:r>
                <m:sSubSup>
                  <m:e>
                    <m:r>
                      <m:t>t</m:t>
                    </m:r>
                  </m:e>
                  <m:sub>
                    <m:r>
                      <m:t>r</m:t>
                    </m:r>
                    <m:r>
                      <m:t>v</m:t>
                    </m:r>
                  </m:sub>
                  <m:sup>
                    <m:r>
                      <m:rPr>
                        <m:nor/>
                        <m:sty m:val="p"/>
                      </m:rPr>
                      <m:t>i</m:t>
                    </m:r>
                  </m:sup>
                </m:sSubSup>
              </m:e>
            </m:mr>
          </m:m>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w:t>
      </w:r>
    </w:p>
    <w:p>
      <w:pPr>
        <w:pStyle w:val="Compact"/>
        <w:numPr>
          <w:ilvl w:val="0"/>
          <w:numId w:val="1004"/>
        </w:numPr>
      </w:pPr>
      <w:r>
        <w:rPr>
          <w:b/>
          <w:bCs/>
        </w:rPr>
        <w:t xml:space="preserve">Asymmetric Spread from Tumor</w:t>
      </w:r>
      <w:r>
        <w:t xml:space="preserve">: Tumor spread to the contralateral side varies depending on whether the tumor crosses the mid-sagittal plane. When the tumor extends over the midline, its spread rate to the contralateral LNLs should be larger than if the tumor were lateralized, but still smaller than the tumor’s spread to the ipsilateral side. To model this, we introduce a mixing parameter</w:t>
      </w:r>
      <w:r>
        <w:t xml:space="preserve"> </w:t>
      </w:r>
      <m:oMath>
        <m:r>
          <m:t>α</m:t>
        </m:r>
        <m:r>
          <m:rPr>
            <m:sty m:val="p"/>
          </m:rPr>
          <m:t>∈</m:t>
        </m:r>
        <m:d>
          <m:dPr>
            <m:begChr m:val="["/>
            <m:endChr m:val="]"/>
            <m:sepChr m:val=""/>
            <m:grow/>
          </m:dPr>
          <m:e>
            <m:r>
              <m:t>0</m:t>
            </m:r>
            <m:r>
              <m:rPr>
                <m:sty m:val="p"/>
              </m:rPr>
              <m:t>,</m:t>
            </m:r>
            <m:r>
              <m:t>1</m:t>
            </m:r>
          </m:e>
        </m:d>
      </m:oMath>
      <w:r>
        <w:t xml:space="preserve">, representing the</w:t>
      </w:r>
      <w:r>
        <w:t xml:space="preserve"> </w:t>
      </w:r>
      <w:r>
        <w:t xml:space="preserve">“degree of asymmetry”</w:t>
      </w:r>
      <w:r>
        <w:t xml:space="preserve"> </w:t>
      </w:r>
      <w:r>
        <w:t xml:space="preserve">effectively mixing these two extremes:</w:t>
      </w:r>
      <w:r>
        <w:br/>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This parameterization results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Despite this additional complexity, these rates collectively account for only</w:t>
      </w:r>
      <w:r>
        <w:t xml:space="preserve"> </w:t>
      </w:r>
      <m:oMath>
        <m:r>
          <m:t>2</m:t>
        </m:r>
        <m:r>
          <m:rPr>
            <m:sty m:val="p"/>
          </m:rPr>
          <m:t>⋅</m:t>
        </m:r>
        <m:sSup>
          <m:e>
            <m:r>
              <m:t>2</m:t>
            </m:r>
          </m:e>
          <m:sup>
            <m:r>
              <m:t>V</m:t>
            </m:r>
          </m:sup>
        </m:sSup>
        <m:r>
          <m:rPr>
            <m:sty m:val="p"/>
          </m:rPr>
          <m:t>+</m:t>
        </m:r>
        <m:r>
          <m:t>1</m:t>
        </m:r>
      </m:oMath>
      <w:r>
        <w:t xml:space="preserve"> </w:t>
      </w:r>
      <w:r>
        <w:t xml:space="preserve">parameters due to their coupling via</w:t>
      </w:r>
      <w:r>
        <w:t xml:space="preserve"> </w:t>
      </w:r>
      <m:oMath>
        <m:r>
          <m:t>α</m:t>
        </m:r>
      </m:oMath>
      <w:r>
        <w:t xml:space="preserve">.</w:t>
      </w:r>
    </w:p>
    <w:p>
      <w:pPr>
        <w:pStyle w:val="FirstParagraph"/>
      </w:pPr>
      <w:r>
        <w:t xml:space="preserve">The parameter space now becomes:</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4"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stage.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line as a binary random variable.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line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w:t>
      </w:r>
      <w:r>
        <w:t xml:space="preserve">covering the contralateral hidden state evolution: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where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line.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oMath>
      </m:oMathPara>
    </w:p>
    <w:p>
      <w:pPr>
        <w:pStyle w:val="FirstParagraph"/>
      </w:pPr>
      <w:r>
        <w:t xml:space="preserve">We can collect the iteratively computed distributions for the midline extension case to define the matrix over the states given all time-steps, in analogy to</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Using this, we can again write the joint of ipsi- and contralateral involvement - now also for the case of mid-sagittal extension - algebraically as before in</w:t>
      </w:r>
      <w:r>
        <w:t xml:space="preserve"> </w:t>
      </w:r>
      <w:hyperlink w:anchor="eq-bilateral-marginal-algebra">
        <w:r>
          <w:rPr>
            <w:rStyle w:val="Hyperlink"/>
          </w:rPr>
          <w:t xml:space="preserve">equation 10</w:t>
        </w:r>
      </w:hyperlink>
      <w:r>
        <w:t xml:space="preserve">:</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oMath>
      </m:oMathPara>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3" w:name="eq-ext-param-space"/>
      <w:r>
        <w:t xml:space="preserve">$$
    \boldsymbol{\theta} = \left( \left\{ b_v^\text{i} \right\}, \left\{ b_v^\text{c} \right\}, \alpha, \left\{ t_{vr} \right\}, p_\text{early}, p_\text{adv.}, p_\epsilon \right) \quad \text{with} \quad \genfrac{}{}{0pt}{2}{v\leq V}{r\in\operatorname{pa}(v)}
     \qquad(14)$$</w:t>
      </w:r>
      <w:bookmarkEnd w:id="63"/>
    </w:p>
    <w:bookmarkEnd w:id="64"/>
    <w:bookmarkStart w:id="67"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5"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15</m:t>
              </m:r>
            </m:e>
          </m:d>
        </m:oMath>
      </m:oMathPara>
      <w:bookmarkEnd w:id="65"/>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Terms like these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ipsilateral states</w:t>
      </w:r>
      <w:r>
        <w:t xml:space="preserve"> </w:t>
      </w:r>
      <m:oMath>
        <m:sSubSup>
          <m:e>
            <m:r>
              <m:rPr>
                <m:sty m:val="b"/>
              </m:rPr>
              <m:t>ξ</m:t>
            </m:r>
          </m:e>
          <m:sub>
            <m:r>
              <m:t>i</m:t>
            </m:r>
          </m:sub>
          <m:sup>
            <m:r>
              <m:rPr>
                <m:nor/>
                <m:sty m:val="p"/>
              </m:rPr>
              <m:t>i</m:t>
            </m:r>
          </m:sup>
        </m:sSubSup>
      </m:oMath>
      <w:r>
        <w:t xml:space="preserve"> </w:t>
      </w:r>
      <w:r>
        <w:t xml:space="preserve">and all 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6" w:name="eq-marg-over-posterior"/>
      <m:oMathPara>
        <m:oMathParaPr>
          <m:jc m:val="center"/>
        </m:oMathParaPr>
        <m:oMath>
          <m:r>
            <m:t>P</m:t>
          </m:r>
          <m:d>
            <m:dPr>
              <m:begChr m:val="("/>
              <m:endChr m:val=")"/>
              <m:sepChr m:val=""/>
              <m:grow/>
            </m:dPr>
            <m:e>
              <m:r>
                <m:rPr>
                  <m:nor/>
                  <m:sty m:val="p"/>
                </m:rPr>
                <m:t>cIV</m:t>
              </m:r>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r>
            <m:t>  </m:t>
          </m:r>
          <m:d>
            <m:dPr>
              <m:begChr m:val="("/>
              <m:endChr m:val=")"/>
              <m:sepChr m:val=""/>
              <m:grow/>
            </m:dPr>
            <m:e>
              <m:r>
                <m:t>16</m:t>
              </m:r>
            </m:e>
          </m:d>
        </m:oMath>
      </m:oMathPara>
      <w:bookmarkEnd w:id="66"/>
    </w:p>
    <w:bookmarkEnd w:id="67"/>
    <w:bookmarkEnd w:id="68"/>
    <w:bookmarkStart w:id="80"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69">
        <w:r>
          <w:rPr>
            <w:rStyle w:val="Hyperlink"/>
          </w:rPr>
          <w:t xml:space="preserve">rmnldwg/bilateral-paper</w:t>
        </w:r>
      </w:hyperlink>
      <w:r>
        <w:t xml:space="preserve">.</w:t>
      </w:r>
    </w:p>
    <w:bookmarkStart w:id="70" w:name="sec-methods-consensus"/>
    <w:p>
      <w:pPr>
        <w:pStyle w:val="Heading2"/>
      </w:pPr>
      <w:r>
        <w:t xml:space="preserve">5.1 Involvement Data Consensus</w:t>
      </w:r>
    </w:p>
    <w:p>
      <w:pPr>
        <w:pStyle w:val="FirstParagraph"/>
      </w:pPr>
      <w:r>
        <w:t xml:space="preserve">Rather than providing the model with a patient’s diagnoses from multiple modalities with different sensitivities and specificities (e.g. PET-CT</w:t>
      </w:r>
      <w:r>
        <w:t xml:space="preserve"> </w:t>
      </w:r>
      <w:r>
        <w:rPr>
          <w:i/>
          <w:iCs/>
        </w:rPr>
        <w:t xml:space="preserve">and</w:t>
      </w:r>
      <w:r>
        <w:t xml:space="preserve"> </w:t>
      </w:r>
      <w:r>
        <w:t xml:space="preserve">MRI), we combined them into a single</w:t>
      </w:r>
      <w:r>
        <w:t xml:space="preserve"> </w:t>
      </w:r>
      <w:r>
        <w:t xml:space="preserve">“consensus”</w:t>
      </w:r>
      <w:r>
        <w:t xml:space="preserve"> </w:t>
      </w:r>
      <w:r>
        <w:t xml:space="preserve">diagnosis before inference. This approach was necessary because literature-reported diagnostic imaging sensitivities and specificities did not plausibly match our observations. For instance, in the USZ cohort, 78% of OPSCC patients were diagnosed with ipsilateral LNL II involvement -— a finding difficult to reconcile with typical imaging sensitivities around 80% and specificities below 100%</w:t>
      </w:r>
      <w:r>
        <w:t xml:space="preserve"> </w:t>
      </w:r>
      <w:r>
        <w:t xml:space="preserve">(De Bondt et al. 2007; Kyzas et al. 2008)</w:t>
      </w:r>
      <w:r>
        <w:t xml:space="preserve">.</w:t>
      </w:r>
    </w:p>
    <w:bookmarkEnd w:id="70"/>
    <w:bookmarkStart w:id="78" w:name="sec-sampling"/>
    <w:p>
      <w:pPr>
        <w:pStyle w:val="Heading2"/>
      </w:pPr>
      <w:r>
        <w:t xml:space="preserve">5.2 MCMC Sampling</w:t>
      </w:r>
    </w:p>
    <w:p>
      <w:pPr>
        <w:pStyle w:val="FirstParagraph"/>
      </w:pPr>
      <w:r>
        <w:t xml:space="preserve">We used the Python package</w:t>
      </w:r>
      <w:r>
        <w:t xml:space="preserve"> </w:t>
      </w:r>
      <w:hyperlink r:id="rId71">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2">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7" w:name="fig-model-burnin-history"/>
          <w:p>
            <w:pPr>
              <w:pStyle w:val="Compact"/>
              <w:jc w:val="center"/>
            </w:pPr>
            <w:r>
              <w:drawing>
                <wp:inline>
                  <wp:extent cx="5334000" cy="1507996"/>
                  <wp:effectExtent b="0" l="0" r="0" t="0"/>
                  <wp:docPr descr="" title="" id="74" name="Picture"/>
                  <a:graphic>
                    <a:graphicData uri="http://schemas.openxmlformats.org/drawingml/2006/picture">
                      <pic:pic>
                        <pic:nvPicPr>
                          <pic:cNvPr descr="figures/fig_model_burnin_history.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7"/>
        </w:tc>
      </w:tr>
    </w:tbl>
    <w:bookmarkEnd w:id="78"/>
    <w:bookmarkStart w:id="79" w:name="sec-prevalence"/>
    <w:p>
      <w:pPr>
        <w:pStyle w:val="Heading2"/>
      </w:pPr>
      <w:r>
        <w:t xml:space="preserve">5.3 Computing the Observed and Predicted Prevalence of Involvement Patterns</w:t>
      </w:r>
    </w:p>
    <w:p>
      <w:pPr>
        <w:pStyle w:val="FirstParagraph"/>
      </w:pPr>
      <w:r>
        <w:t xml:space="preserve">We evaluate the model’s ability to approximate the observed distribution of lymphatic involvement patterns. We compare the prevalence of selected involvement patterns in the data to the model’s predicted prevalence, given patient scenarios.</w:t>
      </w:r>
    </w:p>
    <w:p>
      <w:pPr>
        <w:pStyle w:val="BodyText"/>
      </w:pPr>
      <w:r>
        <w:t xml:space="preserve">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line,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we may assess contralateral LNL II involvement prevalence under early T-category (T0-T2) and no midline extension (</w:t>
      </w:r>
      <m:oMath>
        <m:r>
          <m:t>ϵ</m:t>
        </m:r>
        <m:r>
          <m:rPr>
            <m:sty m:val="p"/>
          </m:rPr>
          <m:t>=</m:t>
        </m:r>
        <m:r>
          <m:rPr>
            <m:nor/>
            <m:sty m:val="p"/>
            <m:scr m:val="monospace"/>
          </m:rPr>
          <m:t>False</m:t>
        </m:r>
      </m:oMath>
      <w:r>
        <w:t xml:space="preserve">). In the data, 379 such patients were observed, with 27 exhibiting contralateral LNL II involvement – a prevalence of 7.1%.</w:t>
      </w:r>
    </w:p>
    <w:p>
      <w:pPr>
        <w:pStyle w:val="BodyText"/>
      </w:pPr>
      <w:r>
        <w:t xml:space="preserve">To visualize the data prevalence, we plot a</w:t>
      </w:r>
      <w:r>
        <w:t xml:space="preserve"> </w:t>
      </w:r>
      <w:r>
        <w:rPr>
          <w:i/>
          <w:iCs/>
        </w:rPr>
        <w:t xml:space="preserve">beta posterior</w:t>
      </w:r>
      <w:r>
        <w:t xml:space="preserve"> </w:t>
      </w:r>
      <w:r>
        <w:t xml:space="preserve">over the true prevalence</w:t>
      </w:r>
      <w:r>
        <w:t xml:space="preserve"> </w:t>
      </w:r>
      <m:oMath>
        <m:r>
          <m:t>q</m:t>
        </m:r>
      </m:oMath>
      <w:r>
        <w:t xml:space="preserve">. It is the result of a uniform beta prior over</w:t>
      </w:r>
      <w:r>
        <w:t xml:space="preserve"> </w:t>
      </w:r>
      <m:oMath>
        <m:r>
          <m:t>q</m:t>
        </m:r>
      </m:oMath>
      <w:r>
        <w:t xml:space="preserve">,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uncertainty in the observed cohort: if only 3 out of 10 patients are observed with a specific pattern, the distribution is much wider than if we observe 300 out of 1000.</w:t>
      </w:r>
    </w:p>
    <w:p>
      <w:pPr>
        <w:pStyle w:val="BodyText"/>
      </w:pPr>
      <w:r>
        <w:t xml:space="preserve">The model’s predicted prevalence to compare it with is computed as:</w:t>
      </w:r>
    </w:p>
    <w:p>
      <w:pPr>
        <w:pStyle w:val="BodyText"/>
      </w:pPr>
      <m:oMathPara>
        <m:oMathParaPr>
          <m:jc m:val="center"/>
        </m:oMathParaPr>
        <m:oMath>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r>
            <m:rPr>
              <m:sty m:val="p"/>
            </m:rPr>
            <m:t>=</m:t>
          </m:r>
          <m:f>
            <m:fPr>
              <m:type m:val="bar"/>
            </m:fPr>
            <m:num>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r>
                <m:t>P</m:t>
              </m:r>
              <m:d>
                <m:dPr>
                  <m:begChr m:val="("/>
                  <m:endChr m:val=")"/>
                  <m:sepChr m:val=""/>
                  <m:grow/>
                </m:dPr>
                <m:e>
                  <m:r>
                    <m:t>ϵ</m:t>
                  </m:r>
                  <m:r>
                    <m:rPr>
                      <m:sty m:val="p"/>
                    </m:rPr>
                    <m:t>=</m:t>
                  </m:r>
                  <m:r>
                    <m:rPr>
                      <m:nor/>
                      <m:sty m:val="p"/>
                      <m:scr m:val="monospace"/>
                    </m:rPr>
                    <m:t>False</m:t>
                  </m:r>
                  <m:r>
                    <m:rPr>
                      <m:sty m:val="p"/>
                    </m:rPr>
                    <m:t>∣</m:t>
                  </m:r>
                  <m:r>
                    <m:rPr>
                      <m:nor/>
                      <m:sty m:val="p"/>
                    </m:rPr>
                    <m:t>T</m:t>
                  </m:r>
                  <m:r>
                    <m:t>x</m:t>
                  </m:r>
                  <m:r>
                    <m:rPr>
                      <m:sty m:val="p"/>
                    </m:rPr>
                    <m:t>=</m:t>
                  </m:r>
                  <m:r>
                    <m:rPr>
                      <m:nor/>
                      <m:sty m:val="p"/>
                    </m:rPr>
                    <m:t>early</m:t>
                  </m:r>
                </m:e>
              </m:d>
            </m:den>
          </m:f>
        </m:oMath>
      </m:oMathPara>
    </w:p>
    <w:p>
      <w:pPr>
        <w:pStyle w:val="FirstParagraph"/>
      </w:pPr>
      <w:r>
        <w:t xml:space="preserve">In the enumator, we marginalize over all ipsi- and contralateral LNLs’ involvements, except for LNL II contralaterally. This is similar to the marginalization in</w:t>
      </w:r>
      <w:r>
        <w:t xml:space="preserve"> </w:t>
      </w:r>
      <w:hyperlink w:anchor="eq-marg-over-posterior">
        <w:r>
          <w:rPr>
            <w:rStyle w:val="Hyperlink"/>
          </w:rPr>
          <w:t xml:space="preserve">equation 16</w:t>
        </w:r>
      </w:hyperlink>
      <w:r>
        <w:t xml:space="preserve">, although we are summing over different quantities. In the denominator, we can simply insert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79"/>
    <w:bookmarkEnd w:id="80"/>
    <w:bookmarkStart w:id="118"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Lastly, note the relatively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This accurately reflects the low prevalence of contralateral lymph node involvement for lateralized tumors.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2"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1" w:name="T_aef3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1"/>
          <w:bookmarkEnd w:id="82"/>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8"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45% for advanced T-category tumors. The tumor’s average probability per time step of growing over the midline,</w:t>
      </w:r>
      <w:r>
        <w:t xml:space="preserve"> </w:t>
      </w:r>
      <m:oMath>
        <m:sSub>
          <m:e>
            <m:r>
              <m:t>p</m:t>
            </m:r>
          </m:e>
          <m:sub>
            <m:r>
              <m:t>ϵ</m:t>
            </m:r>
          </m:sub>
        </m:sSub>
      </m:oMath>
      <w:r>
        <w:t xml:space="preserve">, was found to be 8.2%.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7" w:name="fig-model-midext-evo"/>
          <w:p>
            <w:pPr>
              <w:pStyle w:val="Compact"/>
              <w:jc w:val="center"/>
            </w:pPr>
            <w:r>
              <w:drawing>
                <wp:inline>
                  <wp:extent cx="2667000" cy="3347174"/>
                  <wp:effectExtent b="0" l="0" r="0" t="0"/>
                  <wp:docPr descr="" title="" id="84" name="Picture"/>
                  <a:graphic>
                    <a:graphicData uri="http://schemas.openxmlformats.org/drawingml/2006/picture">
                      <pic:pic>
                        <pic:nvPicPr>
                          <pic:cNvPr descr="figures/fig_model_midext_evo.svg" id="85" name="Picture"/>
                          <pic:cNvPicPr>
                            <a:picLocks noChangeArrowheads="1" noChangeAspect="1"/>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7"/>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bilateral-marginal-algebra">
        <w:r>
          <w:rPr>
            <w:rStyle w:val="Hyperlink"/>
          </w:rPr>
          <w:t xml:space="preserve">equation 10</w:t>
        </w:r>
      </w:hyperlink>
      <w:r>
        <w:t xml:space="preserve">. To simplify interpretation, the example focuses only on LNLs II, III, and IV, reducing the state space to</w:t>
      </w:r>
      <w:r>
        <w:t xml:space="preserve"> </w:t>
      </w:r>
      <m:oMath>
        <m:sSup>
          <m:e>
            <m:r>
              <m:t>2</m:t>
            </m:r>
          </m:e>
          <m:sup>
            <m:r>
              <m:t>3</m:t>
            </m:r>
          </m:sup>
        </m:sSup>
        <m:r>
          <m:rPr>
            <m:sty m:val="p"/>
          </m:rPr>
          <m:t>=</m:t>
        </m:r>
        <m:r>
          <m:t>16</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total states.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fig-model-algebra-equation"/>
          <w:p>
            <w:pPr>
              <w:pStyle w:val="Compact"/>
              <w:jc w:val="center"/>
            </w:pPr>
            <w:r>
              <w:drawing>
                <wp:inline>
                  <wp:extent cx="5334000" cy="3947344"/>
                  <wp:effectExtent b="0" l="0" r="0" t="0"/>
                  <wp:docPr descr="" title="" id="89" name="Picture"/>
                  <a:graphic>
                    <a:graphicData uri="http://schemas.openxmlformats.org/drawingml/2006/picture">
                      <pic:pic>
                        <pic:nvPicPr>
                          <pic:cNvPr descr="figures/fig_model_algebra_equation.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bilateral-marginal-algebra">
              <w:r>
                <w:rPr>
                  <w:rStyle w:val="Hyperlink"/>
                </w:rPr>
                <w:t xml:space="preserve">equation 10</w:t>
              </w:r>
            </w:hyperlink>
            <w:r>
              <w:t xml:space="preserve"> </w:t>
            </w:r>
            <w:r>
              <w:t xml:space="preserve">for midline extension.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2"/>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scr m:val="monospace"/>
              </m:rPr>
              <m:t>True</m:t>
            </m:r>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involves a lateralized tumor with ipsilateral level II involvement and no contralateral involvement, having a probability of approximately 25%. The next most probable state involves ipsilateral levels II and III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7" w:name="fig-model-state-dist"/>
          <w:p>
            <w:pPr>
              <w:pStyle w:val="Compact"/>
              <w:jc w:val="center"/>
            </w:pPr>
            <w:r>
              <w:drawing>
                <wp:inline>
                  <wp:extent cx="5334000" cy="2628222"/>
                  <wp:effectExtent b="0" l="0" r="0" t="0"/>
                  <wp:docPr descr="" title="" id="94" name="Picture"/>
                  <a:graphic>
                    <a:graphicData uri="http://schemas.openxmlformats.org/drawingml/2006/picture">
                      <pic:pic>
                        <pic:nvPicPr>
                          <pic:cNvPr descr="figures/fig_model_state_dist.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full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rPr>
                    <m:t>False</m:t>
                  </m:r>
                </m:e>
              </m:d>
            </m:oMath>
            <w:r>
              <w:t xml:space="preserve"> </w:t>
            </w:r>
            <w:r>
              <w:t xml:space="preserve">over ipsi- and contralateral states and midline extension for late T-category tumors. This three-dimensional distribution is shown as two separate heatmaps for the binary midline extension variable</w:t>
            </w:r>
            <w:r>
              <w:t xml:space="preserve"> </w:t>
            </w:r>
            <m:oMath>
              <m:r>
                <m:t>ϵ</m:t>
              </m:r>
            </m:oMath>
            <w:r>
              <w:t xml:space="preserve">. These matrices are the result of</w:t>
            </w:r>
            <w:r>
              <w:t xml:space="preserve"> </w:t>
            </w:r>
            <w:hyperlink w:anchor="eq-bilateral-marginal-algebra">
              <w:r>
                <w:rPr>
                  <w:rStyle w:val="Hyperlink"/>
                </w:rPr>
                <w:t xml:space="preserve">equation 10</w:t>
              </w:r>
            </w:hyperlink>
            <w:r>
              <w:t xml:space="preserve">, visualized in</w:t>
            </w:r>
            <w:r>
              <w:t xml:space="preserve"> </w:t>
            </w:r>
            <w:hyperlink w:anchor="fig-model-algebra-equation">
              <w:r>
                <w:rPr>
                  <w:rStyle w:val="Hyperlink"/>
                </w:rPr>
                <w:t xml:space="preserve">figure 5</w:t>
              </w:r>
            </w:hyperlink>
            <w:r>
              <w:t xml:space="preserve">.</w:t>
            </w:r>
          </w:p>
          <w:bookmarkEnd w:id="97"/>
        </w:tc>
      </w:tr>
    </w:tbl>
    <w:bookmarkEnd w:id="98"/>
    <w:bookmarkStart w:id="117"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4"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 across four scenarios: combinations of early and late T-category, and lateralized versus midline-extending tumors.</w:t>
      </w:r>
    </w:p>
    <w:tbl>
      <w:tblPr>
        <w:tblStyle w:val="Table"/>
        <w:tblW w:type="pct" w:w="5000"/>
        <w:tblLayout w:type="fixed"/>
        <w:tblLook w:firstRow="0" w:lastRow="0" w:firstColumn="0" w:lastColumn="0" w:noHBand="0" w:noVBand="0" w:val="0000"/>
      </w:tblPr>
      <w:tblGrid>
        <w:gridCol w:w="7920"/>
      </w:tblGrid>
      <w:tr>
        <w:tc>
          <w:tcPr/>
          <w:bookmarkStart w:id="103" w:name="fig-model-prevalences-overall"/>
          <w:p>
            <w:pPr>
              <w:pStyle w:val="Compact"/>
              <w:jc w:val="center"/>
            </w:pPr>
            <w:r>
              <w:drawing>
                <wp:inline>
                  <wp:extent cx="5334000" cy="2430029"/>
                  <wp:effectExtent b="0" l="0" r="0" t="0"/>
                  <wp:docPr descr="" title="" id="100" name="Picture"/>
                  <a:graphic>
                    <a:graphicData uri="http://schemas.openxmlformats.org/drawingml/2006/picture">
                      <pic:pic>
                        <pic:nvPicPr>
                          <pic:cNvPr descr="figures/fig_model_prevalences_overall.svg" id="101" name="Picture"/>
                          <pic:cNvPicPr>
                            <a:picLocks noChangeArrowheads="1" noChangeAspect="1"/>
                          </pic:cNvPicPr>
                        </pic:nvPicPr>
                        <pic:blipFill>
                          <a:blip r:embed="rId102">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ones. The left column depicts scenarios where the primary tumor is clearly lateralized, the right column scenarios of tumors extending over the mid-sagittal line. This figure illustrates the model’s ability to describe the prevalence of involvement for different combinations of the risk factors T-category and midline extension.</w:t>
            </w:r>
          </w:p>
          <w:bookmarkEnd w:id="103"/>
        </w:tc>
      </w:tr>
    </w:tbl>
    <w:p>
      <w:pPr>
        <w:pStyle w:val="BodyText"/>
      </w:pPr>
      <w:hyperlink w:anchor="fig-model-prevalences-overall">
        <w:r>
          <w:rPr>
            <w:rStyle w:val="Hyperlink"/>
          </w:rPr>
          <w:t xml:space="preserve">Figure 7</w:t>
        </w:r>
      </w:hyperlink>
      <w:r>
        <w:t xml:space="preserve"> </w:t>
      </w:r>
      <w:r>
        <w:t xml:space="preserve">demonstrates the model’s ability to account for key risk factors, such as T-category and midline extension. Consistent with the data, the model predicts that the prevalence of contralateral LNL II involvement increases from 7.1% for early T-category lateralized tumors to 39.2% for advanced T-category tumors that cross the midline. Similarly, contralateral LNL III involvement rises from around 1.5% for early T-category lateralized tumors to nearly 14.2% for advanced T-category midline-extending tumors.</w:t>
      </w:r>
    </w:p>
    <w:bookmarkEnd w:id="104"/>
    <w:bookmarkStart w:id="110"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09" w:name="fig-model-prevalences-upstream"/>
          <w:p>
            <w:pPr>
              <w:pStyle w:val="Compact"/>
              <w:jc w:val="center"/>
            </w:pPr>
            <w:r>
              <w:drawing>
                <wp:inline>
                  <wp:extent cx="5334000" cy="2430029"/>
                  <wp:effectExtent b="0" l="0" r="0" t="0"/>
                  <wp:docPr descr="" title="" id="106" name="Picture"/>
                  <a:graphic>
                    <a:graphicData uri="http://schemas.openxmlformats.org/drawingml/2006/picture">
                      <pic:pic>
                        <pic:nvPicPr>
                          <pic:cNvPr descr="figures/fig_model_prevalences_upstream.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09"/>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However, for early T-category tumors extending over the midline, the model slightly underestimates the observed prevalence, likely due to the relative rarity of such cases, resulting in broader uncertainty in the observed prevalence estimates.</w:t>
      </w:r>
    </w:p>
    <w:bookmarkEnd w:id="110"/>
    <w:bookmarkStart w:id="116"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5" w:name="fig-model-prevalences-with-ipsi"/>
          <w:p>
            <w:pPr>
              <w:pStyle w:val="Compact"/>
              <w:jc w:val="center"/>
            </w:pPr>
            <w:r>
              <w:drawing>
                <wp:inline>
                  <wp:extent cx="5334000" cy="2430029"/>
                  <wp:effectExtent b="0" l="0" r="0" t="0"/>
                  <wp:docPr descr="" title="" id="112" name="Picture"/>
                  <a:graphic>
                    <a:graphicData uri="http://schemas.openxmlformats.org/drawingml/2006/picture">
                      <pic:pic>
                        <pic:nvPicPr>
                          <pic:cNvPr descr="figures/fig_model_prevalences_with_ipsi.svg" id="113" name="Picture"/>
                          <pic:cNvPicPr>
                            <a:picLocks noChangeArrowheads="1" noChangeAspect="1"/>
                          </pic:cNvPicPr>
                        </pic:nvPicPr>
                        <pic:blipFill>
                          <a:blip r:embed="rId114">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line in the right column).</w:t>
            </w:r>
          </w:p>
          <w:bookmarkEnd w:id="115"/>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6"/>
    <w:bookmarkEnd w:id="117"/>
    <w:bookmarkEnd w:id="118"/>
    <w:bookmarkStart w:id="128"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(whether it extends over the mid-sagittal plane),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3" w:name="fig-model-risks"/>
          <w:p>
            <w:pPr>
              <w:pStyle w:val="Compact"/>
              <w:jc w:val="center"/>
            </w:pPr>
            <w:r>
              <w:drawing>
                <wp:inline>
                  <wp:extent cx="5334000" cy="1217729"/>
                  <wp:effectExtent b="0" l="0" r="0" t="0"/>
                  <wp:docPr descr="" title="" id="120" name="Picture"/>
                  <a:graphic>
                    <a:graphicData uri="http://schemas.openxmlformats.org/drawingml/2006/picture">
                      <pic:pic>
                        <pic:nvPicPr>
                          <pic:cNvPr descr="figures/fig_model_risks.svg" id="121" name="Picture"/>
                          <pic:cNvPicPr>
                            <a:picLocks noChangeArrowheads="1" noChangeAspect="1"/>
                          </pic:cNvPicPr>
                        </pic:nvPicPr>
                        <pic:blipFill>
                          <a:blip r:embed="rId122">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5334000" cy="12177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(left), III (middle), and IV (right),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3"/>
        </w:tc>
      </w:tr>
    </w:tbl>
    <w:bookmarkStart w:id="124"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 For example:</w:t>
      </w:r>
    </w:p>
    <w:p>
      <w:pPr>
        <w:pStyle w:val="Compact"/>
        <w:numPr>
          <w:ilvl w:val="0"/>
          <w:numId w:val="1007"/>
        </w:numPr>
      </w:pPr>
      <w:r>
        <w:t xml:space="preserve">A patient with a lateralized early T-category tumor and ipsilateral LNL II involvement has a predicted risk of 1.6% for occult contralateral LNL II disease (green histogram).</w:t>
      </w:r>
      <w:r>
        <w:br/>
      </w:r>
    </w:p>
    <w:p>
      <w:pPr>
        <w:pStyle w:val="Compact"/>
        <w:numPr>
          <w:ilvl w:val="0"/>
          <w:numId w:val="1007"/>
        </w:numPr>
      </w:pPr>
      <w:r>
        <w:t xml:space="preserve">If the same tumor extends over the midline, the risk increases to 7.6%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9.1% risk of contralateral LNL II disease (red histogram).</w:t>
      </w:r>
      <w:r>
        <w:br/>
      </w:r>
    </w:p>
    <w:p>
      <w:pPr>
        <w:pStyle w:val="Compact"/>
        <w:numPr>
          <w:ilvl w:val="0"/>
          <w:numId w:val="1008"/>
        </w:numPr>
      </w:pPr>
      <w:r>
        <w:t xml:space="preserve">For the same scenario with an advanced T-category tumor, the risk rises to 11.3% (purple histogram).</w:t>
      </w:r>
    </w:p>
    <w:p>
      <w:pPr>
        <w:pStyle w:val="FirstParagraph"/>
      </w:pPr>
      <w:r>
        <w:t xml:space="preserve">The degree of ipsilateral involvement also influences risk. For a midline-extending early T-category tumor, a clinically N0 ipsilateral neck predicts a risk of 7.6%, compared to 9.1% when LNLs II and III are involved.</w:t>
      </w:r>
    </w:p>
    <w:p>
      <w:pPr>
        <w:pStyle w:val="BodyText"/>
      </w:pPr>
      <w:r>
        <w:t xml:space="preserve">In summary, midline extension is the primary risk factor for contralateral LNL II involvement, but advanced T-category and extensive ipsilateral involvement also contribute significantly.</w:t>
      </w:r>
    </w:p>
    <w:bookmarkEnd w:id="124"/>
    <w:bookmarkStart w:id="125"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2.1% (green histogram).</w:t>
      </w:r>
      <w:r>
        <w:br/>
      </w:r>
    </w:p>
    <w:p>
      <w:pPr>
        <w:pStyle w:val="Compact"/>
        <w:numPr>
          <w:ilvl w:val="0"/>
          <w:numId w:val="1009"/>
        </w:numPr>
      </w:pPr>
      <w:r>
        <w:t xml:space="preserve">If contralateral LNL II is clinically involved, the risk for contralateral LNL III rises to 4.8% (blue histogram).</w:t>
      </w:r>
      <w:r>
        <w:br/>
      </w:r>
    </w:p>
    <w:p>
      <w:pPr>
        <w:pStyle w:val="Compact"/>
        <w:numPr>
          <w:ilvl w:val="0"/>
          <w:numId w:val="1009"/>
        </w:numPr>
      </w:pPr>
      <w:r>
        <w:t xml:space="preserve">When contralateral LNL II involvement is confirmed by FNA, the risk further increases to 6.9% (red histogram).</w:t>
      </w:r>
    </w:p>
    <w:p>
      <w:pPr>
        <w:pStyle w:val="FirstParagraph"/>
      </w:pPr>
      <w:r>
        <w:t xml:space="preserve">Even for lateralized tumors, FNA-confirmed involvement in contralateral LNL II predicts a 5.6% risk for LNL III involvement (orange histogram). This highlights the importance of upstream LNL II involvement in determining the risk for LNL III.</w:t>
      </w:r>
    </w:p>
    <w:bookmarkEnd w:id="125"/>
    <w:bookmarkStart w:id="126"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 (blue histogram).</w:t>
      </w:r>
      <w:r>
        <w:br/>
      </w:r>
    </w:p>
    <w:p>
      <w:pPr>
        <w:pStyle w:val="Compact"/>
        <w:numPr>
          <w:ilvl w:val="0"/>
          <w:numId w:val="1010"/>
        </w:numPr>
      </w:pPr>
      <w:r>
        <w:t xml:space="preserve">When contralateral LNL III involvement is confirmed by FNA, the risk rises significantly to 5.7%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6"/>
    <w:bookmarkStart w:id="127"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negligible unless there is severe contralateral involvement, including LNL IV, confirmed by FNA. In such extreme cases, the risk increases to 5.5%.</w:t>
      </w:r>
    </w:p>
    <w:bookmarkEnd w:id="127"/>
    <w:bookmarkEnd w:id="128"/>
    <w:bookmarkStart w:id="135" w:name="sec-discussion"/>
    <w:p>
      <w:pPr>
        <w:pStyle w:val="Heading1"/>
      </w:pPr>
      <w:r>
        <w:t xml:space="preserve">8. Discussion</w:t>
      </w:r>
    </w:p>
    <w:bookmarkStart w:id="129"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Despite its relatively few parameters, the model is highly interpretable, with each parameter having a clear, intuitive explanation. At the same time, it effectively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29"/>
    <w:bookmarkStart w:id="130" w:name="X9c0045b025fb6bc98001c746af9470a93ea7cd7"/>
    <w:p>
      <w:pPr>
        <w:pStyle w:val="Heading2"/>
      </w:pPr>
      <w:r>
        <w:t xml:space="preserve">8.2 Implications for Contralateral Elective Nodal Treatment</w:t>
      </w:r>
    </w:p>
    <w:p>
      <w:pPr>
        <w:pStyle w:val="FirstParagraph"/>
      </w:pPr>
      <w:r>
        <w:t xml:space="preserve">The model’s predictions are already guiding a clinical trial on volume de-escalation at the University Hospital Zurich</w:t>
      </w:r>
      <w:r>
        <w:t xml:space="preserve"> </w:t>
      </w:r>
      <w:r>
        <w:t xml:space="preserve">(University of Zurich 2024)</w:t>
      </w:r>
      <w:r>
        <w:t xml:space="preserve">. Based on a 5% acceptable risk threshold for occult disease in any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only if LNL II is involved, regardless of tumor lateralization, T-category, or ipsilateral involvement. If contralateral LNL II is clinically negative, LNL III is not irradiated unless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generally unnecessary. Only in extreme cases, such as advanced T-category tumors with midline extension and confirmed contralateral involvement in LNLs II to IV, is irradiation of LNL V considered.</w:t>
      </w:r>
      <w:r>
        <w:br/>
      </w:r>
    </w:p>
    <w:p>
      <w:pPr>
        <w:pStyle w:val="Compact"/>
        <w:numPr>
          <w:ilvl w:val="0"/>
          <w:numId w:val="1011"/>
        </w:numPr>
      </w:pPr>
      <w:r>
        <w:rPr>
          <w:b/>
          <w:bCs/>
        </w:rPr>
        <w:t xml:space="preserve">Contralateral LNLs I and VII:</w:t>
      </w:r>
      <w:r>
        <w:br/>
      </w:r>
      <w:r>
        <w:t xml:space="preserve">Elective irradiation is not recommended unless these nodes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bookmarkEnd w:id="130"/>
    <w:bookmarkStart w:id="134" w:name="sec-discussion-limitations"/>
    <w:p>
      <w:pPr>
        <w:pStyle w:val="Heading2"/>
      </w:pPr>
      <w:r>
        <w:t xml:space="preserve">8.3 Limitations and Future Work</w:t>
      </w:r>
    </w:p>
    <w:bookmarkStart w:id="131"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BodyText"/>
      </w:pPr>
      <w:r>
        <w:t xml:space="preserve">For example:</w:t>
      </w:r>
      <w:r>
        <w:t xml:space="preserve"> </w:t>
      </w:r>
      <w:r>
        <w:t xml:space="preserve">- The observed differences between early and advanced T-category tumors may sometimes be greater or smaller than the model’s predictions. This has been previously noted for ipsilateral LNL I involvement</w:t>
      </w:r>
      <w:r>
        <w:t xml:space="preserve"> </w:t>
      </w:r>
      <w:r>
        <w:t xml:space="preserve">(Ludwig et al. 2023)</w:t>
      </w:r>
      <w:r>
        <w:t xml:space="preserve">.</w:t>
      </w:r>
      <w:r>
        <w:t xml:space="preserve"> </w:t>
      </w:r>
      <w:r>
        <w:t xml:space="preserve">- For contralateral spread, the prevalence of midline extension is slightly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1"/>
    <w:bookmarkStart w:id="132" w:name="sensitivity-and-specificity"/>
    <w:p>
      <w:pPr>
        <w:pStyle w:val="Heading3"/>
      </w:pPr>
      <w:r>
        <w:t xml:space="preserve">8.3.2 Sensitivity and Specificity</w:t>
      </w:r>
    </w:p>
    <w:p>
      <w:pPr>
        <w:pStyle w:val="FirstParagraph"/>
      </w:pPr>
      <w:r>
        <w:t xml:space="preserve">As noted in</w:t>
      </w:r>
      <w:r>
        <w:t xml:space="preserve"> </w:t>
      </w:r>
      <w:hyperlink w:anchor="sec-methods-consensus">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However, this was not implemented in the current work for two reasons:</w:t>
      </w:r>
      <w:r>
        <w:t xml:space="preserve"> </w:t>
      </w:r>
      <w:r>
        <w:t xml:space="preserve">1.</w:t>
      </w:r>
      <w:r>
        <w:t xml:space="preserve"> </w:t>
      </w: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r>
        <w:t xml:space="preserve"> </w:t>
      </w:r>
      <w:r>
        <w:t xml:space="preserve">2.</w:t>
      </w:r>
      <w:r>
        <w:t xml:space="preserve"> </w:t>
      </w:r>
      <w:r>
        <w:rPr>
          <w:b/>
          <w:bCs/>
        </w:rPr>
        <w:t xml:space="preserve">Inconsistent literature values:</w:t>
      </w:r>
      <w:r>
        <w:t xml:space="preserve"> </w:t>
      </w:r>
      <w:r>
        <w:t xml:space="preserve">Reported sensitivity and specificity values for diagnostic modalities show inconsistencies with some observed data patterns, complicating their integration into the model.</w:t>
      </w:r>
    </w:p>
    <w:p>
      <w:pPr>
        <w:pStyle w:val="BodyText"/>
      </w:pPr>
      <w:r>
        <w:t xml:space="preserve">Future efforts could focus on developing methods to rigorously differentiate between pathologically confirmed and clinically diagnosed involvement, potentially improving model accuracy for clinical settings.</w:t>
      </w:r>
    </w:p>
    <w:bookmarkEnd w:id="132"/>
    <w:bookmarkStart w:id="133"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patterns.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and improve its clinical utility for head and neck cancer patients.</w:t>
      </w:r>
    </w:p>
    <w:bookmarkEnd w:id="133"/>
    <w:bookmarkEnd w:id="134"/>
    <w:bookmarkEnd w:id="135"/>
    <w:bookmarkStart w:id="136" w:name="acknowledgement"/>
    <w:p>
      <w:pPr>
        <w:pStyle w:val="Heading1"/>
      </w:pPr>
      <w:r>
        <w:t xml:space="preserve">9. Acknowledgement</w:t>
      </w:r>
    </w:p>
    <w:p>
      <w:pPr>
        <w:pStyle w:val="FirstParagraph"/>
      </w:pPr>
      <w:r>
        <w:t xml:space="preserve">This work was supported by:</w:t>
      </w:r>
    </w:p>
    <w:p>
      <w:pPr>
        <w:pStyle w:val="Compact"/>
        <w:numPr>
          <w:ilvl w:val="0"/>
          <w:numId w:val="1012"/>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2"/>
        </w:numPr>
      </w:pPr>
      <w:r>
        <w:t xml:space="preserve">the Swiss Cancer Research Foundation under grant number KFS 5645-08-2022</w:t>
      </w:r>
    </w:p>
    <w:bookmarkEnd w:id="136"/>
    <w:bookmarkStart w:id="138"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7"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7"/>
          <w:p/>
        </w:tc>
      </w:tr>
    </w:tbl>
    <w:bookmarkEnd w:id="138"/>
    <w:bookmarkStart w:id="141"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0" w:name="tbl-data-strat"/>
          <w:p>
            <w:pPr>
              <w:jc w:val="center"/>
            </w:pPr>
            <w:pPr>
              <w:jc w:val="start"/>
              <w:spacing w:before="200"/>
              <w:pStyle w:val="ImageCaption"/>
            </w:pPr>
            <w:r>
              <w:t xml:space="preserve">Table 4: Contralateral involvement depending on whether the primary tumor extends over the mid-sagittal line, the T-category, and whether the ipsilateral LNL III was involved or healthy.</w:t>
            </w:r>
          </w:p>
          <w:bookmarkStart w:id="139" w:name="T_c95c6"/>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1.16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5.82</w:t>
                  </w:r>
                </w:p>
              </w:tc>
              <w:tc>
                <w:tcPr/>
                <w:p>
                  <w:pPr>
                    <w:pStyle w:val="Compact"/>
                    <w:jc w:val="center"/>
                  </w:pPr>
                  <w:r>
                    <w:t xml:space="preserve">1.06</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11.11</w:t>
                  </w:r>
                </w:p>
              </w:tc>
              <w:tc>
                <w:tcPr/>
                <w:p>
                  <w:pPr>
                    <w:pStyle w:val="Compact"/>
                    <w:jc w:val="center"/>
                  </w:pPr>
                  <w:r>
                    <w:t xml:space="preserve">22.22</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9.68</w:t>
                  </w:r>
                </w:p>
              </w:tc>
              <w:tc>
                <w:tcPr/>
                <w:p>
                  <w:pPr>
                    <w:pStyle w:val="Compact"/>
                    <w:jc w:val="center"/>
                  </w:pPr>
                  <w:r>
                    <w:t xml:space="preserve">0.00</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0.96</w:t>
                  </w:r>
                </w:p>
              </w:tc>
              <w:tc>
                <w:tcPr/>
                <w:p>
                  <w:pPr>
                    <w:pStyle w:val="Compact"/>
                    <w:jc w:val="center"/>
                  </w:pPr>
                  <w:r>
                    <w:t xml:space="preserve">14.42</w:t>
                  </w:r>
                </w:p>
              </w:tc>
              <w:tc>
                <w:tcPr/>
                <w:p>
                  <w:pPr>
                    <w:pStyle w:val="Compact"/>
                    <w:jc w:val="center"/>
                  </w:pPr>
                  <w:r>
                    <w:t xml:space="preserve">2.88</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30.00</w:t>
                  </w:r>
                </w:p>
              </w:tc>
              <w:tc>
                <w:tcPr/>
                <w:p>
                  <w:pPr>
                    <w:pStyle w:val="Compact"/>
                    <w:jc w:val="center"/>
                  </w:pPr>
                  <w:r>
                    <w:t xml:space="preserve">40.00</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13.64</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5.88</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12.50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4.55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29.51</w:t>
                  </w:r>
                </w:p>
              </w:tc>
              <w:tc>
                <w:tcPr/>
                <w:p>
                  <w:pPr>
                    <w:pStyle w:val="Compact"/>
                    <w:jc w:val="center"/>
                  </w:pPr>
                  <w:r>
                    <w:t xml:space="preserve">8.20</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21.05</w:t>
                  </w:r>
                </w:p>
              </w:tc>
              <w:tc>
                <w:tcPr/>
                <w:p>
                  <w:pPr>
                    <w:pStyle w:val="Compact"/>
                    <w:jc w:val="center"/>
                  </w:pPr>
                  <w:r>
                    <w:t xml:space="preserve">9.21</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46</w:t>
                  </w:r>
                </w:p>
              </w:tc>
              <w:tc>
                <w:tcPr/>
                <w:p>
                  <w:pPr>
                    <w:pStyle w:val="Compact"/>
                    <w:jc w:val="center"/>
                  </w:pPr>
                  <w:r>
                    <w:t xml:space="preserve">18</w:t>
                  </w:r>
                </w:p>
              </w:tc>
              <w:tc>
                <w:tcPr/>
                <w:p>
                  <w:pPr>
                    <w:pStyle w:val="Compact"/>
                    <w:jc w:val="center"/>
                  </w:pPr>
                  <w:r>
                    <w:t xml:space="preserve">8</w:t>
                  </w:r>
                </w:p>
              </w:tc>
              <w:tc>
                <w:tcPr/>
                <w:p>
                  <w:pPr>
                    <w:pStyle w:val="Compact"/>
                    <w:jc w:val="center"/>
                  </w:pPr>
                  <w:r>
                    <w:t xml:space="preserve">3.80</w:t>
                  </w:r>
                </w:p>
              </w:tc>
              <w:tc>
                <w:tcPr/>
                <w:p>
                  <w:pPr>
                    <w:pStyle w:val="Compact"/>
                    <w:jc w:val="center"/>
                  </w:pPr>
                  <w:r>
                    <w:t xml:space="preserve">58.23</w:t>
                  </w:r>
                </w:p>
              </w:tc>
              <w:tc>
                <w:tcPr/>
                <w:p>
                  <w:pPr>
                    <w:pStyle w:val="Compact"/>
                    <w:jc w:val="center"/>
                  </w:pPr>
                  <w:r>
                    <w:t xml:space="preserve">22.78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w:t>
                  </w:r>
                </w:p>
              </w:tc>
            </w:tr>
          </w:tbl>
          <w:bookmarkEnd w:id="139"/>
          <w:bookmarkEnd w:id="140"/>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1"/>
    <w:bookmarkStart w:id="193"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6" w:name="fig-model-prevalences-midext"/>
          <w:p>
            <w:pPr>
              <w:pStyle w:val="Compact"/>
              <w:jc w:val="center"/>
            </w:pPr>
            <w:r>
              <w:drawing>
                <wp:inline>
                  <wp:extent cx="2667000" cy="1566191"/>
                  <wp:effectExtent b="0" l="0" r="0" t="0"/>
                  <wp:docPr descr="" title="" id="143" name="Picture"/>
                  <a:graphic>
                    <a:graphicData uri="http://schemas.openxmlformats.org/drawingml/2006/picture">
                      <pic:pic>
                        <pic:nvPicPr>
                          <pic:cNvPr descr="figures/fig_model_prevalences_midext.svg" id="144" name="Picture"/>
                          <pic:cNvPicPr>
                            <a:picLocks noChangeArrowheads="1" noChangeAspect="1"/>
                          </pic:cNvPicPr>
                        </pic:nvPicPr>
                        <pic:blipFill>
                          <a:blip r:embed="rId145">
                            <a:extLst>
                              <a:ext uri="{28A0092B-C50C-407E-A947-70E740481C1C}">
                                <a14:useLocalDpi xmlns:a14="http://schemas.microsoft.com/office/drawing/2010/main" val="0"/>
                              </a:ext>
                              <a:ext uri="{96DAC541-7B7A-43D3-8B79-37D633B846F1}">
                                <asvg:svgBlip xmlns:asvg="http://schemas.microsoft.com/office/drawing/2016/SVG/main" r:embed="rId142"/>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6"/>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It is obvious the model cannot match the large spread between early and advanced T-category seen in the data. This is because to achieve that, it would need to increase the advanced T-category patient’s prior distribution over diagnosis times and at the same time reduce the probability of the tumor to cross the midline during a time-step. But since the time-priors parameter is also coupled with the spread probabilities among the LNLs, the model does not have that freedom.</w:t>
      </w:r>
    </w:p>
    <w:p>
      <w:pPr>
        <w:pStyle w:val="BodyText"/>
      </w:pPr>
      <w:r>
        <w:t xml:space="preserve">However, we do not consider this discrepancy a major limitation of the model: We will not realistically be interested in the probability of midline extension, as it is always possible to assess it with high certainty.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t xml:space="preserve">Also, the discrepancy in midline extension prevalence between early and advanced T-category is particularly pronounced in oropharyngeal SCC patients. For example, in oral cavity SCC, the midline extension only increases from 15.4% (20 out of 130) to 33.3% (13 out of 39).</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2" w:name="refs"/>
    <w:bookmarkStart w:id="147"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7"/>
    <w:bookmarkStart w:id="149"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8">
        <w:r>
          <w:rPr>
            <w:rStyle w:val="Hyperlink"/>
          </w:rPr>
          <w:t xml:space="preserve">https://doi.org/10.1016/j.radonc.2019.01.018</w:t>
        </w:r>
      </w:hyperlink>
      <w:r>
        <w:t xml:space="preserve">.</w:t>
      </w:r>
    </w:p>
    <w:bookmarkEnd w:id="149"/>
    <w:bookmarkStart w:id="151"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0">
        <w:r>
          <w:rPr>
            <w:rStyle w:val="Hyperlink"/>
          </w:rPr>
          <w:t xml:space="preserve">https://doi.org/10.1016/S0360-3016(02)02881-X</w:t>
        </w:r>
      </w:hyperlink>
      <w:r>
        <w:t xml:space="preserve">.</w:t>
      </w:r>
    </w:p>
    <w:bookmarkEnd w:id="151"/>
    <w:bookmarkStart w:id="153"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2">
        <w:r>
          <w:rPr>
            <w:rStyle w:val="Hyperlink"/>
          </w:rPr>
          <w:t xml:space="preserve">https://doi.org/10.1016/j.ejrad.2007.02.037</w:t>
        </w:r>
      </w:hyperlink>
      <w:r>
        <w:t xml:space="preserve">.</w:t>
      </w:r>
    </w:p>
    <w:bookmarkEnd w:id="153"/>
    <w:bookmarkStart w:id="155"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4">
        <w:r>
          <w:rPr>
            <w:rStyle w:val="Hyperlink"/>
          </w:rPr>
          <w:t xml:space="preserve">https://doi.org/10.1053/srao.2002.32435</w:t>
        </w:r>
      </w:hyperlink>
      <w:r>
        <w:t xml:space="preserve">.</w:t>
      </w:r>
    </w:p>
    <w:bookmarkEnd w:id="155"/>
    <w:bookmarkStart w:id="157"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6">
        <w:r>
          <w:rPr>
            <w:rStyle w:val="Hyperlink"/>
          </w:rPr>
          <w:t xml:space="preserve">https://doi.org/10.1016/j.bjoms.2008.06.001</w:t>
        </w:r>
      </w:hyperlink>
      <w:r>
        <w:t xml:space="preserve">.</w:t>
      </w:r>
    </w:p>
    <w:bookmarkEnd w:id="157"/>
    <w:bookmarkStart w:id="159"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8">
        <w:r>
          <w:rPr>
            <w:rStyle w:val="Hyperlink"/>
          </w:rPr>
          <w:t xml:space="preserve">https://doi.org/10.1086/670067</w:t>
        </w:r>
      </w:hyperlink>
      <w:r>
        <w:t xml:space="preserve">.</w:t>
      </w:r>
    </w:p>
    <w:bookmarkEnd w:id="159"/>
    <w:bookmarkStart w:id="161"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0">
        <w:r>
          <w:rPr>
            <w:rStyle w:val="Hyperlink"/>
          </w:rPr>
          <w:t xml:space="preserve">https://doi.org/10.1016/j.radonc.2013.10.010</w:t>
        </w:r>
      </w:hyperlink>
      <w:r>
        <w:t xml:space="preserve">.</w:t>
      </w:r>
    </w:p>
    <w:bookmarkEnd w:id="161"/>
    <w:bookmarkStart w:id="163"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2">
        <w:r>
          <w:rPr>
            <w:rStyle w:val="Hyperlink"/>
          </w:rPr>
          <w:t xml:space="preserve">https://doi.org/10.1016/j.radonc.2017.10.016</w:t>
        </w:r>
      </w:hyperlink>
      <w:r>
        <w:t xml:space="preserve">.</w:t>
      </w:r>
    </w:p>
    <w:bookmarkEnd w:id="163"/>
    <w:bookmarkStart w:id="165"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4">
        <w:r>
          <w:rPr>
            <w:rStyle w:val="Hyperlink"/>
          </w:rPr>
          <w:t xml:space="preserve">https://doi.org/10.1016/j.radonc.2003.09.011</w:t>
        </w:r>
      </w:hyperlink>
      <w:r>
        <w:t xml:space="preserve">.</w:t>
      </w:r>
    </w:p>
    <w:bookmarkEnd w:id="165"/>
    <w:bookmarkStart w:id="167" w:name="ref-jung_development_2017"/>
    <w:p>
      <w:pPr>
        <w:pStyle w:val="Bibliography"/>
      </w:pPr>
      <w:r>
        <w:t xml:space="preserve">Jung, Hyunggu, Anthony Law, Eli Grunblatt, Lucy L. Wang, Aaron Kusano, Jose L. V. Mejino, and Mark E. Whipple. 2017.</w:t>
      </w:r>
      <w:r>
        <w:t xml:space="preserve"> </w:t>
      </w:r>
      <w:r>
        <w:t xml:space="preserve">“</w:t>
      </w:r>
      <w:hyperlink r:id="rId166">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7"/>
    <w:bookmarkStart w:id="169"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8">
        <w:r>
          <w:rPr>
            <w:rStyle w:val="Hyperlink"/>
          </w:rPr>
          <w:t xml:space="preserve">https://doi.org/10.1093/jnci/djn125</w:t>
        </w:r>
      </w:hyperlink>
      <w:r>
        <w:t xml:space="preserve">.</w:t>
      </w:r>
    </w:p>
    <w:bookmarkEnd w:id="169"/>
    <w:bookmarkStart w:id="171"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0">
        <w:r>
          <w:rPr>
            <w:rStyle w:val="Hyperlink"/>
          </w:rPr>
          <w:t xml:space="preserve">https://doi.org/10.5167/uzh-231470</w:t>
        </w:r>
      </w:hyperlink>
      <w:r>
        <w:t xml:space="preserve">.</w:t>
      </w:r>
    </w:p>
    <w:bookmarkEnd w:id="171"/>
    <w:bookmarkStart w:id="173"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2">
        <w:r>
          <w:rPr>
            <w:rStyle w:val="Hyperlink"/>
          </w:rPr>
          <w:t xml:space="preserve">https://doi.org/10.1016/j.dib.2022.108345</w:t>
        </w:r>
      </w:hyperlink>
      <w:r>
        <w:t xml:space="preserve">.</w:t>
      </w:r>
    </w:p>
    <w:bookmarkEnd w:id="173"/>
    <w:bookmarkStart w:id="175"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4">
        <w:r>
          <w:rPr>
            <w:rStyle w:val="Hyperlink"/>
          </w:rPr>
          <w:t xml:space="preserve">https://doi.org/10.1038/s41598-021-91544-1</w:t>
        </w:r>
      </w:hyperlink>
      <w:r>
        <w:t xml:space="preserve">.</w:t>
      </w:r>
    </w:p>
    <w:bookmarkEnd w:id="175"/>
    <w:bookmarkStart w:id="177"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6">
        <w:r>
          <w:rPr>
            <w:rStyle w:val="Hyperlink"/>
          </w:rPr>
          <w:t xml:space="preserve">https://doi.org/10.1038/s41598-024-66012-1</w:t>
        </w:r>
      </w:hyperlink>
      <w:r>
        <w:t xml:space="preserve">.</w:t>
      </w:r>
    </w:p>
    <w:bookmarkEnd w:id="177"/>
    <w:bookmarkStart w:id="179"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8">
        <w:r>
          <w:rPr>
            <w:rStyle w:val="Hyperlink"/>
          </w:rPr>
          <w:t xml:space="preserve">https://doi.org/10.48550/arXiv.2312.11270</w:t>
        </w:r>
      </w:hyperlink>
      <w:r>
        <w:t xml:space="preserve">.</w:t>
      </w:r>
    </w:p>
    <w:bookmarkEnd w:id="179"/>
    <w:bookmarkStart w:id="181"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0">
        <w:r>
          <w:rPr>
            <w:rStyle w:val="Hyperlink"/>
          </w:rPr>
          <w:t xml:space="preserve">https://doi.org/10.1016/j.dib.2023.110020</w:t>
        </w:r>
      </w:hyperlink>
      <w:r>
        <w:t xml:space="preserve">.</w:t>
      </w:r>
    </w:p>
    <w:bookmarkEnd w:id="181"/>
    <w:bookmarkStart w:id="183"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2">
        <w:r>
          <w:rPr>
            <w:rStyle w:val="Hyperlink"/>
          </w:rPr>
          <w:t xml:space="preserve">https://doi.org/10.1088/0067-0049/210/1/11</w:t>
        </w:r>
      </w:hyperlink>
      <w:r>
        <w:t xml:space="preserve">.</w:t>
      </w:r>
    </w:p>
    <w:bookmarkEnd w:id="183"/>
    <w:bookmarkStart w:id="185"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4">
        <w:r>
          <w:rPr>
            <w:rStyle w:val="Hyperlink"/>
          </w:rPr>
          <w:t xml:space="preserve">https://doi.org/10.1088/1361-6560/ab2a18</w:t>
        </w:r>
      </w:hyperlink>
      <w:r>
        <w:t xml:space="preserve">.</w:t>
      </w:r>
    </w:p>
    <w:bookmarkEnd w:id="185"/>
    <w:bookmarkStart w:id="186"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6"/>
    <w:bookmarkStart w:id="188"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7">
        <w:r>
          <w:rPr>
            <w:rStyle w:val="Hyperlink"/>
          </w:rPr>
          <w:t xml:space="preserve">https://doi.org/10.1007/s11222-008-9104-9</w:t>
        </w:r>
      </w:hyperlink>
      <w:r>
        <w:t xml:space="preserve">.</w:t>
      </w:r>
    </w:p>
    <w:bookmarkEnd w:id="188"/>
    <w:bookmarkStart w:id="189"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89"/>
    <w:bookmarkStart w:id="191"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0">
        <w:r>
          <w:rPr>
            <w:rStyle w:val="Hyperlink"/>
          </w:rPr>
          <w:t xml:space="preserve">https://doi.org/10.1186/1748-717X-6-97</w:t>
        </w:r>
      </w:hyperlink>
      <w:r>
        <w:t xml:space="preserve">.</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8" Target="media/rId88.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142" Target="media/rId142.svg" /><Relationship Type="http://schemas.openxmlformats.org/officeDocument/2006/relationships/image" Id="rId99" Target="media/rId99.svg" /><Relationship Type="http://schemas.openxmlformats.org/officeDocument/2006/relationships/image" Id="rId105" Target="media/rId105.svg" /><Relationship Type="http://schemas.openxmlformats.org/officeDocument/2006/relationships/image" Id="rId111" Target="media/rId111.svg" /><Relationship Type="http://schemas.openxmlformats.org/officeDocument/2006/relationships/image" Id="rId119" Target="media/rId119.svg" /><Relationship Type="http://schemas.openxmlformats.org/officeDocument/2006/relationships/image" Id="rId93" Target="media/rId93.sv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image" Id="rId145" Target="media/rId145.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45" Target="media/rId45.svg" /><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2024-12-03T13:38:38Z</dcterms:created>
  <dcterms:modified xsi:type="dcterms:W3CDTF">2024-12-03T13:38:38Z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