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80BB9" w14:textId="0BA5522B" w:rsidR="00062E87" w:rsidRDefault="00E312B4" w:rsidP="00062E87">
      <w:pPr>
        <w:pStyle w:val="Heading1"/>
        <w:jc w:val="center"/>
      </w:pPr>
      <w:r>
        <w:t>Mid-Semester Memo</w:t>
      </w:r>
    </w:p>
    <w:p w14:paraId="7CF99059" w14:textId="43ECD4CC" w:rsidR="009541E9" w:rsidRDefault="009541E9" w:rsidP="009541E9">
      <w:pPr>
        <w:pStyle w:val="Heading1"/>
      </w:pPr>
      <w:r>
        <w:t>Introduction</w:t>
      </w:r>
    </w:p>
    <w:p w14:paraId="135347E3" w14:textId="3E33360C" w:rsidR="009541E9" w:rsidRPr="009541E9" w:rsidRDefault="00F95899" w:rsidP="009541E9">
      <w:r>
        <w:t xml:space="preserve">This memo explores my locational marginal price (LMP) prediction exploration and process, and my lifecycle analysis (LCA) of all candidate options for our energy portfolio. In the interest of transparency, I have compiled my code for public reference on </w:t>
      </w:r>
      <w:r w:rsidR="009541E9">
        <w:t xml:space="preserve">GitHub at </w:t>
      </w:r>
      <w:hyperlink r:id="rId7" w:history="1">
        <w:r w:rsidR="00ED4A04" w:rsidRPr="00150AAE">
          <w:rPr>
            <w:rStyle w:val="Hyperlink"/>
          </w:rPr>
          <w:t>https://github.com/rmoglen/EnergyDevelopment_Policy</w:t>
        </w:r>
      </w:hyperlink>
      <w:r w:rsidR="009541E9">
        <w:t>.</w:t>
      </w:r>
    </w:p>
    <w:p w14:paraId="08C74892" w14:textId="0E92269E" w:rsidR="00E312B4" w:rsidRDefault="00E312B4" w:rsidP="00E312B4">
      <w:pPr>
        <w:pStyle w:val="Heading1"/>
      </w:pPr>
      <w:r>
        <w:t>Locational Marginal Price (LMP) Prediction</w:t>
      </w:r>
    </w:p>
    <w:p w14:paraId="090F01C3" w14:textId="0A8B2DCC" w:rsidR="00E312B4" w:rsidRDefault="00CE69A0" w:rsidP="00E312B4">
      <w:r>
        <w:t xml:space="preserve">ERCOT’s </w:t>
      </w:r>
      <w:hyperlink r:id="rId8" w:history="1">
        <w:r w:rsidRPr="00013688">
          <w:rPr>
            <w:rStyle w:val="Hyperlink"/>
          </w:rPr>
          <w:t>2018 LTSA report</w:t>
        </w:r>
      </w:hyperlink>
      <w:r>
        <w:t xml:space="preserve"> was central in guiding my LMP predictions, specifically the data presented in its Figure I.1. Figure I.1 in the LSTA was generated by a survey of ERCOT stakeholders. They concluded that the key drivers for the ERCOT grid were Texas economic conditions, natural gas prices, capital costs for renewable energy, environmental regulations, and weather conditions, followed by several less significant drivers. Therefore, I selected natural gas prices, Texas GDP, and renewable energy capital costs as predictors in my model, along with year, load zone, season, and peak versus off peak timing. Table </w:t>
      </w:r>
      <w:r w:rsidR="002A3665">
        <w:t>A</w:t>
      </w:r>
      <w:r>
        <w:t xml:space="preserve"> in Appendix A summarizes the data I used in my model and their sources.</w:t>
      </w:r>
    </w:p>
    <w:p w14:paraId="449789F3" w14:textId="77777777" w:rsidR="00CE69A0" w:rsidRDefault="00CE69A0" w:rsidP="00CE69A0">
      <w:pPr>
        <w:pStyle w:val="Heading2"/>
      </w:pPr>
      <w:r>
        <w:t>Scenarios</w:t>
      </w:r>
    </w:p>
    <w:p w14:paraId="04940885" w14:textId="563DB85D" w:rsidR="00CE69A0" w:rsidRDefault="00CE69A0" w:rsidP="00CE69A0">
      <w:r>
        <w:t xml:space="preserve">ERCOT’s </w:t>
      </w:r>
      <w:hyperlink r:id="rId9" w:history="1">
        <w:r w:rsidRPr="00013688">
          <w:rPr>
            <w:rStyle w:val="Hyperlink"/>
          </w:rPr>
          <w:t>2018 LTSA report</w:t>
        </w:r>
      </w:hyperlink>
      <w:r>
        <w:t xml:space="preserve"> also provided guidance on scenarios likely to impact the ERCOT grid and thus future prices. Two of the scenarios it discusses are (1) High Economic Growth and (2) High Renewable Penetration. My third scenario was (3) the Base Case. Forecasts for the next 20 years for all my predictors were available </w:t>
      </w:r>
      <w:r w:rsidR="00D42D31">
        <w:t>except for</w:t>
      </w:r>
      <w:r>
        <w:t xml:space="preserve"> renewables capital costs, which I extrapolated by fitting an exponential model to the available data. </w:t>
      </w:r>
    </w:p>
    <w:p w14:paraId="3E17969B" w14:textId="3095999A" w:rsidR="00CE69A0" w:rsidRDefault="00CE69A0" w:rsidP="00CE69A0">
      <w:r>
        <w:t xml:space="preserve"> (1) the Base Case was predicted using the available forecasts data from Table </w:t>
      </w:r>
      <w:r w:rsidR="002A3665">
        <w:t>A</w:t>
      </w:r>
      <w:r>
        <w:t xml:space="preserve">. For (2) the High Economic Growth scenario, EIA provides its own predictions of natural gas prices under high economic growth, and ERCOT describes an annual Texas GDP increase of 2.2% rather than the 1.4% in the base case. Again, future LMPs were predicted using forecasts as predictors, this time with 2.2% GDP growth and High Economic Growth conditions gas prices in place of the base case numbers.  For (3) the High Renewable Penetration, it was assumed that this adoption was driven by lower renewable energy costs, so forecasted renewable energy capital costs were multiplied by a discount factor (assumed to be 0.9). Future LMPs were once more predicted using the forecast data from Table </w:t>
      </w:r>
      <w:r w:rsidR="002A3665">
        <w:t>A</w:t>
      </w:r>
      <w:r>
        <w:t>, with the substitution of the discounted renewable energy capital cost forecasts.</w:t>
      </w:r>
    </w:p>
    <w:p w14:paraId="5AC2924B" w14:textId="77777777" w:rsidR="00CE69A0" w:rsidRDefault="00CE69A0" w:rsidP="00CE69A0">
      <w:pPr>
        <w:pStyle w:val="Heading2"/>
      </w:pPr>
      <w:r>
        <w:t>Aggregation</w:t>
      </w:r>
    </w:p>
    <w:p w14:paraId="75733709" w14:textId="1E596D51" w:rsidR="00CE69A0" w:rsidRDefault="00CE69A0" w:rsidP="00CE69A0">
      <w:r>
        <w:t xml:space="preserve">Historical LMPs were aggregated by season (“summer” as April through October and “non-summer” as the rest of the year) and peak (hours 8 </w:t>
      </w:r>
      <w:r w:rsidR="005644A6">
        <w:t>through</w:t>
      </w:r>
      <w:r>
        <w:t xml:space="preserve"> 23 in the summer and 1 and 24 in the non-summer) and off-peak the rest of the time. This aggregation was done both because the financial models that will use the LMP predictions as inputs will likely not need a finer temporal resolution and because the forecast data available was generally only at 1 year temporal resolution, making finer prediction difficult and likely inaccurate. Historical LMPs in each of the time-categories (summer peak, summer off-peak, non-summer peak, and non-summer off-peak) were averaged by median value in that year, though other functions such as mean or max could be computed, depending on the requirements of downstream </w:t>
      </w:r>
      <w:r>
        <w:lastRenderedPageBreak/>
        <w:t>models. Therefore, my model predicts the median LMP in each load zone, each year from 2020-2039, in each of the four time-categories.</w:t>
      </w:r>
    </w:p>
    <w:p w14:paraId="601354C5" w14:textId="77777777" w:rsidR="00CE69A0" w:rsidRDefault="00CE69A0" w:rsidP="00CE69A0">
      <w:pPr>
        <w:pStyle w:val="Heading2"/>
      </w:pPr>
      <w:r>
        <w:t>Model</w:t>
      </w:r>
    </w:p>
    <w:p w14:paraId="60A7F72F" w14:textId="77777777" w:rsidR="00CE69A0" w:rsidRDefault="00CE69A0" w:rsidP="00CE69A0">
      <w:r>
        <w:t>I used linear regression to fit a model to LMPs from 2011 to 2019. I then applied this model to 2020 to 2039 to predict future LMPs. My model is of the following form:</w:t>
      </w:r>
    </w:p>
    <w:p w14:paraId="26C2BC50" w14:textId="77777777" w:rsidR="00CE69A0" w:rsidRPr="00420D9C" w:rsidRDefault="00CE69A0" w:rsidP="00CE69A0">
      <w:pPr>
        <w:rPr>
          <w:rFonts w:eastAsiaTheme="minorEastAsia"/>
        </w:rPr>
      </w:pPr>
      <m:oMathPara>
        <m:oMath>
          <m:r>
            <w:rPr>
              <w:rFonts w:ascii="Cambria Math" w:hAnsi="Cambria Math"/>
            </w:rPr>
            <m:t>Price=</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Year+</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Category+</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LoadZone+</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NGPrice+</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GDP+</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SolarCost+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WindCost</m:t>
          </m:r>
        </m:oMath>
      </m:oMathPara>
    </w:p>
    <w:p w14:paraId="11BD2CB5" w14:textId="18D6A8E5" w:rsidR="00BF54D2" w:rsidRPr="00D42D31" w:rsidRDefault="00CE69A0" w:rsidP="00BF54D2">
      <w:pPr>
        <w:rPr>
          <w:rFonts w:eastAsiaTheme="minorEastAsia"/>
        </w:rPr>
      </w:pPr>
      <w:r>
        <w:rPr>
          <w:rFonts w:eastAsiaTheme="minorEastAsia"/>
        </w:rPr>
        <w:t xml:space="preserve">Since Category and </w:t>
      </w:r>
      <w:proofErr w:type="spellStart"/>
      <w:r>
        <w:rPr>
          <w:rFonts w:eastAsiaTheme="minorEastAsia"/>
        </w:rPr>
        <w:t>LoadZone</w:t>
      </w:r>
      <w:proofErr w:type="spellEnd"/>
      <w:r>
        <w:rPr>
          <w:rFonts w:eastAsiaTheme="minorEastAsia"/>
        </w:rPr>
        <w:t xml:space="preserve"> are both categorical variables, they were each broken up into N-1 dummy variables, where N is the number of unique values in that category. The resulting model is summarized </w:t>
      </w:r>
      <w:r w:rsidR="009541E9">
        <w:rPr>
          <w:rFonts w:eastAsiaTheme="minorEastAsia"/>
        </w:rPr>
        <w:t>in Appendix B</w:t>
      </w:r>
      <w:r>
        <w:rPr>
          <w:rFonts w:eastAsiaTheme="minorEastAsia"/>
        </w:rPr>
        <w:t>.</w:t>
      </w:r>
    </w:p>
    <w:p w14:paraId="29AC77E7" w14:textId="588095FC" w:rsidR="00492C60" w:rsidRPr="00492C60" w:rsidRDefault="00CE69A0" w:rsidP="00492C60">
      <w:pPr>
        <w:pStyle w:val="Heading1"/>
      </w:pPr>
      <w:r>
        <w:t>Life Cycle Analysis</w:t>
      </w:r>
    </w:p>
    <w:p w14:paraId="1B8764CF" w14:textId="5806BFCF" w:rsidR="002A3665" w:rsidRDefault="002A3665" w:rsidP="002A3665">
      <w:pPr>
        <w:pStyle w:val="Heading2"/>
      </w:pPr>
      <w:r>
        <w:t>CCGT Analysis</w:t>
      </w:r>
    </w:p>
    <w:p w14:paraId="0B609F55" w14:textId="28CE2CB9" w:rsidR="00D92AB4" w:rsidRDefault="00492C60" w:rsidP="00492C60">
      <w:r>
        <w:t xml:space="preserve">The first step in the life cycle analysis of the CCGTs in both Houston in San Antonio was computing their respective capacity factors. Houston offers three candidate turbines, each with their respective heat rates, while the San Antonio site requires analysis of only one turbine. These sites and their respective options are summarized in Table 1 below. The capacity factor of each of these potential projects was assumed to be the average hypothetical capacity factor for the years 2011 to 2019, computed by comparing the turbine’s marginal cost to the LMP in the plant’s location. </w:t>
      </w:r>
      <w:r w:rsidR="00D92AB4">
        <w:t>This implicitly assumes that the plant’s capacity factor for 2011 to 2019 would be the same as from 2020 to 2039. While certainly a simplification, given the coarse aggregation of forecasts (LMP and gas prices) for 2020 to 2039, calculating the capacity factor using these values would fail to capture a gas plant’s ability to spin up and down quickly in response to LMPs. The time resolution of the forecast data is significantly coarse than a gas plant’s spin up time, which is a large part of how natural gas plants stay profitable. It was therefore deemed preferable to extrapolate each turbine’s capacity factor based on 2011 to 2019 gas prices and LMPs.</w:t>
      </w:r>
    </w:p>
    <w:p w14:paraId="6208A03F" w14:textId="6C089BA9" w:rsidR="00492C60" w:rsidRPr="00921E7C" w:rsidRDefault="00D92AB4" w:rsidP="00492C60">
      <w:r>
        <w:t xml:space="preserve">The capacity factor is the average percentage of time intervals where the LMP exceeds the turbine’s marginal cost. </w:t>
      </w:r>
      <w:r w:rsidR="00492C60">
        <w:t xml:space="preserve">The marginal cost </w:t>
      </w:r>
      <w:r>
        <w:t xml:space="preserve">for each turbine </w:t>
      </w:r>
      <w:r w:rsidR="00492C60">
        <w:t>was computed using equation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921E7C" w14:paraId="4DC92C12" w14:textId="77777777" w:rsidTr="00921E7C">
        <w:tc>
          <w:tcPr>
            <w:tcW w:w="8905" w:type="dxa"/>
          </w:tcPr>
          <w:p w14:paraId="11578717" w14:textId="7872AE01" w:rsidR="00921E7C" w:rsidRDefault="00921E7C" w:rsidP="00492C60">
            <w:pPr>
              <w:rPr>
                <w:rFonts w:eastAsiaTheme="minorEastAsia"/>
              </w:rPr>
            </w:pPr>
            <m:oMathPara>
              <m:oMath>
                <m:r>
                  <w:rPr>
                    <w:rFonts w:ascii="Cambria Math" w:hAnsi="Cambria Math"/>
                  </w:rPr>
                  <m:t>Marginal Cost=Pric</m:t>
                </m:r>
                <m:sSub>
                  <m:sSubPr>
                    <m:ctrlPr>
                      <w:rPr>
                        <w:rFonts w:ascii="Cambria Math" w:hAnsi="Cambria Math"/>
                        <w:i/>
                      </w:rPr>
                    </m:ctrlPr>
                  </m:sSubPr>
                  <m:e>
                    <m:r>
                      <w:rPr>
                        <w:rFonts w:ascii="Cambria Math" w:hAnsi="Cambria Math"/>
                      </w:rPr>
                      <m:t>e</m:t>
                    </m:r>
                  </m:e>
                  <m:sub>
                    <m:r>
                      <w:rPr>
                        <w:rFonts w:ascii="Cambria Math" w:hAnsi="Cambria Math"/>
                      </w:rPr>
                      <m:t>NG</m:t>
                    </m:r>
                  </m:sub>
                </m:sSub>
                <m:r>
                  <w:rPr>
                    <w:rFonts w:ascii="Cambria Math" w:hAnsi="Cambria Math"/>
                  </w:rPr>
                  <m:t>⋅Heat Rate</m:t>
                </m:r>
              </m:oMath>
            </m:oMathPara>
          </w:p>
        </w:tc>
        <w:tc>
          <w:tcPr>
            <w:tcW w:w="445" w:type="dxa"/>
          </w:tcPr>
          <w:p w14:paraId="65E643F0" w14:textId="6AFBCC5B" w:rsidR="00921E7C" w:rsidRDefault="00921E7C" w:rsidP="00492C60">
            <w:pPr>
              <w:rPr>
                <w:rFonts w:eastAsiaTheme="minorEastAsia"/>
              </w:rPr>
            </w:pPr>
            <w:r>
              <w:rPr>
                <w:rFonts w:eastAsiaTheme="minorEastAsia"/>
              </w:rPr>
              <w:t>(1)</w:t>
            </w:r>
          </w:p>
        </w:tc>
      </w:tr>
    </w:tbl>
    <w:p w14:paraId="24759C24" w14:textId="77777777" w:rsidR="00C60C5D" w:rsidRDefault="00C60C5D" w:rsidP="00492C60">
      <w:pPr>
        <w:rPr>
          <w:rFonts w:eastAsiaTheme="minorEastAsia"/>
        </w:rPr>
      </w:pPr>
    </w:p>
    <w:p w14:paraId="463E140E" w14:textId="3DABC060" w:rsidR="006B3CD3" w:rsidRDefault="00921E7C" w:rsidP="00492C60">
      <w:pPr>
        <w:rPr>
          <w:rFonts w:eastAsiaTheme="minorEastAsia"/>
        </w:rPr>
      </w:pPr>
      <w:r>
        <w:rPr>
          <w:rFonts w:eastAsiaTheme="minorEastAsia"/>
        </w:rPr>
        <w:t>The annual total emissions were then estimated using equation (2).</w:t>
      </w:r>
      <w:r w:rsidR="00B65EE1">
        <w:rPr>
          <w:rFonts w:eastAsiaTheme="minorEastAsia"/>
        </w:rPr>
        <w:t xml:space="preserve"> Note that there are 8760 hours in a year.</w:t>
      </w:r>
      <w:r w:rsidR="00D1055C">
        <w:rPr>
          <w:rFonts w:eastAsiaTheme="minorEastAsia"/>
        </w:rPr>
        <w:t xml:space="preserve"> These results are shown in Table 2.</w:t>
      </w:r>
      <w:r w:rsidR="00314549">
        <w:rPr>
          <w:rFonts w:eastAsiaTheme="minorEastAsia"/>
        </w:rPr>
        <w:t xml:space="preserve"> Note that two values for NOx are reported for the San Antonio plant in </w:t>
      </w:r>
      <w:r w:rsidR="00421ED4">
        <w:rPr>
          <w:rFonts w:eastAsiaTheme="minorEastAsia"/>
        </w:rPr>
        <w:t>T</w:t>
      </w:r>
      <w:r w:rsidR="00314549">
        <w:rPr>
          <w:rFonts w:eastAsiaTheme="minorEastAsia"/>
        </w:rPr>
        <w:t xml:space="preserve">ables 1 and </w:t>
      </w:r>
      <w:r w:rsidR="00421ED4">
        <w:rPr>
          <w:rFonts w:eastAsiaTheme="minorEastAsia"/>
        </w:rPr>
        <w:t>2, for before and after the SCR is added in 2021 as required by the Clean Air Act.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996"/>
        <w:gridCol w:w="1620"/>
        <w:gridCol w:w="1260"/>
        <w:gridCol w:w="1080"/>
        <w:gridCol w:w="1080"/>
        <w:gridCol w:w="1080"/>
        <w:gridCol w:w="624"/>
        <w:gridCol w:w="461"/>
      </w:tblGrid>
      <w:tr w:rsidR="00921E7C" w14:paraId="686E2663" w14:textId="77777777" w:rsidTr="00921E7C">
        <w:tc>
          <w:tcPr>
            <w:tcW w:w="8899" w:type="dxa"/>
            <w:gridSpan w:val="8"/>
          </w:tcPr>
          <w:p w14:paraId="796AAAA2" w14:textId="26186AA3" w:rsidR="00921E7C" w:rsidRDefault="00921E7C" w:rsidP="00F95899">
            <w:pPr>
              <w:rPr>
                <w:rFonts w:eastAsiaTheme="minorEastAsia"/>
              </w:rPr>
            </w:pPr>
            <m:oMathPara>
              <m:oMath>
                <m:r>
                  <w:rPr>
                    <w:rFonts w:ascii="Cambria Math" w:hAnsi="Cambria Math"/>
                  </w:rPr>
                  <m:t xml:space="preserve">Total Emissions=CF⋅8760⋅Capacity⋅ </m:t>
                </m:r>
                <m:r>
                  <w:rPr>
                    <w:rFonts w:ascii="Cambria Math" w:hAnsi="Cambria Math"/>
                  </w:rPr>
                  <m:t xml:space="preserve">Heat </m:t>
                </m:r>
                <m:r>
                  <w:rPr>
                    <w:rFonts w:ascii="Cambria Math" w:hAnsi="Cambria Math"/>
                  </w:rPr>
                  <m:t>Rate</m:t>
                </m:r>
                <m:r>
                  <w:rPr>
                    <w:rFonts w:ascii="Cambria Math" w:hAnsi="Cambria Math"/>
                  </w:rPr>
                  <m:t>⋅Emissions Rate</m:t>
                </m:r>
              </m:oMath>
            </m:oMathPara>
          </w:p>
        </w:tc>
        <w:tc>
          <w:tcPr>
            <w:tcW w:w="461" w:type="dxa"/>
          </w:tcPr>
          <w:p w14:paraId="0C20FBF2" w14:textId="364351DD" w:rsidR="00921E7C" w:rsidRDefault="00921E7C" w:rsidP="00F95899">
            <w:pPr>
              <w:rPr>
                <w:rFonts w:eastAsiaTheme="minorEastAsia"/>
              </w:rPr>
            </w:pPr>
            <w:r>
              <w:rPr>
                <w:rFonts w:eastAsiaTheme="minorEastAsia"/>
              </w:rPr>
              <w:t>(</w:t>
            </w:r>
            <w:r w:rsidR="00B65EE1">
              <w:rPr>
                <w:rFonts w:eastAsiaTheme="minorEastAsia"/>
              </w:rPr>
              <w:t>2</w:t>
            </w:r>
            <w:r>
              <w:rPr>
                <w:rFonts w:eastAsiaTheme="minorEastAsia"/>
              </w:rPr>
              <w:t>)</w:t>
            </w:r>
          </w:p>
        </w:tc>
      </w:tr>
      <w:tr w:rsidR="00921E7C" w14:paraId="6B7EEF95" w14:textId="77777777" w:rsidTr="00921E7C">
        <w:tc>
          <w:tcPr>
            <w:tcW w:w="8899" w:type="dxa"/>
            <w:gridSpan w:val="8"/>
          </w:tcPr>
          <w:p w14:paraId="42BE1B8E" w14:textId="77777777" w:rsidR="00921E7C" w:rsidRDefault="00921E7C" w:rsidP="00F95899">
            <w:pPr>
              <w:rPr>
                <w:rFonts w:ascii="Calibri" w:eastAsia="Times New Roman" w:hAnsi="Calibri" w:cs="Times New Roman"/>
              </w:rPr>
            </w:pPr>
          </w:p>
        </w:tc>
        <w:tc>
          <w:tcPr>
            <w:tcW w:w="461" w:type="dxa"/>
          </w:tcPr>
          <w:p w14:paraId="1233E257" w14:textId="77777777" w:rsidR="00921E7C" w:rsidRDefault="00921E7C" w:rsidP="00F95899">
            <w:pPr>
              <w:rPr>
                <w:rFonts w:eastAsiaTheme="minorEastAsia"/>
              </w:rPr>
            </w:pPr>
          </w:p>
        </w:tc>
      </w:tr>
      <w:tr w:rsidR="00930F5F" w14:paraId="7EBA5901"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9"/>
          </w:tcPr>
          <w:p w14:paraId="43DFE0A8" w14:textId="05A3B608" w:rsidR="00930F5F" w:rsidRDefault="00930F5F" w:rsidP="00CE69A0">
            <w:r>
              <w:t>Table 1: CCGT Life Cycle Analysis Emissions</w:t>
            </w:r>
            <w:r w:rsidR="006B3CD3">
              <w:t xml:space="preserve"> Rate</w:t>
            </w:r>
          </w:p>
        </w:tc>
      </w:tr>
      <w:tr w:rsidR="006B3CD3" w14:paraId="69182201"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4DF5829C" w14:textId="289B2FFC" w:rsidR="00930F5F" w:rsidRPr="006B3CD3" w:rsidRDefault="00930F5F" w:rsidP="006B3CD3">
            <w:pPr>
              <w:jc w:val="center"/>
              <w:rPr>
                <w:b/>
                <w:bCs/>
              </w:rPr>
            </w:pPr>
            <w:r w:rsidRPr="006B3CD3">
              <w:rPr>
                <w:b/>
                <w:bCs/>
              </w:rPr>
              <w:t>Turbine</w:t>
            </w:r>
          </w:p>
        </w:tc>
        <w:tc>
          <w:tcPr>
            <w:tcW w:w="996" w:type="dxa"/>
          </w:tcPr>
          <w:p w14:paraId="5EA06F44" w14:textId="4A3479FB" w:rsidR="00930F5F" w:rsidRPr="006B3CD3" w:rsidRDefault="00930F5F" w:rsidP="006B3CD3">
            <w:pPr>
              <w:jc w:val="center"/>
              <w:rPr>
                <w:b/>
                <w:bCs/>
              </w:rPr>
            </w:pPr>
            <w:r w:rsidRPr="006B3CD3">
              <w:rPr>
                <w:b/>
                <w:bCs/>
              </w:rPr>
              <w:t>Location</w:t>
            </w:r>
          </w:p>
        </w:tc>
        <w:tc>
          <w:tcPr>
            <w:tcW w:w="1620" w:type="dxa"/>
          </w:tcPr>
          <w:p w14:paraId="5BF0C574" w14:textId="77777777" w:rsidR="00930F5F" w:rsidRPr="006B3CD3" w:rsidRDefault="00930F5F" w:rsidP="006B3CD3">
            <w:pPr>
              <w:jc w:val="center"/>
              <w:rPr>
                <w:b/>
                <w:bCs/>
              </w:rPr>
            </w:pPr>
            <w:r w:rsidRPr="006B3CD3">
              <w:rPr>
                <w:b/>
                <w:bCs/>
              </w:rPr>
              <w:t>Capacity Factor</w:t>
            </w:r>
          </w:p>
          <w:p w14:paraId="4BD96050" w14:textId="757ECE5C" w:rsidR="00930F5F" w:rsidRPr="006B3CD3" w:rsidRDefault="00930F5F" w:rsidP="006B3CD3">
            <w:pPr>
              <w:jc w:val="center"/>
              <w:rPr>
                <w:b/>
                <w:bCs/>
              </w:rPr>
            </w:pPr>
            <w:r w:rsidRPr="006B3CD3">
              <w:rPr>
                <w:b/>
                <w:bCs/>
              </w:rPr>
              <w:t>(2011-2019)</w:t>
            </w:r>
          </w:p>
        </w:tc>
        <w:tc>
          <w:tcPr>
            <w:tcW w:w="1260" w:type="dxa"/>
          </w:tcPr>
          <w:p w14:paraId="17400139" w14:textId="2F2433AF" w:rsidR="00930F5F" w:rsidRPr="006B3CD3" w:rsidRDefault="00930F5F" w:rsidP="006B3CD3">
            <w:pPr>
              <w:jc w:val="center"/>
              <w:rPr>
                <w:b/>
                <w:bCs/>
              </w:rPr>
            </w:pPr>
            <w:r w:rsidRPr="006B3CD3">
              <w:rPr>
                <w:b/>
                <w:bCs/>
              </w:rPr>
              <w:t xml:space="preserve">Heat Rate </w:t>
            </w:r>
            <w:r w:rsidRPr="006B3CD3">
              <w:rPr>
                <w:b/>
                <w:bCs/>
                <w:sz w:val="20"/>
                <w:szCs w:val="20"/>
              </w:rPr>
              <w:t>(BTU/ kWh)</w:t>
            </w:r>
          </w:p>
        </w:tc>
        <w:tc>
          <w:tcPr>
            <w:tcW w:w="1080" w:type="dxa"/>
          </w:tcPr>
          <w:p w14:paraId="6D50CA61" w14:textId="7195B4A5" w:rsidR="00930F5F" w:rsidRPr="006B3CD3" w:rsidRDefault="00930F5F" w:rsidP="006B3CD3">
            <w:pPr>
              <w:jc w:val="center"/>
              <w:rPr>
                <w:b/>
                <w:bCs/>
              </w:rPr>
            </w:pPr>
            <w:r w:rsidRPr="006B3CD3">
              <w:rPr>
                <w:b/>
                <w:bCs/>
              </w:rPr>
              <w:t xml:space="preserve">Capacity </w:t>
            </w:r>
            <w:r w:rsidRPr="006B3CD3">
              <w:rPr>
                <w:b/>
                <w:bCs/>
                <w:sz w:val="20"/>
                <w:szCs w:val="20"/>
              </w:rPr>
              <w:t>(MW)</w:t>
            </w:r>
          </w:p>
        </w:tc>
        <w:tc>
          <w:tcPr>
            <w:tcW w:w="1080" w:type="dxa"/>
          </w:tcPr>
          <w:p w14:paraId="08651CC6" w14:textId="7E73CAF5" w:rsidR="00930F5F" w:rsidRPr="006B3CD3" w:rsidRDefault="00930F5F" w:rsidP="006B3CD3">
            <w:pPr>
              <w:jc w:val="center"/>
              <w:rPr>
                <w:b/>
                <w:bCs/>
              </w:rPr>
            </w:pPr>
            <w:r w:rsidRPr="006B3CD3">
              <w:rPr>
                <w:b/>
                <w:bCs/>
              </w:rPr>
              <w:t>NO</w:t>
            </w:r>
            <w:r w:rsidRPr="006B3CD3">
              <w:rPr>
                <w:b/>
                <w:bCs/>
                <w:vertAlign w:val="subscript"/>
              </w:rPr>
              <w:t>x</w:t>
            </w:r>
          </w:p>
          <w:p w14:paraId="4F70EBF7" w14:textId="50D9A023"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314549">
              <w:rPr>
                <w:b/>
                <w:bCs/>
                <w:sz w:val="20"/>
                <w:szCs w:val="20"/>
              </w:rPr>
              <w:t xml:space="preserve"> MMBTU</w:t>
            </w:r>
            <w:r w:rsidRPr="006B3CD3">
              <w:rPr>
                <w:b/>
                <w:bCs/>
                <w:sz w:val="20"/>
                <w:szCs w:val="20"/>
              </w:rPr>
              <w:t>)</w:t>
            </w:r>
          </w:p>
        </w:tc>
        <w:tc>
          <w:tcPr>
            <w:tcW w:w="1080" w:type="dxa"/>
          </w:tcPr>
          <w:p w14:paraId="16EA62EE" w14:textId="3B3E0341" w:rsidR="00930F5F" w:rsidRPr="006B3CD3" w:rsidRDefault="00930F5F" w:rsidP="006B3CD3">
            <w:pPr>
              <w:jc w:val="center"/>
              <w:rPr>
                <w:b/>
                <w:bCs/>
                <w:vertAlign w:val="subscript"/>
              </w:rPr>
            </w:pPr>
            <w:r w:rsidRPr="006B3CD3">
              <w:rPr>
                <w:b/>
                <w:bCs/>
              </w:rPr>
              <w:t>SO</w:t>
            </w:r>
            <w:r w:rsidRPr="006B3CD3">
              <w:rPr>
                <w:b/>
                <w:bCs/>
                <w:vertAlign w:val="subscript"/>
              </w:rPr>
              <w:t>2</w:t>
            </w:r>
          </w:p>
          <w:p w14:paraId="3A193EF8" w14:textId="47E13F4C"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314549">
              <w:rPr>
                <w:b/>
                <w:bCs/>
                <w:sz w:val="20"/>
                <w:szCs w:val="20"/>
              </w:rPr>
              <w:t xml:space="preserve"> MMBTU</w:t>
            </w:r>
            <w:r w:rsidRPr="006B3CD3">
              <w:rPr>
                <w:b/>
                <w:bCs/>
                <w:sz w:val="20"/>
                <w:szCs w:val="20"/>
              </w:rPr>
              <w:t>)</w:t>
            </w:r>
          </w:p>
        </w:tc>
        <w:tc>
          <w:tcPr>
            <w:tcW w:w="1085" w:type="dxa"/>
            <w:gridSpan w:val="2"/>
          </w:tcPr>
          <w:p w14:paraId="7D12F05A" w14:textId="03CB57A1" w:rsidR="00930F5F" w:rsidRPr="00A0417B" w:rsidRDefault="00930F5F" w:rsidP="006B3CD3">
            <w:pPr>
              <w:jc w:val="center"/>
              <w:rPr>
                <w:b/>
                <w:bCs/>
              </w:rPr>
            </w:pPr>
            <w:r w:rsidRPr="006B3CD3">
              <w:rPr>
                <w:b/>
                <w:bCs/>
              </w:rPr>
              <w:t>CO</w:t>
            </w:r>
            <w:r w:rsidRPr="006B3CD3">
              <w:rPr>
                <w:b/>
                <w:bCs/>
                <w:vertAlign w:val="subscript"/>
              </w:rPr>
              <w:t>2</w:t>
            </w:r>
            <w:r w:rsidR="00A0417B">
              <w:rPr>
                <w:b/>
                <w:bCs/>
              </w:rPr>
              <w:t>-eq</w:t>
            </w:r>
          </w:p>
          <w:p w14:paraId="75917A92" w14:textId="2746259F" w:rsidR="00930F5F" w:rsidRPr="006B3CD3" w:rsidRDefault="00930F5F" w:rsidP="006B3CD3">
            <w:pPr>
              <w:jc w:val="center"/>
              <w:rPr>
                <w:b/>
                <w:bCs/>
                <w:sz w:val="20"/>
                <w:szCs w:val="20"/>
              </w:rPr>
            </w:pPr>
            <w:r w:rsidRPr="006B3CD3">
              <w:rPr>
                <w:b/>
                <w:bCs/>
                <w:sz w:val="20"/>
                <w:szCs w:val="20"/>
              </w:rPr>
              <w:t>(</w:t>
            </w:r>
            <w:proofErr w:type="spellStart"/>
            <w:r w:rsidRPr="006B3CD3">
              <w:rPr>
                <w:b/>
                <w:bCs/>
                <w:sz w:val="20"/>
                <w:szCs w:val="20"/>
              </w:rPr>
              <w:t>lb</w:t>
            </w:r>
            <w:proofErr w:type="spellEnd"/>
            <w:r w:rsidRPr="006B3CD3">
              <w:rPr>
                <w:b/>
                <w:bCs/>
                <w:sz w:val="20"/>
                <w:szCs w:val="20"/>
              </w:rPr>
              <w:t>/</w:t>
            </w:r>
            <w:r w:rsidR="00314549">
              <w:rPr>
                <w:b/>
                <w:bCs/>
                <w:sz w:val="20"/>
                <w:szCs w:val="20"/>
              </w:rPr>
              <w:t xml:space="preserve"> MMBTU</w:t>
            </w:r>
            <w:r w:rsidRPr="006B3CD3">
              <w:rPr>
                <w:b/>
                <w:bCs/>
                <w:sz w:val="20"/>
                <w:szCs w:val="20"/>
              </w:rPr>
              <w:t>)</w:t>
            </w:r>
          </w:p>
        </w:tc>
      </w:tr>
      <w:tr w:rsidR="00314549" w14:paraId="2BA685D7"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5DDD8103" w14:textId="4EA2375E" w:rsidR="00314549" w:rsidRDefault="00314549" w:rsidP="00314549">
            <w:r w:rsidRPr="00B7579C">
              <w:t>GE 7FA.05</w:t>
            </w:r>
          </w:p>
        </w:tc>
        <w:tc>
          <w:tcPr>
            <w:tcW w:w="996" w:type="dxa"/>
          </w:tcPr>
          <w:p w14:paraId="15AB4B93" w14:textId="70A394A5" w:rsidR="00314549" w:rsidRDefault="00314549" w:rsidP="00314549">
            <w:r>
              <w:t>Houston</w:t>
            </w:r>
          </w:p>
        </w:tc>
        <w:tc>
          <w:tcPr>
            <w:tcW w:w="1620" w:type="dxa"/>
          </w:tcPr>
          <w:p w14:paraId="677F0710" w14:textId="166F2421" w:rsidR="00314549" w:rsidRDefault="00314549" w:rsidP="00314549">
            <w:r>
              <w:t>26.7%</w:t>
            </w:r>
          </w:p>
        </w:tc>
        <w:tc>
          <w:tcPr>
            <w:tcW w:w="1260" w:type="dxa"/>
          </w:tcPr>
          <w:p w14:paraId="5DDFBEFF" w14:textId="54B80225" w:rsidR="00314549" w:rsidRDefault="00314549" w:rsidP="00314549">
            <w:r>
              <w:t>6800</w:t>
            </w:r>
          </w:p>
        </w:tc>
        <w:tc>
          <w:tcPr>
            <w:tcW w:w="1080" w:type="dxa"/>
          </w:tcPr>
          <w:p w14:paraId="0F3EE7A7" w14:textId="0D7BB51D" w:rsidR="00314549" w:rsidRDefault="00314549" w:rsidP="00314549">
            <w:r>
              <w:t>600</w:t>
            </w:r>
          </w:p>
        </w:tc>
        <w:tc>
          <w:tcPr>
            <w:tcW w:w="1080" w:type="dxa"/>
            <w:vAlign w:val="center"/>
          </w:tcPr>
          <w:p w14:paraId="7B49A84A" w14:textId="1CE75708" w:rsidR="00314549" w:rsidRDefault="00314549" w:rsidP="00314549">
            <w:r>
              <w:rPr>
                <w:rFonts w:ascii="Calibri" w:hAnsi="Calibri" w:cs="Calibri"/>
                <w:color w:val="000000"/>
              </w:rPr>
              <w:t>0.0075</w:t>
            </w:r>
          </w:p>
        </w:tc>
        <w:tc>
          <w:tcPr>
            <w:tcW w:w="1080" w:type="dxa"/>
            <w:vAlign w:val="center"/>
          </w:tcPr>
          <w:p w14:paraId="53CA08AE" w14:textId="68D94ADB" w:rsidR="00314549" w:rsidRDefault="00314549" w:rsidP="00314549">
            <w:r>
              <w:rPr>
                <w:rFonts w:ascii="Calibri" w:hAnsi="Calibri" w:cs="Calibri"/>
                <w:color w:val="000000"/>
              </w:rPr>
              <w:t>0.00074</w:t>
            </w:r>
          </w:p>
        </w:tc>
        <w:tc>
          <w:tcPr>
            <w:tcW w:w="1085" w:type="dxa"/>
            <w:gridSpan w:val="2"/>
            <w:vAlign w:val="center"/>
          </w:tcPr>
          <w:p w14:paraId="08BBE756" w14:textId="394EF154" w:rsidR="00314549" w:rsidRDefault="00314549" w:rsidP="00314549">
            <w:r>
              <w:rPr>
                <w:rFonts w:ascii="Calibri" w:hAnsi="Calibri" w:cs="Calibri"/>
                <w:color w:val="000000"/>
              </w:rPr>
              <w:t>117</w:t>
            </w:r>
          </w:p>
        </w:tc>
      </w:tr>
      <w:tr w:rsidR="00314549" w14:paraId="7DDDA41B"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2E695A67" w14:textId="69FE08A7" w:rsidR="00314549" w:rsidRDefault="00314549" w:rsidP="00314549">
            <w:r w:rsidRPr="00B7579C">
              <w:lastRenderedPageBreak/>
              <w:t>Mitsubishi 501J</w:t>
            </w:r>
          </w:p>
        </w:tc>
        <w:tc>
          <w:tcPr>
            <w:tcW w:w="996" w:type="dxa"/>
          </w:tcPr>
          <w:p w14:paraId="1ABDFE55" w14:textId="53FFDBB8" w:rsidR="00314549" w:rsidRDefault="00314549" w:rsidP="00314549">
            <w:r>
              <w:t>Houston</w:t>
            </w:r>
          </w:p>
        </w:tc>
        <w:tc>
          <w:tcPr>
            <w:tcW w:w="1620" w:type="dxa"/>
          </w:tcPr>
          <w:p w14:paraId="05D2BF5A" w14:textId="4EDA0902" w:rsidR="00314549" w:rsidRDefault="00314549" w:rsidP="00314549">
            <w:r>
              <w:t>31.4%</w:t>
            </w:r>
          </w:p>
        </w:tc>
        <w:tc>
          <w:tcPr>
            <w:tcW w:w="1260" w:type="dxa"/>
          </w:tcPr>
          <w:p w14:paraId="3BB561AD" w14:textId="323730BD" w:rsidR="00314549" w:rsidRDefault="00314549" w:rsidP="00314549">
            <w:r>
              <w:t>6400</w:t>
            </w:r>
          </w:p>
        </w:tc>
        <w:tc>
          <w:tcPr>
            <w:tcW w:w="1080" w:type="dxa"/>
          </w:tcPr>
          <w:p w14:paraId="01038337" w14:textId="6BAF35F1" w:rsidR="00314549" w:rsidRDefault="00314549" w:rsidP="00314549">
            <w:r>
              <w:t>460</w:t>
            </w:r>
          </w:p>
        </w:tc>
        <w:tc>
          <w:tcPr>
            <w:tcW w:w="1080" w:type="dxa"/>
            <w:vAlign w:val="center"/>
          </w:tcPr>
          <w:p w14:paraId="7ECD8C33" w14:textId="4C820487" w:rsidR="00314549" w:rsidRDefault="00314549" w:rsidP="00314549">
            <w:r>
              <w:rPr>
                <w:rFonts w:ascii="Calibri" w:hAnsi="Calibri" w:cs="Calibri"/>
                <w:color w:val="000000"/>
              </w:rPr>
              <w:t>0.0075</w:t>
            </w:r>
          </w:p>
        </w:tc>
        <w:tc>
          <w:tcPr>
            <w:tcW w:w="1080" w:type="dxa"/>
            <w:vAlign w:val="center"/>
          </w:tcPr>
          <w:p w14:paraId="2E887BB6" w14:textId="6B70498C" w:rsidR="00314549" w:rsidRDefault="00314549" w:rsidP="00314549">
            <w:r>
              <w:rPr>
                <w:rFonts w:ascii="Calibri" w:hAnsi="Calibri" w:cs="Calibri"/>
                <w:color w:val="000000"/>
              </w:rPr>
              <w:t>0.00074</w:t>
            </w:r>
          </w:p>
        </w:tc>
        <w:tc>
          <w:tcPr>
            <w:tcW w:w="1085" w:type="dxa"/>
            <w:gridSpan w:val="2"/>
            <w:vAlign w:val="center"/>
          </w:tcPr>
          <w:p w14:paraId="44FECBCF" w14:textId="34F4EE65" w:rsidR="00314549" w:rsidRDefault="00314549" w:rsidP="00314549">
            <w:r>
              <w:rPr>
                <w:rFonts w:ascii="Calibri" w:hAnsi="Calibri" w:cs="Calibri"/>
                <w:color w:val="000000"/>
              </w:rPr>
              <w:t>117</w:t>
            </w:r>
          </w:p>
        </w:tc>
      </w:tr>
      <w:tr w:rsidR="00314549" w14:paraId="5F4B9103"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73E327AD" w14:textId="5EFEF3F8" w:rsidR="00314549" w:rsidRDefault="00314549" w:rsidP="00314549">
            <w:r w:rsidRPr="00B7579C">
              <w:t>Mitsubishi 501GAC</w:t>
            </w:r>
          </w:p>
        </w:tc>
        <w:tc>
          <w:tcPr>
            <w:tcW w:w="996" w:type="dxa"/>
          </w:tcPr>
          <w:p w14:paraId="6C76192C" w14:textId="249106B3" w:rsidR="00314549" w:rsidRDefault="00314549" w:rsidP="00314549">
            <w:r>
              <w:t>Houston</w:t>
            </w:r>
          </w:p>
        </w:tc>
        <w:tc>
          <w:tcPr>
            <w:tcW w:w="1620" w:type="dxa"/>
          </w:tcPr>
          <w:p w14:paraId="09B09A9C" w14:textId="56EE2714" w:rsidR="00314549" w:rsidRDefault="00314549" w:rsidP="00314549">
            <w:r>
              <w:t>34.4%</w:t>
            </w:r>
          </w:p>
        </w:tc>
        <w:tc>
          <w:tcPr>
            <w:tcW w:w="1260" w:type="dxa"/>
          </w:tcPr>
          <w:p w14:paraId="61EF50E2" w14:textId="0A55A0B3" w:rsidR="00314549" w:rsidRDefault="00314549" w:rsidP="00314549">
            <w:r>
              <w:t>6200</w:t>
            </w:r>
          </w:p>
        </w:tc>
        <w:tc>
          <w:tcPr>
            <w:tcW w:w="1080" w:type="dxa"/>
          </w:tcPr>
          <w:p w14:paraId="5727FC42" w14:textId="3870FEE4" w:rsidR="00314549" w:rsidRDefault="00314549" w:rsidP="00314549">
            <w:r>
              <w:t>405</w:t>
            </w:r>
          </w:p>
        </w:tc>
        <w:tc>
          <w:tcPr>
            <w:tcW w:w="1080" w:type="dxa"/>
            <w:vAlign w:val="center"/>
          </w:tcPr>
          <w:p w14:paraId="3405428C" w14:textId="1417CFD5" w:rsidR="00314549" w:rsidRDefault="00314549" w:rsidP="00314549">
            <w:r>
              <w:rPr>
                <w:rFonts w:ascii="Calibri" w:hAnsi="Calibri" w:cs="Calibri"/>
                <w:color w:val="000000"/>
              </w:rPr>
              <w:t>0.0075</w:t>
            </w:r>
          </w:p>
        </w:tc>
        <w:tc>
          <w:tcPr>
            <w:tcW w:w="1080" w:type="dxa"/>
            <w:vAlign w:val="center"/>
          </w:tcPr>
          <w:p w14:paraId="48D6D524" w14:textId="689A4ADA" w:rsidR="00314549" w:rsidRDefault="00314549" w:rsidP="00314549">
            <w:r>
              <w:rPr>
                <w:rFonts w:ascii="Calibri" w:hAnsi="Calibri" w:cs="Calibri"/>
                <w:color w:val="000000"/>
              </w:rPr>
              <w:t>0.00074</w:t>
            </w:r>
          </w:p>
        </w:tc>
        <w:tc>
          <w:tcPr>
            <w:tcW w:w="1085" w:type="dxa"/>
            <w:gridSpan w:val="2"/>
            <w:vAlign w:val="center"/>
          </w:tcPr>
          <w:p w14:paraId="74BBAF93" w14:textId="018AD75A" w:rsidR="00314549" w:rsidRDefault="00314549" w:rsidP="00314549">
            <w:r>
              <w:rPr>
                <w:rFonts w:ascii="Calibri" w:hAnsi="Calibri" w:cs="Calibri"/>
                <w:color w:val="000000"/>
              </w:rPr>
              <w:t>117</w:t>
            </w:r>
          </w:p>
        </w:tc>
      </w:tr>
      <w:tr w:rsidR="00314549" w14:paraId="26E22049" w14:textId="77777777" w:rsidTr="0031454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159" w:type="dxa"/>
          </w:tcPr>
          <w:p w14:paraId="07AFABD3" w14:textId="075781F4" w:rsidR="00314549" w:rsidRDefault="00314549" w:rsidP="00314549">
            <w:r w:rsidRPr="00B7579C">
              <w:t>GE 207FA</w:t>
            </w:r>
            <w:r>
              <w:t>.04</w:t>
            </w:r>
          </w:p>
        </w:tc>
        <w:tc>
          <w:tcPr>
            <w:tcW w:w="996" w:type="dxa"/>
          </w:tcPr>
          <w:p w14:paraId="795F82BC" w14:textId="643BDFEF" w:rsidR="00314549" w:rsidRDefault="00314549" w:rsidP="00314549">
            <w:r>
              <w:t>San Antonio</w:t>
            </w:r>
          </w:p>
        </w:tc>
        <w:tc>
          <w:tcPr>
            <w:tcW w:w="1620" w:type="dxa"/>
          </w:tcPr>
          <w:p w14:paraId="60275244" w14:textId="7ACCF2FE" w:rsidR="00314549" w:rsidRDefault="00314549" w:rsidP="00314549">
            <w:r>
              <w:t>10.5%</w:t>
            </w:r>
          </w:p>
        </w:tc>
        <w:tc>
          <w:tcPr>
            <w:tcW w:w="1260" w:type="dxa"/>
          </w:tcPr>
          <w:p w14:paraId="323FC110" w14:textId="47AE6B28" w:rsidR="00314549" w:rsidRDefault="00314549" w:rsidP="00314549">
            <w:r>
              <w:t xml:space="preserve">8840 </w:t>
            </w:r>
            <w:r w:rsidRPr="00077CB0">
              <w:rPr>
                <w:vertAlign w:val="superscript"/>
              </w:rPr>
              <w:t>[2]</w:t>
            </w:r>
          </w:p>
        </w:tc>
        <w:tc>
          <w:tcPr>
            <w:tcW w:w="1080" w:type="dxa"/>
          </w:tcPr>
          <w:p w14:paraId="5F8BF12A" w14:textId="34FEE90F" w:rsidR="00314549" w:rsidRDefault="00314549" w:rsidP="00314549">
            <w:r>
              <w:t>942</w:t>
            </w:r>
          </w:p>
        </w:tc>
        <w:tc>
          <w:tcPr>
            <w:tcW w:w="1080" w:type="dxa"/>
            <w:vAlign w:val="center"/>
          </w:tcPr>
          <w:p w14:paraId="16AFB8C5" w14:textId="578C5868" w:rsidR="00314549" w:rsidRDefault="00314549" w:rsidP="00314549">
            <w:r>
              <w:rPr>
                <w:rFonts w:ascii="Calibri" w:hAnsi="Calibri" w:cs="Calibri"/>
                <w:color w:val="000000"/>
              </w:rPr>
              <w:t>0.15 / 0.0075*</w:t>
            </w:r>
          </w:p>
        </w:tc>
        <w:tc>
          <w:tcPr>
            <w:tcW w:w="1080" w:type="dxa"/>
            <w:vAlign w:val="center"/>
          </w:tcPr>
          <w:p w14:paraId="6E500F3E" w14:textId="45ACB2C1" w:rsidR="00314549" w:rsidRDefault="00314549" w:rsidP="00314549">
            <w:r>
              <w:rPr>
                <w:rFonts w:ascii="Calibri" w:hAnsi="Calibri" w:cs="Calibri"/>
                <w:color w:val="000000"/>
              </w:rPr>
              <w:t>0.00074</w:t>
            </w:r>
          </w:p>
        </w:tc>
        <w:tc>
          <w:tcPr>
            <w:tcW w:w="1085" w:type="dxa"/>
            <w:gridSpan w:val="2"/>
            <w:vAlign w:val="center"/>
          </w:tcPr>
          <w:p w14:paraId="1065A7C6" w14:textId="30D9BB94" w:rsidR="00314549" w:rsidRDefault="00314549" w:rsidP="00314549">
            <w:r>
              <w:rPr>
                <w:rFonts w:ascii="Calibri" w:hAnsi="Calibri" w:cs="Calibri"/>
                <w:color w:val="000000"/>
              </w:rPr>
              <w:t>117</w:t>
            </w:r>
          </w:p>
        </w:tc>
      </w:tr>
      <w:tr w:rsidR="00314549" w14:paraId="7ACEBEF7" w14:textId="77777777" w:rsidTr="00F5605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360" w:type="dxa"/>
            <w:gridSpan w:val="9"/>
          </w:tcPr>
          <w:p w14:paraId="24981E4A" w14:textId="792BBA20" w:rsidR="00314549" w:rsidRPr="00314549" w:rsidRDefault="00314549" w:rsidP="00314549">
            <w:pPr>
              <w:rPr>
                <w:rFonts w:ascii="Calibri" w:hAnsi="Calibri" w:cs="Calibri"/>
                <w:color w:val="000000"/>
              </w:rPr>
            </w:pPr>
            <w:r w:rsidRPr="00314549">
              <w:rPr>
                <w:rFonts w:ascii="Calibri" w:hAnsi="Calibri" w:cs="Calibri"/>
                <w:color w:val="000000"/>
              </w:rPr>
              <w:t>*</w:t>
            </w:r>
            <w:r>
              <w:rPr>
                <w:rFonts w:ascii="Calibri" w:hAnsi="Calibri" w:cs="Calibri"/>
                <w:color w:val="000000"/>
              </w:rPr>
              <w:t xml:space="preserve"> Emissions rates before and after the SCR is added in 2021 as required by the Clean Air Act</w:t>
            </w:r>
          </w:p>
        </w:tc>
      </w:tr>
    </w:tbl>
    <w:p w14:paraId="4F6DBD66" w14:textId="77777777" w:rsidR="00D1055C" w:rsidRPr="00CE69A0" w:rsidRDefault="00D1055C" w:rsidP="00CE69A0"/>
    <w:tbl>
      <w:tblPr>
        <w:tblStyle w:val="TableGrid"/>
        <w:tblW w:w="0" w:type="auto"/>
        <w:tblLook w:val="04A0" w:firstRow="1" w:lastRow="0" w:firstColumn="1" w:lastColumn="0" w:noHBand="0" w:noVBand="1"/>
      </w:tblPr>
      <w:tblGrid>
        <w:gridCol w:w="1159"/>
        <w:gridCol w:w="996"/>
        <w:gridCol w:w="1578"/>
        <w:gridCol w:w="1223"/>
        <w:gridCol w:w="1074"/>
        <w:gridCol w:w="1078"/>
        <w:gridCol w:w="1078"/>
        <w:gridCol w:w="1164"/>
      </w:tblGrid>
      <w:tr w:rsidR="00B65EE1" w14:paraId="490555FE" w14:textId="77777777" w:rsidTr="00F95899">
        <w:tc>
          <w:tcPr>
            <w:tcW w:w="9350" w:type="dxa"/>
            <w:gridSpan w:val="8"/>
          </w:tcPr>
          <w:p w14:paraId="2D37996B" w14:textId="7B76AC7B" w:rsidR="00B65EE1" w:rsidRDefault="00B65EE1" w:rsidP="00F95899">
            <w:r>
              <w:t>Table 2: CCGT Life Cycle Analysis Annual Emissions</w:t>
            </w:r>
          </w:p>
        </w:tc>
      </w:tr>
      <w:tr w:rsidR="00B65EE1" w:rsidRPr="006B3CD3" w14:paraId="4A004990" w14:textId="77777777" w:rsidTr="006E51E7">
        <w:tc>
          <w:tcPr>
            <w:tcW w:w="1159" w:type="dxa"/>
          </w:tcPr>
          <w:p w14:paraId="6CC0CCFC" w14:textId="77777777" w:rsidR="00B65EE1" w:rsidRPr="006B3CD3" w:rsidRDefault="00B65EE1" w:rsidP="00F95899">
            <w:pPr>
              <w:jc w:val="center"/>
              <w:rPr>
                <w:b/>
                <w:bCs/>
              </w:rPr>
            </w:pPr>
            <w:r w:rsidRPr="006B3CD3">
              <w:rPr>
                <w:b/>
                <w:bCs/>
              </w:rPr>
              <w:t>Turbine</w:t>
            </w:r>
          </w:p>
        </w:tc>
        <w:tc>
          <w:tcPr>
            <w:tcW w:w="996" w:type="dxa"/>
          </w:tcPr>
          <w:p w14:paraId="3B84C5F9" w14:textId="77777777" w:rsidR="00B65EE1" w:rsidRPr="006B3CD3" w:rsidRDefault="00B65EE1" w:rsidP="00F95899">
            <w:pPr>
              <w:jc w:val="center"/>
              <w:rPr>
                <w:b/>
                <w:bCs/>
              </w:rPr>
            </w:pPr>
            <w:r w:rsidRPr="006B3CD3">
              <w:rPr>
                <w:b/>
                <w:bCs/>
              </w:rPr>
              <w:t>Location</w:t>
            </w:r>
          </w:p>
        </w:tc>
        <w:tc>
          <w:tcPr>
            <w:tcW w:w="1578" w:type="dxa"/>
          </w:tcPr>
          <w:p w14:paraId="6FABC6FB" w14:textId="77777777" w:rsidR="00B65EE1" w:rsidRPr="006B3CD3" w:rsidRDefault="00B65EE1" w:rsidP="00F95899">
            <w:pPr>
              <w:jc w:val="center"/>
              <w:rPr>
                <w:b/>
                <w:bCs/>
              </w:rPr>
            </w:pPr>
            <w:r w:rsidRPr="006B3CD3">
              <w:rPr>
                <w:b/>
                <w:bCs/>
              </w:rPr>
              <w:t>Capacity Factor</w:t>
            </w:r>
          </w:p>
          <w:p w14:paraId="2BFD901C" w14:textId="77777777" w:rsidR="00B65EE1" w:rsidRPr="006B3CD3" w:rsidRDefault="00B65EE1" w:rsidP="00F95899">
            <w:pPr>
              <w:jc w:val="center"/>
              <w:rPr>
                <w:b/>
                <w:bCs/>
              </w:rPr>
            </w:pPr>
            <w:r w:rsidRPr="006B3CD3">
              <w:rPr>
                <w:b/>
                <w:bCs/>
              </w:rPr>
              <w:t>(2011-2019)</w:t>
            </w:r>
          </w:p>
        </w:tc>
        <w:tc>
          <w:tcPr>
            <w:tcW w:w="1223" w:type="dxa"/>
          </w:tcPr>
          <w:p w14:paraId="398E3EA4" w14:textId="77777777" w:rsidR="00B65EE1" w:rsidRPr="006B3CD3" w:rsidRDefault="00B65EE1" w:rsidP="00F95899">
            <w:pPr>
              <w:jc w:val="center"/>
              <w:rPr>
                <w:b/>
                <w:bCs/>
              </w:rPr>
            </w:pPr>
            <w:r w:rsidRPr="006B3CD3">
              <w:rPr>
                <w:b/>
                <w:bCs/>
              </w:rPr>
              <w:t xml:space="preserve">Heat Rate </w:t>
            </w:r>
            <w:r w:rsidRPr="006B3CD3">
              <w:rPr>
                <w:b/>
                <w:bCs/>
                <w:sz w:val="20"/>
                <w:szCs w:val="20"/>
              </w:rPr>
              <w:t>(BTU/ kWh)</w:t>
            </w:r>
          </w:p>
        </w:tc>
        <w:tc>
          <w:tcPr>
            <w:tcW w:w="1074" w:type="dxa"/>
          </w:tcPr>
          <w:p w14:paraId="2105E376" w14:textId="77777777" w:rsidR="00B65EE1" w:rsidRPr="006B3CD3" w:rsidRDefault="00B65EE1" w:rsidP="00F95899">
            <w:pPr>
              <w:jc w:val="center"/>
              <w:rPr>
                <w:b/>
                <w:bCs/>
              </w:rPr>
            </w:pPr>
            <w:r w:rsidRPr="006B3CD3">
              <w:rPr>
                <w:b/>
                <w:bCs/>
              </w:rPr>
              <w:t xml:space="preserve">Capacity </w:t>
            </w:r>
            <w:r w:rsidRPr="006B3CD3">
              <w:rPr>
                <w:b/>
                <w:bCs/>
                <w:sz w:val="20"/>
                <w:szCs w:val="20"/>
              </w:rPr>
              <w:t>(MW)</w:t>
            </w:r>
          </w:p>
        </w:tc>
        <w:tc>
          <w:tcPr>
            <w:tcW w:w="1078" w:type="dxa"/>
          </w:tcPr>
          <w:p w14:paraId="79F3DD16" w14:textId="77777777" w:rsidR="00B65EE1" w:rsidRPr="006B3CD3" w:rsidRDefault="00B65EE1" w:rsidP="00F95899">
            <w:pPr>
              <w:jc w:val="center"/>
              <w:rPr>
                <w:b/>
                <w:bCs/>
              </w:rPr>
            </w:pPr>
            <w:r w:rsidRPr="006B3CD3">
              <w:rPr>
                <w:b/>
                <w:bCs/>
              </w:rPr>
              <w:t>NO</w:t>
            </w:r>
            <w:r w:rsidRPr="006B3CD3">
              <w:rPr>
                <w:b/>
                <w:bCs/>
                <w:vertAlign w:val="subscript"/>
              </w:rPr>
              <w:t>x</w:t>
            </w:r>
          </w:p>
          <w:p w14:paraId="1B75902D" w14:textId="76ED515E" w:rsidR="00B65EE1" w:rsidRPr="006B3CD3" w:rsidRDefault="00B65EE1" w:rsidP="00F95899">
            <w:pPr>
              <w:jc w:val="center"/>
              <w:rPr>
                <w:b/>
                <w:bCs/>
                <w:sz w:val="20"/>
                <w:szCs w:val="20"/>
              </w:rPr>
            </w:pPr>
            <w:r w:rsidRPr="006B3CD3">
              <w:rPr>
                <w:b/>
                <w:bCs/>
                <w:sz w:val="20"/>
                <w:szCs w:val="20"/>
              </w:rPr>
              <w:t>(</w:t>
            </w:r>
            <w:proofErr w:type="spellStart"/>
            <w:r>
              <w:rPr>
                <w:b/>
                <w:bCs/>
                <w:sz w:val="20"/>
                <w:szCs w:val="20"/>
              </w:rPr>
              <w:t>s.t.</w:t>
            </w:r>
            <w:proofErr w:type="spellEnd"/>
            <w:r w:rsidRPr="006B3CD3">
              <w:rPr>
                <w:b/>
                <w:bCs/>
                <w:sz w:val="20"/>
                <w:szCs w:val="20"/>
              </w:rPr>
              <w:t>/</w:t>
            </w:r>
            <w:r>
              <w:rPr>
                <w:b/>
                <w:bCs/>
                <w:sz w:val="20"/>
                <w:szCs w:val="20"/>
              </w:rPr>
              <w:t>year</w:t>
            </w:r>
            <w:r w:rsidRPr="006B3CD3">
              <w:rPr>
                <w:b/>
                <w:bCs/>
                <w:sz w:val="20"/>
                <w:szCs w:val="20"/>
              </w:rPr>
              <w:t>)</w:t>
            </w:r>
          </w:p>
        </w:tc>
        <w:tc>
          <w:tcPr>
            <w:tcW w:w="1078" w:type="dxa"/>
          </w:tcPr>
          <w:p w14:paraId="0828D981" w14:textId="77777777" w:rsidR="00B65EE1" w:rsidRPr="006B3CD3" w:rsidRDefault="00B65EE1" w:rsidP="00F95899">
            <w:pPr>
              <w:jc w:val="center"/>
              <w:rPr>
                <w:b/>
                <w:bCs/>
                <w:vertAlign w:val="subscript"/>
              </w:rPr>
            </w:pPr>
            <w:r w:rsidRPr="006B3CD3">
              <w:rPr>
                <w:b/>
                <w:bCs/>
              </w:rPr>
              <w:t>SO</w:t>
            </w:r>
            <w:r w:rsidRPr="006B3CD3">
              <w:rPr>
                <w:b/>
                <w:bCs/>
                <w:vertAlign w:val="subscript"/>
              </w:rPr>
              <w:t>2</w:t>
            </w:r>
          </w:p>
          <w:p w14:paraId="222CE476" w14:textId="1B85B3A1" w:rsidR="00B65EE1" w:rsidRPr="006B3CD3" w:rsidRDefault="00B65EE1" w:rsidP="00F95899">
            <w:pPr>
              <w:jc w:val="center"/>
              <w:rPr>
                <w:b/>
                <w:bCs/>
                <w:sz w:val="20"/>
                <w:szCs w:val="20"/>
              </w:rPr>
            </w:pPr>
            <w:r w:rsidRPr="006B3CD3">
              <w:rPr>
                <w:b/>
                <w:bCs/>
                <w:sz w:val="20"/>
                <w:szCs w:val="20"/>
              </w:rPr>
              <w:t>(</w:t>
            </w:r>
            <w:proofErr w:type="spellStart"/>
            <w:r>
              <w:rPr>
                <w:b/>
                <w:bCs/>
                <w:sz w:val="20"/>
                <w:szCs w:val="20"/>
              </w:rPr>
              <w:t>s.t.</w:t>
            </w:r>
            <w:proofErr w:type="spellEnd"/>
            <w:r w:rsidRPr="006B3CD3">
              <w:rPr>
                <w:b/>
                <w:bCs/>
                <w:sz w:val="20"/>
                <w:szCs w:val="20"/>
              </w:rPr>
              <w:t>/</w:t>
            </w:r>
            <w:r>
              <w:rPr>
                <w:b/>
                <w:bCs/>
                <w:sz w:val="20"/>
                <w:szCs w:val="20"/>
              </w:rPr>
              <w:t>year</w:t>
            </w:r>
            <w:r w:rsidRPr="006B3CD3">
              <w:rPr>
                <w:b/>
                <w:bCs/>
                <w:sz w:val="20"/>
                <w:szCs w:val="20"/>
              </w:rPr>
              <w:t>)</w:t>
            </w:r>
          </w:p>
        </w:tc>
        <w:tc>
          <w:tcPr>
            <w:tcW w:w="1164" w:type="dxa"/>
          </w:tcPr>
          <w:p w14:paraId="2F4537FE" w14:textId="77777777" w:rsidR="00B65EE1" w:rsidRPr="00A0417B" w:rsidRDefault="00B65EE1" w:rsidP="00F95899">
            <w:pPr>
              <w:jc w:val="center"/>
              <w:rPr>
                <w:b/>
                <w:bCs/>
              </w:rPr>
            </w:pPr>
            <w:r w:rsidRPr="006B3CD3">
              <w:rPr>
                <w:b/>
                <w:bCs/>
              </w:rPr>
              <w:t>CO</w:t>
            </w:r>
            <w:r w:rsidRPr="006B3CD3">
              <w:rPr>
                <w:b/>
                <w:bCs/>
                <w:vertAlign w:val="subscript"/>
              </w:rPr>
              <w:t>2</w:t>
            </w:r>
            <w:r>
              <w:rPr>
                <w:b/>
                <w:bCs/>
              </w:rPr>
              <w:t>-eq</w:t>
            </w:r>
          </w:p>
          <w:p w14:paraId="0D81DCCC" w14:textId="45463F05" w:rsidR="00B65EE1" w:rsidRPr="006B3CD3" w:rsidRDefault="00B65EE1" w:rsidP="00F95899">
            <w:pPr>
              <w:jc w:val="center"/>
              <w:rPr>
                <w:b/>
                <w:bCs/>
                <w:sz w:val="20"/>
                <w:szCs w:val="20"/>
              </w:rPr>
            </w:pPr>
            <w:r w:rsidRPr="006B3CD3">
              <w:rPr>
                <w:b/>
                <w:bCs/>
                <w:sz w:val="20"/>
                <w:szCs w:val="20"/>
              </w:rPr>
              <w:t>(</w:t>
            </w:r>
            <w:proofErr w:type="spellStart"/>
            <w:r>
              <w:rPr>
                <w:b/>
                <w:bCs/>
                <w:sz w:val="20"/>
                <w:szCs w:val="20"/>
              </w:rPr>
              <w:t>s.t.</w:t>
            </w:r>
            <w:proofErr w:type="spellEnd"/>
            <w:r w:rsidRPr="006B3CD3">
              <w:rPr>
                <w:b/>
                <w:bCs/>
                <w:sz w:val="20"/>
                <w:szCs w:val="20"/>
              </w:rPr>
              <w:t>/</w:t>
            </w:r>
            <w:r>
              <w:rPr>
                <w:b/>
                <w:bCs/>
                <w:sz w:val="20"/>
                <w:szCs w:val="20"/>
              </w:rPr>
              <w:t>year</w:t>
            </w:r>
            <w:r w:rsidRPr="006B3CD3">
              <w:rPr>
                <w:b/>
                <w:bCs/>
                <w:sz w:val="20"/>
                <w:szCs w:val="20"/>
              </w:rPr>
              <w:t>)</w:t>
            </w:r>
          </w:p>
        </w:tc>
      </w:tr>
      <w:tr w:rsidR="00314549" w14:paraId="02465AA0" w14:textId="77777777" w:rsidTr="006E51E7">
        <w:tc>
          <w:tcPr>
            <w:tcW w:w="1159" w:type="dxa"/>
          </w:tcPr>
          <w:p w14:paraId="0812EFC9" w14:textId="77777777" w:rsidR="00314549" w:rsidRDefault="00314549" w:rsidP="00314549">
            <w:r w:rsidRPr="00B7579C">
              <w:t>GE 7FA.05</w:t>
            </w:r>
          </w:p>
        </w:tc>
        <w:tc>
          <w:tcPr>
            <w:tcW w:w="996" w:type="dxa"/>
          </w:tcPr>
          <w:p w14:paraId="598596A9" w14:textId="77777777" w:rsidR="00314549" w:rsidRDefault="00314549" w:rsidP="00314549">
            <w:r>
              <w:t>Houston</w:t>
            </w:r>
          </w:p>
        </w:tc>
        <w:tc>
          <w:tcPr>
            <w:tcW w:w="1578" w:type="dxa"/>
          </w:tcPr>
          <w:p w14:paraId="74F1A46A" w14:textId="77777777" w:rsidR="00314549" w:rsidRDefault="00314549" w:rsidP="00314549">
            <w:r>
              <w:t>26.7%</w:t>
            </w:r>
          </w:p>
        </w:tc>
        <w:tc>
          <w:tcPr>
            <w:tcW w:w="1223" w:type="dxa"/>
          </w:tcPr>
          <w:p w14:paraId="753D5A3C" w14:textId="77777777" w:rsidR="00314549" w:rsidRDefault="00314549" w:rsidP="00314549">
            <w:r>
              <w:t>6800</w:t>
            </w:r>
          </w:p>
        </w:tc>
        <w:tc>
          <w:tcPr>
            <w:tcW w:w="1074" w:type="dxa"/>
          </w:tcPr>
          <w:p w14:paraId="4DBBA702" w14:textId="77777777" w:rsidR="00314549" w:rsidRDefault="00314549" w:rsidP="00314549">
            <w:r>
              <w:t>600</w:t>
            </w:r>
          </w:p>
        </w:tc>
        <w:tc>
          <w:tcPr>
            <w:tcW w:w="1078" w:type="dxa"/>
            <w:vAlign w:val="center"/>
          </w:tcPr>
          <w:p w14:paraId="3302D144" w14:textId="6E3FF287" w:rsidR="00314549" w:rsidRDefault="00314549" w:rsidP="00314549">
            <w:r>
              <w:rPr>
                <w:rFonts w:ascii="Calibri" w:hAnsi="Calibri" w:cs="Calibri"/>
                <w:color w:val="000000"/>
              </w:rPr>
              <w:t>35.79</w:t>
            </w:r>
          </w:p>
        </w:tc>
        <w:tc>
          <w:tcPr>
            <w:tcW w:w="1078" w:type="dxa"/>
            <w:vAlign w:val="center"/>
          </w:tcPr>
          <w:p w14:paraId="0E22F9DE" w14:textId="3600D3B5" w:rsidR="00314549" w:rsidRDefault="00314549" w:rsidP="00314549">
            <w:r>
              <w:rPr>
                <w:rFonts w:ascii="Calibri" w:hAnsi="Calibri" w:cs="Calibri"/>
                <w:color w:val="000000"/>
              </w:rPr>
              <w:t>3.53</w:t>
            </w:r>
          </w:p>
        </w:tc>
        <w:tc>
          <w:tcPr>
            <w:tcW w:w="1164" w:type="dxa"/>
            <w:vAlign w:val="center"/>
          </w:tcPr>
          <w:p w14:paraId="6ED87D28" w14:textId="55F4E56F" w:rsidR="00314549" w:rsidRDefault="00314549" w:rsidP="00314549">
            <w:r>
              <w:rPr>
                <w:rFonts w:ascii="Calibri" w:hAnsi="Calibri" w:cs="Calibri"/>
                <w:color w:val="000000"/>
              </w:rPr>
              <w:t>558253.43</w:t>
            </w:r>
          </w:p>
        </w:tc>
      </w:tr>
      <w:tr w:rsidR="00314549" w14:paraId="536D1B10" w14:textId="77777777" w:rsidTr="006E51E7">
        <w:tc>
          <w:tcPr>
            <w:tcW w:w="1159" w:type="dxa"/>
          </w:tcPr>
          <w:p w14:paraId="600F5F99" w14:textId="77777777" w:rsidR="00314549" w:rsidRDefault="00314549" w:rsidP="00314549">
            <w:r w:rsidRPr="00B7579C">
              <w:t>Mitsubishi 501J</w:t>
            </w:r>
          </w:p>
        </w:tc>
        <w:tc>
          <w:tcPr>
            <w:tcW w:w="996" w:type="dxa"/>
          </w:tcPr>
          <w:p w14:paraId="48D3689F" w14:textId="77777777" w:rsidR="00314549" w:rsidRDefault="00314549" w:rsidP="00314549">
            <w:r>
              <w:t>Houston</w:t>
            </w:r>
          </w:p>
        </w:tc>
        <w:tc>
          <w:tcPr>
            <w:tcW w:w="1578" w:type="dxa"/>
          </w:tcPr>
          <w:p w14:paraId="716165CA" w14:textId="77777777" w:rsidR="00314549" w:rsidRDefault="00314549" w:rsidP="00314549">
            <w:r>
              <w:t>31.4%</w:t>
            </w:r>
          </w:p>
        </w:tc>
        <w:tc>
          <w:tcPr>
            <w:tcW w:w="1223" w:type="dxa"/>
          </w:tcPr>
          <w:p w14:paraId="408AE1E8" w14:textId="77777777" w:rsidR="00314549" w:rsidRDefault="00314549" w:rsidP="00314549">
            <w:r>
              <w:t>6400</w:t>
            </w:r>
          </w:p>
        </w:tc>
        <w:tc>
          <w:tcPr>
            <w:tcW w:w="1074" w:type="dxa"/>
          </w:tcPr>
          <w:p w14:paraId="2B094DEF" w14:textId="77777777" w:rsidR="00314549" w:rsidRDefault="00314549" w:rsidP="00314549">
            <w:r>
              <w:t>460</w:t>
            </w:r>
          </w:p>
        </w:tc>
        <w:tc>
          <w:tcPr>
            <w:tcW w:w="1078" w:type="dxa"/>
            <w:vAlign w:val="center"/>
          </w:tcPr>
          <w:p w14:paraId="1EFF9CB2" w14:textId="7CE2BAE6" w:rsidR="00314549" w:rsidRDefault="00314549" w:rsidP="00314549">
            <w:r>
              <w:rPr>
                <w:rFonts w:ascii="Calibri" w:hAnsi="Calibri" w:cs="Calibri"/>
                <w:color w:val="000000"/>
              </w:rPr>
              <w:t>30.37</w:t>
            </w:r>
          </w:p>
        </w:tc>
        <w:tc>
          <w:tcPr>
            <w:tcW w:w="1078" w:type="dxa"/>
            <w:vAlign w:val="center"/>
          </w:tcPr>
          <w:p w14:paraId="4F2B2E75" w14:textId="3BBEE7F3" w:rsidR="00314549" w:rsidRDefault="00314549" w:rsidP="00314549">
            <w:r>
              <w:rPr>
                <w:rFonts w:ascii="Calibri" w:hAnsi="Calibri" w:cs="Calibri"/>
                <w:color w:val="000000"/>
              </w:rPr>
              <w:t>3.00</w:t>
            </w:r>
          </w:p>
        </w:tc>
        <w:tc>
          <w:tcPr>
            <w:tcW w:w="1164" w:type="dxa"/>
            <w:vAlign w:val="center"/>
          </w:tcPr>
          <w:p w14:paraId="46A21785" w14:textId="7D66901D" w:rsidR="00314549" w:rsidRDefault="00314549" w:rsidP="00314549">
            <w:r>
              <w:rPr>
                <w:rFonts w:ascii="Calibri" w:hAnsi="Calibri" w:cs="Calibri"/>
                <w:color w:val="000000"/>
              </w:rPr>
              <w:t>473726.22</w:t>
            </w:r>
          </w:p>
        </w:tc>
      </w:tr>
      <w:tr w:rsidR="00314549" w14:paraId="5F45FBDC" w14:textId="77777777" w:rsidTr="006E51E7">
        <w:tc>
          <w:tcPr>
            <w:tcW w:w="1159" w:type="dxa"/>
          </w:tcPr>
          <w:p w14:paraId="1BB4152C" w14:textId="77777777" w:rsidR="00314549" w:rsidRDefault="00314549" w:rsidP="00314549">
            <w:r w:rsidRPr="00B7579C">
              <w:t>Mitsubishi 501GAC</w:t>
            </w:r>
          </w:p>
        </w:tc>
        <w:tc>
          <w:tcPr>
            <w:tcW w:w="996" w:type="dxa"/>
          </w:tcPr>
          <w:p w14:paraId="669D0316" w14:textId="77777777" w:rsidR="00314549" w:rsidRDefault="00314549" w:rsidP="00314549">
            <w:r>
              <w:t>Houston</w:t>
            </w:r>
          </w:p>
        </w:tc>
        <w:tc>
          <w:tcPr>
            <w:tcW w:w="1578" w:type="dxa"/>
          </w:tcPr>
          <w:p w14:paraId="308C557C" w14:textId="77777777" w:rsidR="00314549" w:rsidRDefault="00314549" w:rsidP="00314549">
            <w:r>
              <w:t>34.4%</w:t>
            </w:r>
          </w:p>
        </w:tc>
        <w:tc>
          <w:tcPr>
            <w:tcW w:w="1223" w:type="dxa"/>
          </w:tcPr>
          <w:p w14:paraId="12B83E81" w14:textId="77777777" w:rsidR="00314549" w:rsidRDefault="00314549" w:rsidP="00314549">
            <w:r>
              <w:t>6200</w:t>
            </w:r>
          </w:p>
        </w:tc>
        <w:tc>
          <w:tcPr>
            <w:tcW w:w="1074" w:type="dxa"/>
          </w:tcPr>
          <w:p w14:paraId="4142A724" w14:textId="77777777" w:rsidR="00314549" w:rsidRDefault="00314549" w:rsidP="00314549">
            <w:r>
              <w:t>405</w:t>
            </w:r>
          </w:p>
        </w:tc>
        <w:tc>
          <w:tcPr>
            <w:tcW w:w="1078" w:type="dxa"/>
            <w:vAlign w:val="center"/>
          </w:tcPr>
          <w:p w14:paraId="3512E679" w14:textId="1DF63385" w:rsidR="00314549" w:rsidRDefault="00314549" w:rsidP="00314549">
            <w:r>
              <w:rPr>
                <w:rFonts w:ascii="Calibri" w:hAnsi="Calibri" w:cs="Calibri"/>
                <w:color w:val="000000"/>
              </w:rPr>
              <w:t>28.38</w:t>
            </w:r>
          </w:p>
        </w:tc>
        <w:tc>
          <w:tcPr>
            <w:tcW w:w="1078" w:type="dxa"/>
            <w:vAlign w:val="center"/>
          </w:tcPr>
          <w:p w14:paraId="312073FE" w14:textId="27F741DB" w:rsidR="00314549" w:rsidRDefault="00314549" w:rsidP="00314549">
            <w:r>
              <w:rPr>
                <w:rFonts w:ascii="Calibri" w:hAnsi="Calibri" w:cs="Calibri"/>
                <w:color w:val="000000"/>
              </w:rPr>
              <w:t>2.80</w:t>
            </w:r>
          </w:p>
        </w:tc>
        <w:tc>
          <w:tcPr>
            <w:tcW w:w="1164" w:type="dxa"/>
            <w:vAlign w:val="center"/>
          </w:tcPr>
          <w:p w14:paraId="450EAE6A" w14:textId="2A06C754" w:rsidR="00314549" w:rsidRDefault="00314549" w:rsidP="00314549">
            <w:r>
              <w:rPr>
                <w:rFonts w:ascii="Calibri" w:hAnsi="Calibri" w:cs="Calibri"/>
                <w:color w:val="000000"/>
              </w:rPr>
              <w:t>442654.75</w:t>
            </w:r>
          </w:p>
        </w:tc>
      </w:tr>
      <w:tr w:rsidR="00314549" w14:paraId="02C7F284" w14:textId="77777777" w:rsidTr="006E51E7">
        <w:tc>
          <w:tcPr>
            <w:tcW w:w="1159" w:type="dxa"/>
          </w:tcPr>
          <w:p w14:paraId="1ADC2195" w14:textId="77777777" w:rsidR="00314549" w:rsidRDefault="00314549" w:rsidP="00314549">
            <w:r w:rsidRPr="00B7579C">
              <w:t>GE 207FA</w:t>
            </w:r>
            <w:r>
              <w:t>.04</w:t>
            </w:r>
          </w:p>
        </w:tc>
        <w:tc>
          <w:tcPr>
            <w:tcW w:w="996" w:type="dxa"/>
          </w:tcPr>
          <w:p w14:paraId="0A0111DF" w14:textId="77777777" w:rsidR="00314549" w:rsidRDefault="00314549" w:rsidP="00314549">
            <w:r>
              <w:t>San Antonio</w:t>
            </w:r>
          </w:p>
        </w:tc>
        <w:tc>
          <w:tcPr>
            <w:tcW w:w="1578" w:type="dxa"/>
          </w:tcPr>
          <w:p w14:paraId="66174916" w14:textId="77777777" w:rsidR="00314549" w:rsidRDefault="00314549" w:rsidP="00314549">
            <w:r>
              <w:t>10.5%</w:t>
            </w:r>
          </w:p>
        </w:tc>
        <w:tc>
          <w:tcPr>
            <w:tcW w:w="1223" w:type="dxa"/>
          </w:tcPr>
          <w:p w14:paraId="265BD039" w14:textId="77777777" w:rsidR="00314549" w:rsidRDefault="00314549" w:rsidP="00314549">
            <w:r>
              <w:t xml:space="preserve">8840 </w:t>
            </w:r>
            <w:r w:rsidRPr="00077CB0">
              <w:rPr>
                <w:vertAlign w:val="superscript"/>
              </w:rPr>
              <w:t>[2]</w:t>
            </w:r>
          </w:p>
        </w:tc>
        <w:tc>
          <w:tcPr>
            <w:tcW w:w="1074" w:type="dxa"/>
          </w:tcPr>
          <w:p w14:paraId="2B4FDE85" w14:textId="77777777" w:rsidR="00314549" w:rsidRDefault="00314549" w:rsidP="00314549">
            <w:r>
              <w:t>942</w:t>
            </w:r>
          </w:p>
        </w:tc>
        <w:tc>
          <w:tcPr>
            <w:tcW w:w="1078" w:type="dxa"/>
            <w:vAlign w:val="center"/>
          </w:tcPr>
          <w:p w14:paraId="45DEFEF1" w14:textId="77777777" w:rsidR="00314549" w:rsidRDefault="00314549" w:rsidP="00314549">
            <w:r>
              <w:rPr>
                <w:rFonts w:ascii="Calibri" w:hAnsi="Calibri" w:cs="Calibri"/>
                <w:color w:val="000000"/>
              </w:rPr>
              <w:t>574.46/</w:t>
            </w:r>
          </w:p>
          <w:p w14:paraId="3218568E" w14:textId="3E287841" w:rsidR="00314549" w:rsidRPr="00314549" w:rsidRDefault="00314549" w:rsidP="00314549">
            <w:pPr>
              <w:rPr>
                <w:rFonts w:ascii="Calibri" w:hAnsi="Calibri" w:cs="Calibri"/>
                <w:color w:val="000000"/>
              </w:rPr>
            </w:pPr>
            <w:r>
              <w:rPr>
                <w:rFonts w:ascii="Calibri" w:hAnsi="Calibri" w:cs="Calibri"/>
                <w:color w:val="000000"/>
              </w:rPr>
              <w:t>28.72</w:t>
            </w:r>
            <w:r>
              <w:rPr>
                <w:rFonts w:ascii="Calibri" w:hAnsi="Calibri" w:cs="Calibri"/>
                <w:color w:val="000000"/>
              </w:rPr>
              <w:t>*</w:t>
            </w:r>
          </w:p>
        </w:tc>
        <w:tc>
          <w:tcPr>
            <w:tcW w:w="1078" w:type="dxa"/>
            <w:vAlign w:val="center"/>
          </w:tcPr>
          <w:p w14:paraId="6ABD4EF0" w14:textId="7DBFECE8" w:rsidR="00314549" w:rsidRDefault="00314549" w:rsidP="00314549">
            <w:r>
              <w:rPr>
                <w:rFonts w:ascii="Calibri" w:hAnsi="Calibri" w:cs="Calibri"/>
                <w:color w:val="000000"/>
              </w:rPr>
              <w:t>2.83</w:t>
            </w:r>
          </w:p>
        </w:tc>
        <w:tc>
          <w:tcPr>
            <w:tcW w:w="1164" w:type="dxa"/>
            <w:vAlign w:val="center"/>
          </w:tcPr>
          <w:p w14:paraId="7B8A46B8" w14:textId="15976EB0" w:rsidR="00314549" w:rsidRDefault="00314549" w:rsidP="00314549">
            <w:r>
              <w:rPr>
                <w:rFonts w:ascii="Calibri" w:hAnsi="Calibri" w:cs="Calibri"/>
                <w:color w:val="000000"/>
              </w:rPr>
              <w:t>448076.78</w:t>
            </w:r>
          </w:p>
        </w:tc>
      </w:tr>
      <w:tr w:rsidR="00314549" w14:paraId="3B2DFC6B" w14:textId="77777777" w:rsidTr="007B4CF6">
        <w:tc>
          <w:tcPr>
            <w:tcW w:w="9350" w:type="dxa"/>
            <w:gridSpan w:val="8"/>
          </w:tcPr>
          <w:p w14:paraId="44ACFB35" w14:textId="447F3961" w:rsidR="00314549" w:rsidRDefault="00314549" w:rsidP="00314549">
            <w:pPr>
              <w:rPr>
                <w:rFonts w:ascii="Calibri" w:hAnsi="Calibri" w:cs="Calibri"/>
                <w:color w:val="000000"/>
              </w:rPr>
            </w:pPr>
            <w:r w:rsidRPr="00314549">
              <w:rPr>
                <w:rFonts w:ascii="Calibri" w:hAnsi="Calibri" w:cs="Calibri"/>
                <w:color w:val="000000"/>
              </w:rPr>
              <w:t>*</w:t>
            </w:r>
            <w:r>
              <w:rPr>
                <w:rFonts w:ascii="Calibri" w:hAnsi="Calibri" w:cs="Calibri"/>
                <w:color w:val="000000"/>
              </w:rPr>
              <w:t xml:space="preserve"> Emissions before and after the SCR is added in 2021 as required by the Clean Air Act</w:t>
            </w:r>
          </w:p>
        </w:tc>
      </w:tr>
    </w:tbl>
    <w:p w14:paraId="5DF19E15" w14:textId="32864E64" w:rsidR="00D1055C" w:rsidRDefault="00D1055C" w:rsidP="00EE44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9"/>
        <w:gridCol w:w="461"/>
      </w:tblGrid>
      <w:tr w:rsidR="00421ED4" w14:paraId="210A1928" w14:textId="77777777" w:rsidTr="00837D2D">
        <w:tc>
          <w:tcPr>
            <w:tcW w:w="8899" w:type="dxa"/>
          </w:tcPr>
          <w:p w14:paraId="64634F1F" w14:textId="299FF7A6" w:rsidR="00421ED4" w:rsidRDefault="00421ED4" w:rsidP="00837D2D">
            <w:pPr>
              <w:rPr>
                <w:rFonts w:eastAsiaTheme="minorEastAsia"/>
              </w:rPr>
            </w:pPr>
            <m:oMathPara>
              <m:oMath>
                <m:r>
                  <w:rPr>
                    <w:rFonts w:ascii="Cambria Math" w:hAnsi="Cambria Math"/>
                  </w:rPr>
                  <m:t>Annual Value</m:t>
                </m:r>
                <m:r>
                  <w:rPr>
                    <w:rFonts w:ascii="Cambria Math" w:hAnsi="Cambria Math"/>
                  </w:rPr>
                  <m:t>=CF⋅8760⋅Capacity⋅  Rate</m:t>
                </m:r>
              </m:oMath>
            </m:oMathPara>
          </w:p>
        </w:tc>
        <w:tc>
          <w:tcPr>
            <w:tcW w:w="461" w:type="dxa"/>
          </w:tcPr>
          <w:p w14:paraId="50DF4941" w14:textId="77777777" w:rsidR="00421ED4" w:rsidRDefault="00421ED4" w:rsidP="00837D2D">
            <w:pPr>
              <w:rPr>
                <w:rFonts w:eastAsiaTheme="minorEastAsia"/>
              </w:rPr>
            </w:pPr>
            <w:r>
              <w:rPr>
                <w:rFonts w:eastAsiaTheme="minorEastAsia"/>
              </w:rPr>
              <w:t>(3)</w:t>
            </w:r>
          </w:p>
        </w:tc>
      </w:tr>
    </w:tbl>
    <w:p w14:paraId="657A2E30" w14:textId="77777777" w:rsidR="00421ED4" w:rsidRDefault="00421ED4" w:rsidP="00EE4485"/>
    <w:p w14:paraId="4F932838" w14:textId="22681D57" w:rsidR="00046D44" w:rsidRDefault="00046D44" w:rsidP="00EE4485">
      <w:r>
        <w:t>Equation (</w:t>
      </w:r>
      <w:r w:rsidR="00421ED4">
        <w:t>3</w:t>
      </w:r>
      <w:r>
        <w:t>) can</w:t>
      </w:r>
      <w:r w:rsidR="00421ED4">
        <w:t xml:space="preserve"> </w:t>
      </w:r>
      <w:r>
        <w:t xml:space="preserve">be used to compute water consumption and withdrawal for the candidate CCGT. In this case, [3] as referenced for the consumption and withdrawal rates per MWh for our candidate turbines. [3] lists water rates for several CCGT configurations; the recirculating cooling rates were used in this analysis. Table 3 presents the annual water consumption and usage for the candidate turbines. </w:t>
      </w:r>
    </w:p>
    <w:tbl>
      <w:tblPr>
        <w:tblW w:w="8346" w:type="dxa"/>
        <w:tblLook w:val="04A0" w:firstRow="1" w:lastRow="0" w:firstColumn="1" w:lastColumn="0" w:noHBand="0" w:noVBand="1"/>
      </w:tblPr>
      <w:tblGrid>
        <w:gridCol w:w="1149"/>
        <w:gridCol w:w="995"/>
        <w:gridCol w:w="995"/>
        <w:gridCol w:w="995"/>
        <w:gridCol w:w="1133"/>
        <w:gridCol w:w="973"/>
        <w:gridCol w:w="1133"/>
        <w:gridCol w:w="973"/>
      </w:tblGrid>
      <w:tr w:rsidR="00EE4485" w:rsidRPr="00EE4485" w14:paraId="1377AAA9" w14:textId="77777777" w:rsidTr="00BB3FF8">
        <w:trPr>
          <w:trHeight w:val="315"/>
        </w:trPr>
        <w:tc>
          <w:tcPr>
            <w:tcW w:w="8346"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6BBED82A" w14:textId="3D7E0A78" w:rsidR="00EE4485" w:rsidRPr="00EE4485" w:rsidRDefault="00EE4485" w:rsidP="00EE4485">
            <w:pPr>
              <w:spacing w:after="0" w:line="240" w:lineRule="auto"/>
              <w:rPr>
                <w:rFonts w:ascii="Calibri" w:eastAsia="Times New Roman" w:hAnsi="Calibri" w:cs="Calibri"/>
                <w:color w:val="000000"/>
              </w:rPr>
            </w:pPr>
            <w:r w:rsidRPr="00EE4485">
              <w:rPr>
                <w:rFonts w:ascii="Calibri" w:eastAsia="Times New Roman" w:hAnsi="Calibri" w:cs="Calibri"/>
                <w:color w:val="000000"/>
              </w:rPr>
              <w:t xml:space="preserve">Table 3: CCGT Life Cycle Analysis Water Consumption and </w:t>
            </w:r>
            <w:r w:rsidR="00D42D31" w:rsidRPr="00EE4485">
              <w:rPr>
                <w:rFonts w:ascii="Calibri" w:eastAsia="Times New Roman" w:hAnsi="Calibri" w:cs="Calibri"/>
                <w:color w:val="000000"/>
              </w:rPr>
              <w:t>Withdrawal</w:t>
            </w:r>
            <w:r w:rsidR="00D42D31" w:rsidRPr="00EE4485">
              <w:rPr>
                <w:rFonts w:ascii="Calibri" w:eastAsia="Times New Roman" w:hAnsi="Calibri" w:cs="Calibri"/>
                <w:color w:val="000000"/>
                <w:vertAlign w:val="superscript"/>
              </w:rPr>
              <w:t xml:space="preserve"> [</w:t>
            </w:r>
            <w:r w:rsidRPr="00EE4485">
              <w:rPr>
                <w:rFonts w:ascii="Calibri" w:eastAsia="Times New Roman" w:hAnsi="Calibri" w:cs="Calibri"/>
                <w:color w:val="000000"/>
                <w:vertAlign w:val="superscript"/>
              </w:rPr>
              <w:t>3]</w:t>
            </w:r>
          </w:p>
        </w:tc>
      </w:tr>
      <w:tr w:rsidR="00EE4485" w:rsidRPr="00EE4485" w14:paraId="0911B948" w14:textId="77777777" w:rsidTr="00BB3FF8">
        <w:trPr>
          <w:trHeight w:val="900"/>
        </w:trPr>
        <w:tc>
          <w:tcPr>
            <w:tcW w:w="1149" w:type="dxa"/>
            <w:vMerge w:val="restart"/>
            <w:tcBorders>
              <w:top w:val="nil"/>
              <w:left w:val="single" w:sz="8" w:space="0" w:color="auto"/>
              <w:bottom w:val="single" w:sz="8" w:space="0" w:color="000000"/>
              <w:right w:val="single" w:sz="8" w:space="0" w:color="auto"/>
            </w:tcBorders>
            <w:shd w:val="clear" w:color="auto" w:fill="auto"/>
            <w:vAlign w:val="center"/>
            <w:hideMark/>
          </w:tcPr>
          <w:p w14:paraId="70DAE258"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Turbine</w:t>
            </w:r>
          </w:p>
        </w:tc>
        <w:tc>
          <w:tcPr>
            <w:tcW w:w="995" w:type="dxa"/>
            <w:vMerge w:val="restart"/>
            <w:tcBorders>
              <w:top w:val="nil"/>
              <w:left w:val="single" w:sz="8" w:space="0" w:color="auto"/>
              <w:bottom w:val="single" w:sz="8" w:space="0" w:color="000000"/>
              <w:right w:val="single" w:sz="8" w:space="0" w:color="auto"/>
            </w:tcBorders>
            <w:shd w:val="clear" w:color="auto" w:fill="auto"/>
            <w:vAlign w:val="center"/>
            <w:hideMark/>
          </w:tcPr>
          <w:p w14:paraId="182A38B7"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Location</w:t>
            </w:r>
          </w:p>
        </w:tc>
        <w:tc>
          <w:tcPr>
            <w:tcW w:w="995" w:type="dxa"/>
            <w:tcBorders>
              <w:top w:val="nil"/>
              <w:left w:val="nil"/>
              <w:bottom w:val="nil"/>
              <w:right w:val="single" w:sz="8" w:space="0" w:color="auto"/>
            </w:tcBorders>
            <w:shd w:val="clear" w:color="auto" w:fill="auto"/>
            <w:vAlign w:val="center"/>
            <w:hideMark/>
          </w:tcPr>
          <w:p w14:paraId="26CE89F1"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Capacity Factor</w:t>
            </w:r>
          </w:p>
        </w:tc>
        <w:tc>
          <w:tcPr>
            <w:tcW w:w="995" w:type="dxa"/>
            <w:vMerge w:val="restart"/>
            <w:tcBorders>
              <w:top w:val="nil"/>
              <w:left w:val="single" w:sz="8" w:space="0" w:color="auto"/>
              <w:bottom w:val="single" w:sz="8" w:space="0" w:color="000000"/>
              <w:right w:val="single" w:sz="8" w:space="0" w:color="auto"/>
            </w:tcBorders>
            <w:shd w:val="clear" w:color="auto" w:fill="auto"/>
            <w:vAlign w:val="center"/>
            <w:hideMark/>
          </w:tcPr>
          <w:p w14:paraId="5C8EA4A3"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 xml:space="preserve">Capacity </w:t>
            </w:r>
            <w:r w:rsidRPr="00EE4485">
              <w:rPr>
                <w:rFonts w:ascii="Calibri" w:eastAsia="Times New Roman" w:hAnsi="Calibri" w:cs="Calibri"/>
                <w:b/>
                <w:bCs/>
                <w:color w:val="000000"/>
                <w:sz w:val="20"/>
                <w:szCs w:val="20"/>
              </w:rPr>
              <w:t>(MW)</w:t>
            </w:r>
          </w:p>
        </w:tc>
        <w:tc>
          <w:tcPr>
            <w:tcW w:w="2106" w:type="dxa"/>
            <w:gridSpan w:val="2"/>
            <w:tcBorders>
              <w:top w:val="single" w:sz="8" w:space="0" w:color="auto"/>
              <w:left w:val="nil"/>
              <w:bottom w:val="single" w:sz="8" w:space="0" w:color="auto"/>
              <w:right w:val="single" w:sz="8" w:space="0" w:color="000000"/>
            </w:tcBorders>
            <w:shd w:val="clear" w:color="auto" w:fill="auto"/>
            <w:vAlign w:val="center"/>
            <w:hideMark/>
          </w:tcPr>
          <w:p w14:paraId="674EE2FF"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Water Consumption*</w:t>
            </w:r>
          </w:p>
        </w:tc>
        <w:tc>
          <w:tcPr>
            <w:tcW w:w="2106" w:type="dxa"/>
            <w:gridSpan w:val="2"/>
            <w:tcBorders>
              <w:top w:val="single" w:sz="8" w:space="0" w:color="auto"/>
              <w:left w:val="nil"/>
              <w:bottom w:val="single" w:sz="8" w:space="0" w:color="auto"/>
              <w:right w:val="single" w:sz="8" w:space="0" w:color="000000"/>
            </w:tcBorders>
            <w:shd w:val="clear" w:color="auto" w:fill="auto"/>
            <w:vAlign w:val="center"/>
            <w:hideMark/>
          </w:tcPr>
          <w:p w14:paraId="58672C0C" w14:textId="2F4A5BCB"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 xml:space="preserve">Water </w:t>
            </w:r>
            <w:r w:rsidR="00046D44" w:rsidRPr="00EE4485">
              <w:rPr>
                <w:rFonts w:ascii="Calibri" w:eastAsia="Times New Roman" w:hAnsi="Calibri" w:cs="Calibri"/>
                <w:b/>
                <w:bCs/>
                <w:color w:val="000000"/>
              </w:rPr>
              <w:t>Withdrawal</w:t>
            </w:r>
            <w:r w:rsidRPr="00EE4485">
              <w:rPr>
                <w:rFonts w:ascii="Calibri" w:eastAsia="Times New Roman" w:hAnsi="Calibri" w:cs="Calibri"/>
                <w:b/>
                <w:bCs/>
                <w:color w:val="000000"/>
              </w:rPr>
              <w:t>*</w:t>
            </w:r>
          </w:p>
        </w:tc>
      </w:tr>
      <w:tr w:rsidR="00EE4485" w:rsidRPr="00EE4485" w14:paraId="355E4A4D" w14:textId="77777777" w:rsidTr="00BB3FF8">
        <w:trPr>
          <w:trHeight w:val="615"/>
        </w:trPr>
        <w:tc>
          <w:tcPr>
            <w:tcW w:w="1149" w:type="dxa"/>
            <w:vMerge/>
            <w:tcBorders>
              <w:top w:val="nil"/>
              <w:left w:val="single" w:sz="8" w:space="0" w:color="auto"/>
              <w:bottom w:val="single" w:sz="8" w:space="0" w:color="000000"/>
              <w:right w:val="single" w:sz="8" w:space="0" w:color="auto"/>
            </w:tcBorders>
            <w:vAlign w:val="center"/>
            <w:hideMark/>
          </w:tcPr>
          <w:p w14:paraId="07FDA85F" w14:textId="77777777" w:rsidR="00EE4485" w:rsidRPr="00EE4485" w:rsidRDefault="00EE4485" w:rsidP="00EE4485">
            <w:pPr>
              <w:spacing w:after="0" w:line="240" w:lineRule="auto"/>
              <w:rPr>
                <w:rFonts w:ascii="Calibri" w:eastAsia="Times New Roman" w:hAnsi="Calibri" w:cs="Calibri"/>
                <w:b/>
                <w:bCs/>
                <w:color w:val="000000"/>
              </w:rPr>
            </w:pPr>
          </w:p>
        </w:tc>
        <w:tc>
          <w:tcPr>
            <w:tcW w:w="995" w:type="dxa"/>
            <w:vMerge/>
            <w:tcBorders>
              <w:top w:val="nil"/>
              <w:left w:val="single" w:sz="8" w:space="0" w:color="auto"/>
              <w:bottom w:val="single" w:sz="8" w:space="0" w:color="000000"/>
              <w:right w:val="single" w:sz="8" w:space="0" w:color="auto"/>
            </w:tcBorders>
            <w:vAlign w:val="center"/>
            <w:hideMark/>
          </w:tcPr>
          <w:p w14:paraId="2930F43E" w14:textId="77777777" w:rsidR="00EE4485" w:rsidRPr="00EE4485" w:rsidRDefault="00EE4485" w:rsidP="00EE4485">
            <w:pPr>
              <w:spacing w:after="0" w:line="240" w:lineRule="auto"/>
              <w:rPr>
                <w:rFonts w:ascii="Calibri" w:eastAsia="Times New Roman" w:hAnsi="Calibri" w:cs="Calibri"/>
                <w:b/>
                <w:bCs/>
                <w:color w:val="000000"/>
              </w:rPr>
            </w:pPr>
          </w:p>
        </w:tc>
        <w:tc>
          <w:tcPr>
            <w:tcW w:w="995" w:type="dxa"/>
            <w:tcBorders>
              <w:top w:val="nil"/>
              <w:left w:val="nil"/>
              <w:bottom w:val="single" w:sz="8" w:space="0" w:color="auto"/>
              <w:right w:val="single" w:sz="8" w:space="0" w:color="auto"/>
            </w:tcBorders>
            <w:shd w:val="clear" w:color="auto" w:fill="auto"/>
            <w:vAlign w:val="center"/>
            <w:hideMark/>
          </w:tcPr>
          <w:p w14:paraId="5616BD0C" w14:textId="77777777" w:rsidR="00EE4485" w:rsidRPr="00EE4485" w:rsidRDefault="00EE4485" w:rsidP="00EE4485">
            <w:pPr>
              <w:spacing w:after="0" w:line="240" w:lineRule="auto"/>
              <w:jc w:val="center"/>
              <w:rPr>
                <w:rFonts w:ascii="Calibri" w:eastAsia="Times New Roman" w:hAnsi="Calibri" w:cs="Calibri"/>
                <w:b/>
                <w:bCs/>
                <w:color w:val="000000"/>
              </w:rPr>
            </w:pPr>
            <w:r w:rsidRPr="00EE4485">
              <w:rPr>
                <w:rFonts w:ascii="Calibri" w:eastAsia="Times New Roman" w:hAnsi="Calibri" w:cs="Calibri"/>
                <w:b/>
                <w:bCs/>
                <w:color w:val="000000"/>
              </w:rPr>
              <w:t>(2011-2019)</w:t>
            </w:r>
          </w:p>
        </w:tc>
        <w:tc>
          <w:tcPr>
            <w:tcW w:w="995" w:type="dxa"/>
            <w:vMerge/>
            <w:tcBorders>
              <w:top w:val="nil"/>
              <w:left w:val="single" w:sz="8" w:space="0" w:color="auto"/>
              <w:bottom w:val="single" w:sz="8" w:space="0" w:color="000000"/>
              <w:right w:val="single" w:sz="8" w:space="0" w:color="auto"/>
            </w:tcBorders>
            <w:vAlign w:val="center"/>
            <w:hideMark/>
          </w:tcPr>
          <w:p w14:paraId="415F5CFC" w14:textId="77777777" w:rsidR="00EE4485" w:rsidRPr="00EE4485" w:rsidRDefault="00EE4485" w:rsidP="00EE4485">
            <w:pPr>
              <w:spacing w:after="0" w:line="240" w:lineRule="auto"/>
              <w:rPr>
                <w:rFonts w:ascii="Calibri" w:eastAsia="Times New Roman" w:hAnsi="Calibri" w:cs="Calibri"/>
                <w:b/>
                <w:bCs/>
                <w:color w:val="000000"/>
              </w:rPr>
            </w:pPr>
          </w:p>
        </w:tc>
        <w:tc>
          <w:tcPr>
            <w:tcW w:w="1133" w:type="dxa"/>
            <w:tcBorders>
              <w:top w:val="nil"/>
              <w:left w:val="nil"/>
              <w:bottom w:val="single" w:sz="8" w:space="0" w:color="auto"/>
              <w:right w:val="single" w:sz="8" w:space="0" w:color="auto"/>
            </w:tcBorders>
            <w:shd w:val="clear" w:color="auto" w:fill="auto"/>
            <w:vAlign w:val="center"/>
            <w:hideMark/>
          </w:tcPr>
          <w:p w14:paraId="027F1168"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(gal/MWh)</w:t>
            </w:r>
          </w:p>
        </w:tc>
        <w:tc>
          <w:tcPr>
            <w:tcW w:w="973" w:type="dxa"/>
            <w:tcBorders>
              <w:top w:val="nil"/>
              <w:left w:val="nil"/>
              <w:bottom w:val="single" w:sz="8" w:space="0" w:color="auto"/>
              <w:right w:val="single" w:sz="8" w:space="0" w:color="auto"/>
            </w:tcBorders>
            <w:shd w:val="clear" w:color="auto" w:fill="auto"/>
            <w:vAlign w:val="center"/>
            <w:hideMark/>
          </w:tcPr>
          <w:p w14:paraId="5FCB7ECC"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(10^6 gal/year)</w:t>
            </w:r>
          </w:p>
        </w:tc>
        <w:tc>
          <w:tcPr>
            <w:tcW w:w="1133" w:type="dxa"/>
            <w:tcBorders>
              <w:top w:val="nil"/>
              <w:left w:val="nil"/>
              <w:bottom w:val="single" w:sz="8" w:space="0" w:color="auto"/>
              <w:right w:val="single" w:sz="8" w:space="0" w:color="auto"/>
            </w:tcBorders>
            <w:shd w:val="clear" w:color="auto" w:fill="auto"/>
            <w:vAlign w:val="center"/>
            <w:hideMark/>
          </w:tcPr>
          <w:p w14:paraId="1CCC44E9"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(gal/MWh)</w:t>
            </w:r>
          </w:p>
        </w:tc>
        <w:tc>
          <w:tcPr>
            <w:tcW w:w="973" w:type="dxa"/>
            <w:tcBorders>
              <w:top w:val="nil"/>
              <w:left w:val="nil"/>
              <w:bottom w:val="single" w:sz="8" w:space="0" w:color="auto"/>
              <w:right w:val="single" w:sz="8" w:space="0" w:color="auto"/>
            </w:tcBorders>
            <w:shd w:val="clear" w:color="auto" w:fill="auto"/>
            <w:vAlign w:val="center"/>
            <w:hideMark/>
          </w:tcPr>
          <w:p w14:paraId="637C5F3B" w14:textId="77777777" w:rsidR="00EE4485" w:rsidRPr="00EE4485" w:rsidRDefault="00EE4485" w:rsidP="00EE4485">
            <w:pPr>
              <w:spacing w:after="0" w:line="240" w:lineRule="auto"/>
              <w:jc w:val="center"/>
              <w:rPr>
                <w:rFonts w:ascii="Calibri" w:eastAsia="Times New Roman" w:hAnsi="Calibri" w:cs="Calibri"/>
                <w:b/>
                <w:bCs/>
                <w:color w:val="000000"/>
                <w:sz w:val="20"/>
                <w:szCs w:val="20"/>
              </w:rPr>
            </w:pPr>
            <w:r w:rsidRPr="00EE4485">
              <w:rPr>
                <w:rFonts w:ascii="Calibri" w:eastAsia="Times New Roman" w:hAnsi="Calibri" w:cs="Calibri"/>
                <w:b/>
                <w:bCs/>
                <w:color w:val="000000"/>
                <w:sz w:val="20"/>
                <w:szCs w:val="20"/>
              </w:rPr>
              <w:t>(10^6 gal/year)</w:t>
            </w:r>
          </w:p>
        </w:tc>
      </w:tr>
      <w:tr w:rsidR="00BB3FF8" w:rsidRPr="00EE4485" w14:paraId="62774EFB"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7D554D14"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GE 7FA.05</w:t>
            </w:r>
          </w:p>
        </w:tc>
        <w:tc>
          <w:tcPr>
            <w:tcW w:w="995" w:type="dxa"/>
            <w:tcBorders>
              <w:top w:val="nil"/>
              <w:left w:val="nil"/>
              <w:bottom w:val="single" w:sz="8" w:space="0" w:color="auto"/>
              <w:right w:val="single" w:sz="8" w:space="0" w:color="auto"/>
            </w:tcBorders>
            <w:shd w:val="clear" w:color="auto" w:fill="auto"/>
            <w:vAlign w:val="center"/>
            <w:hideMark/>
          </w:tcPr>
          <w:p w14:paraId="4C7AE1B0"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Houston</w:t>
            </w:r>
          </w:p>
        </w:tc>
        <w:tc>
          <w:tcPr>
            <w:tcW w:w="995" w:type="dxa"/>
            <w:tcBorders>
              <w:top w:val="nil"/>
              <w:left w:val="nil"/>
              <w:bottom w:val="single" w:sz="8" w:space="0" w:color="auto"/>
              <w:right w:val="single" w:sz="8" w:space="0" w:color="auto"/>
            </w:tcBorders>
            <w:shd w:val="clear" w:color="auto" w:fill="auto"/>
            <w:vAlign w:val="center"/>
            <w:hideMark/>
          </w:tcPr>
          <w:p w14:paraId="21310CA8"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26.70%</w:t>
            </w:r>
          </w:p>
        </w:tc>
        <w:tc>
          <w:tcPr>
            <w:tcW w:w="995" w:type="dxa"/>
            <w:tcBorders>
              <w:top w:val="nil"/>
              <w:left w:val="nil"/>
              <w:bottom w:val="single" w:sz="8" w:space="0" w:color="auto"/>
              <w:right w:val="single" w:sz="8" w:space="0" w:color="auto"/>
            </w:tcBorders>
            <w:shd w:val="clear" w:color="auto" w:fill="auto"/>
            <w:vAlign w:val="center"/>
            <w:hideMark/>
          </w:tcPr>
          <w:p w14:paraId="71BF5C33"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600</w:t>
            </w:r>
          </w:p>
        </w:tc>
        <w:tc>
          <w:tcPr>
            <w:tcW w:w="1133" w:type="dxa"/>
            <w:tcBorders>
              <w:top w:val="nil"/>
              <w:left w:val="nil"/>
              <w:bottom w:val="single" w:sz="8" w:space="0" w:color="auto"/>
              <w:right w:val="single" w:sz="8" w:space="0" w:color="auto"/>
            </w:tcBorders>
            <w:shd w:val="clear" w:color="auto" w:fill="auto"/>
            <w:vAlign w:val="center"/>
            <w:hideMark/>
          </w:tcPr>
          <w:p w14:paraId="55410231" w14:textId="08204AEF"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39FE00C5" w14:textId="1FA24EBF"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280.67</w:t>
            </w:r>
          </w:p>
        </w:tc>
        <w:tc>
          <w:tcPr>
            <w:tcW w:w="1133" w:type="dxa"/>
            <w:tcBorders>
              <w:top w:val="nil"/>
              <w:left w:val="nil"/>
              <w:bottom w:val="single" w:sz="8" w:space="0" w:color="auto"/>
              <w:right w:val="single" w:sz="8" w:space="0" w:color="auto"/>
            </w:tcBorders>
            <w:shd w:val="clear" w:color="auto" w:fill="auto"/>
            <w:vAlign w:val="center"/>
            <w:hideMark/>
          </w:tcPr>
          <w:p w14:paraId="60705FC7" w14:textId="7B168D47"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521749CE" w14:textId="702292E7"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350.84</w:t>
            </w:r>
          </w:p>
        </w:tc>
      </w:tr>
      <w:tr w:rsidR="00BB3FF8" w:rsidRPr="00EE4485" w14:paraId="577AABF8"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161DE9A6"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Mitsubishi 501J</w:t>
            </w:r>
          </w:p>
        </w:tc>
        <w:tc>
          <w:tcPr>
            <w:tcW w:w="995" w:type="dxa"/>
            <w:tcBorders>
              <w:top w:val="nil"/>
              <w:left w:val="nil"/>
              <w:bottom w:val="single" w:sz="8" w:space="0" w:color="auto"/>
              <w:right w:val="single" w:sz="8" w:space="0" w:color="auto"/>
            </w:tcBorders>
            <w:shd w:val="clear" w:color="auto" w:fill="auto"/>
            <w:vAlign w:val="center"/>
            <w:hideMark/>
          </w:tcPr>
          <w:p w14:paraId="14993F74"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Houston</w:t>
            </w:r>
          </w:p>
        </w:tc>
        <w:tc>
          <w:tcPr>
            <w:tcW w:w="995" w:type="dxa"/>
            <w:tcBorders>
              <w:top w:val="nil"/>
              <w:left w:val="nil"/>
              <w:bottom w:val="single" w:sz="8" w:space="0" w:color="auto"/>
              <w:right w:val="single" w:sz="8" w:space="0" w:color="auto"/>
            </w:tcBorders>
            <w:shd w:val="clear" w:color="auto" w:fill="auto"/>
            <w:vAlign w:val="center"/>
            <w:hideMark/>
          </w:tcPr>
          <w:p w14:paraId="5623F6D1"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31.40%</w:t>
            </w:r>
          </w:p>
        </w:tc>
        <w:tc>
          <w:tcPr>
            <w:tcW w:w="995" w:type="dxa"/>
            <w:tcBorders>
              <w:top w:val="nil"/>
              <w:left w:val="nil"/>
              <w:bottom w:val="single" w:sz="8" w:space="0" w:color="auto"/>
              <w:right w:val="single" w:sz="8" w:space="0" w:color="auto"/>
            </w:tcBorders>
            <w:shd w:val="clear" w:color="auto" w:fill="auto"/>
            <w:vAlign w:val="center"/>
            <w:hideMark/>
          </w:tcPr>
          <w:p w14:paraId="3CC09A2D"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460</w:t>
            </w:r>
          </w:p>
        </w:tc>
        <w:tc>
          <w:tcPr>
            <w:tcW w:w="1133" w:type="dxa"/>
            <w:tcBorders>
              <w:top w:val="nil"/>
              <w:left w:val="nil"/>
              <w:bottom w:val="single" w:sz="8" w:space="0" w:color="auto"/>
              <w:right w:val="single" w:sz="8" w:space="0" w:color="auto"/>
            </w:tcBorders>
            <w:shd w:val="clear" w:color="auto" w:fill="auto"/>
            <w:vAlign w:val="center"/>
            <w:hideMark/>
          </w:tcPr>
          <w:p w14:paraId="43E7798D" w14:textId="09003EC6"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222F01D2" w14:textId="42AEAE2E"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253.06</w:t>
            </w:r>
          </w:p>
        </w:tc>
        <w:tc>
          <w:tcPr>
            <w:tcW w:w="1133" w:type="dxa"/>
            <w:tcBorders>
              <w:top w:val="nil"/>
              <w:left w:val="nil"/>
              <w:bottom w:val="single" w:sz="8" w:space="0" w:color="auto"/>
              <w:right w:val="single" w:sz="8" w:space="0" w:color="auto"/>
            </w:tcBorders>
            <w:shd w:val="clear" w:color="auto" w:fill="auto"/>
            <w:vAlign w:val="center"/>
            <w:hideMark/>
          </w:tcPr>
          <w:p w14:paraId="0065A8D7" w14:textId="03525492"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570AE186" w14:textId="28A0CE02"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316.32</w:t>
            </w:r>
          </w:p>
        </w:tc>
      </w:tr>
      <w:tr w:rsidR="00BB3FF8" w:rsidRPr="00EE4485" w14:paraId="656B9A8B"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18242C9A"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Mitsubishi 501GAC</w:t>
            </w:r>
          </w:p>
        </w:tc>
        <w:tc>
          <w:tcPr>
            <w:tcW w:w="995" w:type="dxa"/>
            <w:tcBorders>
              <w:top w:val="nil"/>
              <w:left w:val="nil"/>
              <w:bottom w:val="single" w:sz="8" w:space="0" w:color="auto"/>
              <w:right w:val="single" w:sz="8" w:space="0" w:color="auto"/>
            </w:tcBorders>
            <w:shd w:val="clear" w:color="auto" w:fill="auto"/>
            <w:vAlign w:val="center"/>
            <w:hideMark/>
          </w:tcPr>
          <w:p w14:paraId="3ECFCBD0"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Houston</w:t>
            </w:r>
          </w:p>
        </w:tc>
        <w:tc>
          <w:tcPr>
            <w:tcW w:w="995" w:type="dxa"/>
            <w:tcBorders>
              <w:top w:val="nil"/>
              <w:left w:val="nil"/>
              <w:bottom w:val="single" w:sz="8" w:space="0" w:color="auto"/>
              <w:right w:val="single" w:sz="8" w:space="0" w:color="auto"/>
            </w:tcBorders>
            <w:shd w:val="clear" w:color="auto" w:fill="auto"/>
            <w:vAlign w:val="center"/>
            <w:hideMark/>
          </w:tcPr>
          <w:p w14:paraId="44CAC96C"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34.40%</w:t>
            </w:r>
          </w:p>
        </w:tc>
        <w:tc>
          <w:tcPr>
            <w:tcW w:w="995" w:type="dxa"/>
            <w:tcBorders>
              <w:top w:val="nil"/>
              <w:left w:val="nil"/>
              <w:bottom w:val="single" w:sz="8" w:space="0" w:color="auto"/>
              <w:right w:val="single" w:sz="8" w:space="0" w:color="auto"/>
            </w:tcBorders>
            <w:shd w:val="clear" w:color="auto" w:fill="auto"/>
            <w:vAlign w:val="center"/>
            <w:hideMark/>
          </w:tcPr>
          <w:p w14:paraId="329E0C6D"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405</w:t>
            </w:r>
          </w:p>
        </w:tc>
        <w:tc>
          <w:tcPr>
            <w:tcW w:w="1133" w:type="dxa"/>
            <w:tcBorders>
              <w:top w:val="nil"/>
              <w:left w:val="nil"/>
              <w:bottom w:val="single" w:sz="8" w:space="0" w:color="auto"/>
              <w:right w:val="single" w:sz="8" w:space="0" w:color="auto"/>
            </w:tcBorders>
            <w:shd w:val="clear" w:color="auto" w:fill="auto"/>
            <w:vAlign w:val="center"/>
            <w:hideMark/>
          </w:tcPr>
          <w:p w14:paraId="744F836B" w14:textId="307AB82E"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29718733" w14:textId="4F83EA1D"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244.09</w:t>
            </w:r>
          </w:p>
        </w:tc>
        <w:tc>
          <w:tcPr>
            <w:tcW w:w="1133" w:type="dxa"/>
            <w:tcBorders>
              <w:top w:val="nil"/>
              <w:left w:val="nil"/>
              <w:bottom w:val="single" w:sz="8" w:space="0" w:color="auto"/>
              <w:right w:val="single" w:sz="8" w:space="0" w:color="auto"/>
            </w:tcBorders>
            <w:shd w:val="clear" w:color="auto" w:fill="auto"/>
            <w:vAlign w:val="center"/>
            <w:hideMark/>
          </w:tcPr>
          <w:p w14:paraId="035C7597" w14:textId="65BF1CAF"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0D17CEF7" w14:textId="264C3AFD"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305.11</w:t>
            </w:r>
          </w:p>
        </w:tc>
      </w:tr>
      <w:tr w:rsidR="00BB3FF8" w:rsidRPr="00EE4485" w14:paraId="677BA532" w14:textId="77777777" w:rsidTr="00BB3FF8">
        <w:trPr>
          <w:trHeight w:val="615"/>
        </w:trPr>
        <w:tc>
          <w:tcPr>
            <w:tcW w:w="1149" w:type="dxa"/>
            <w:tcBorders>
              <w:top w:val="nil"/>
              <w:left w:val="single" w:sz="8" w:space="0" w:color="auto"/>
              <w:bottom w:val="single" w:sz="8" w:space="0" w:color="auto"/>
              <w:right w:val="single" w:sz="8" w:space="0" w:color="auto"/>
            </w:tcBorders>
            <w:shd w:val="clear" w:color="auto" w:fill="auto"/>
            <w:vAlign w:val="center"/>
            <w:hideMark/>
          </w:tcPr>
          <w:p w14:paraId="6C14A4E7"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GE 207FA.04</w:t>
            </w:r>
          </w:p>
        </w:tc>
        <w:tc>
          <w:tcPr>
            <w:tcW w:w="995" w:type="dxa"/>
            <w:tcBorders>
              <w:top w:val="nil"/>
              <w:left w:val="nil"/>
              <w:bottom w:val="single" w:sz="8" w:space="0" w:color="auto"/>
              <w:right w:val="single" w:sz="8" w:space="0" w:color="auto"/>
            </w:tcBorders>
            <w:shd w:val="clear" w:color="auto" w:fill="auto"/>
            <w:vAlign w:val="center"/>
            <w:hideMark/>
          </w:tcPr>
          <w:p w14:paraId="6F072D06" w14:textId="77777777" w:rsidR="00BB3FF8" w:rsidRPr="00EE4485" w:rsidRDefault="00BB3FF8" w:rsidP="00BB3FF8">
            <w:pPr>
              <w:spacing w:after="0" w:line="240" w:lineRule="auto"/>
              <w:rPr>
                <w:rFonts w:ascii="Calibri" w:eastAsia="Times New Roman" w:hAnsi="Calibri" w:cs="Calibri"/>
                <w:color w:val="000000"/>
              </w:rPr>
            </w:pPr>
            <w:r w:rsidRPr="00EE4485">
              <w:rPr>
                <w:rFonts w:ascii="Calibri" w:eastAsia="Times New Roman" w:hAnsi="Calibri" w:cs="Calibri"/>
                <w:color w:val="000000"/>
              </w:rPr>
              <w:t>San Antonio</w:t>
            </w:r>
          </w:p>
        </w:tc>
        <w:tc>
          <w:tcPr>
            <w:tcW w:w="995" w:type="dxa"/>
            <w:tcBorders>
              <w:top w:val="nil"/>
              <w:left w:val="nil"/>
              <w:bottom w:val="single" w:sz="8" w:space="0" w:color="auto"/>
              <w:right w:val="single" w:sz="8" w:space="0" w:color="auto"/>
            </w:tcBorders>
            <w:shd w:val="clear" w:color="auto" w:fill="auto"/>
            <w:vAlign w:val="center"/>
            <w:hideMark/>
          </w:tcPr>
          <w:p w14:paraId="015729CF"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10.50%</w:t>
            </w:r>
          </w:p>
        </w:tc>
        <w:tc>
          <w:tcPr>
            <w:tcW w:w="995" w:type="dxa"/>
            <w:tcBorders>
              <w:top w:val="nil"/>
              <w:left w:val="nil"/>
              <w:bottom w:val="single" w:sz="8" w:space="0" w:color="auto"/>
              <w:right w:val="single" w:sz="8" w:space="0" w:color="auto"/>
            </w:tcBorders>
            <w:shd w:val="clear" w:color="auto" w:fill="auto"/>
            <w:vAlign w:val="center"/>
            <w:hideMark/>
          </w:tcPr>
          <w:p w14:paraId="07EB8999" w14:textId="77777777" w:rsidR="00BB3FF8" w:rsidRPr="00EE4485" w:rsidRDefault="00BB3FF8" w:rsidP="00BB3FF8">
            <w:pPr>
              <w:spacing w:after="0" w:line="240" w:lineRule="auto"/>
              <w:jc w:val="right"/>
              <w:rPr>
                <w:rFonts w:ascii="Calibri" w:eastAsia="Times New Roman" w:hAnsi="Calibri" w:cs="Calibri"/>
                <w:color w:val="000000"/>
              </w:rPr>
            </w:pPr>
            <w:r w:rsidRPr="00EE4485">
              <w:rPr>
                <w:rFonts w:ascii="Calibri" w:eastAsia="Times New Roman" w:hAnsi="Calibri" w:cs="Calibri"/>
                <w:color w:val="000000"/>
              </w:rPr>
              <w:t>942</w:t>
            </w:r>
          </w:p>
        </w:tc>
        <w:tc>
          <w:tcPr>
            <w:tcW w:w="1133" w:type="dxa"/>
            <w:tcBorders>
              <w:top w:val="nil"/>
              <w:left w:val="nil"/>
              <w:bottom w:val="single" w:sz="8" w:space="0" w:color="auto"/>
              <w:right w:val="single" w:sz="8" w:space="0" w:color="auto"/>
            </w:tcBorders>
            <w:shd w:val="clear" w:color="auto" w:fill="auto"/>
            <w:vAlign w:val="center"/>
            <w:hideMark/>
          </w:tcPr>
          <w:p w14:paraId="720A6A2D" w14:textId="21BF94E0"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200</w:t>
            </w:r>
          </w:p>
        </w:tc>
        <w:tc>
          <w:tcPr>
            <w:tcW w:w="973" w:type="dxa"/>
            <w:tcBorders>
              <w:top w:val="nil"/>
              <w:left w:val="nil"/>
              <w:bottom w:val="single" w:sz="8" w:space="0" w:color="auto"/>
              <w:right w:val="single" w:sz="8" w:space="0" w:color="auto"/>
            </w:tcBorders>
            <w:shd w:val="clear" w:color="auto" w:fill="auto"/>
            <w:vAlign w:val="center"/>
            <w:hideMark/>
          </w:tcPr>
          <w:p w14:paraId="14984383" w14:textId="38557BBE"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173.29</w:t>
            </w:r>
          </w:p>
        </w:tc>
        <w:tc>
          <w:tcPr>
            <w:tcW w:w="1133" w:type="dxa"/>
            <w:tcBorders>
              <w:top w:val="nil"/>
              <w:left w:val="nil"/>
              <w:bottom w:val="single" w:sz="8" w:space="0" w:color="auto"/>
              <w:right w:val="single" w:sz="8" w:space="0" w:color="auto"/>
            </w:tcBorders>
            <w:shd w:val="clear" w:color="auto" w:fill="auto"/>
            <w:vAlign w:val="center"/>
            <w:hideMark/>
          </w:tcPr>
          <w:p w14:paraId="3062BDE6" w14:textId="364C5857"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250</w:t>
            </w:r>
          </w:p>
        </w:tc>
        <w:tc>
          <w:tcPr>
            <w:tcW w:w="973" w:type="dxa"/>
            <w:tcBorders>
              <w:top w:val="nil"/>
              <w:left w:val="nil"/>
              <w:bottom w:val="single" w:sz="8" w:space="0" w:color="auto"/>
              <w:right w:val="single" w:sz="8" w:space="0" w:color="auto"/>
            </w:tcBorders>
            <w:shd w:val="clear" w:color="auto" w:fill="auto"/>
            <w:vAlign w:val="center"/>
            <w:hideMark/>
          </w:tcPr>
          <w:p w14:paraId="571BFB11" w14:textId="6EEA5B12" w:rsidR="00BB3FF8" w:rsidRPr="00EE4485" w:rsidRDefault="00BB3FF8" w:rsidP="00BB3FF8">
            <w:pPr>
              <w:spacing w:after="0" w:line="240" w:lineRule="auto"/>
              <w:jc w:val="right"/>
              <w:rPr>
                <w:rFonts w:ascii="Calibri" w:eastAsia="Times New Roman" w:hAnsi="Calibri" w:cs="Calibri"/>
                <w:color w:val="000000"/>
              </w:rPr>
            </w:pPr>
            <w:r>
              <w:rPr>
                <w:rFonts w:ascii="Calibri" w:hAnsi="Calibri" w:cs="Calibri"/>
                <w:color w:val="000000"/>
              </w:rPr>
              <w:t>216.61</w:t>
            </w:r>
          </w:p>
        </w:tc>
      </w:tr>
      <w:tr w:rsidR="00EE4485" w:rsidRPr="00EE4485" w14:paraId="2045D966" w14:textId="77777777" w:rsidTr="00BB3FF8">
        <w:trPr>
          <w:trHeight w:val="330"/>
        </w:trPr>
        <w:tc>
          <w:tcPr>
            <w:tcW w:w="8346"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14:paraId="0D7D7032" w14:textId="77777777" w:rsidR="00EE4485" w:rsidRPr="00EE4485" w:rsidRDefault="00EE4485" w:rsidP="00EE4485">
            <w:pPr>
              <w:spacing w:after="0" w:line="240" w:lineRule="auto"/>
              <w:rPr>
                <w:rFonts w:ascii="Calibri" w:eastAsia="Times New Roman" w:hAnsi="Calibri" w:cs="Calibri"/>
                <w:color w:val="000000"/>
              </w:rPr>
            </w:pPr>
            <w:r w:rsidRPr="00EE4485">
              <w:rPr>
                <w:rFonts w:ascii="Calibri" w:eastAsia="Times New Roman" w:hAnsi="Calibri" w:cs="Calibri"/>
                <w:color w:val="000000"/>
              </w:rPr>
              <w:lastRenderedPageBreak/>
              <w:t>* Assumed recirculating cooling (cooling towers)</w:t>
            </w:r>
          </w:p>
        </w:tc>
      </w:tr>
    </w:tbl>
    <w:p w14:paraId="02702E42" w14:textId="5E581BC4" w:rsidR="00EE4485" w:rsidRDefault="00EE4485" w:rsidP="00EE4485"/>
    <w:p w14:paraId="1603C979" w14:textId="53294EFD" w:rsidR="00046D44" w:rsidRDefault="00046D44" w:rsidP="00046D44">
      <w:pPr>
        <w:pStyle w:val="Heading2"/>
      </w:pPr>
      <w:r>
        <w:t>Renewables Analysis</w:t>
      </w:r>
    </w:p>
    <w:p w14:paraId="752E04BE" w14:textId="4B994E8A" w:rsidR="00046D44" w:rsidRDefault="00F7037F" w:rsidP="00EE4485">
      <w:r>
        <w:t>The renewables Life Cycle Analysis is conducted similarly to the CCGT Life Cycle Analysis. Using the values provided in the case study for the seasonal capacity factors, the annual weighted capacity factor was calculated, presented in Table 4. Then, using the</w:t>
      </w:r>
      <w:r w:rsidRPr="00F7037F">
        <w:rPr>
          <w:rFonts w:ascii="Calibri" w:hAnsi="Calibri" w:cs="Calibri"/>
          <w:b/>
          <w:bCs/>
          <w:color w:val="000000"/>
        </w:rPr>
        <w:t xml:space="preserve"> </w:t>
      </w:r>
      <w:r w:rsidRPr="00F7037F">
        <w:rPr>
          <w:rFonts w:ascii="Calibri" w:hAnsi="Calibri" w:cs="Calibri"/>
          <w:color w:val="000000"/>
        </w:rPr>
        <w:t>CO</w:t>
      </w:r>
      <w:r w:rsidRPr="00F7037F">
        <w:rPr>
          <w:rFonts w:ascii="Calibri" w:hAnsi="Calibri" w:cs="Calibri"/>
          <w:color w:val="000000"/>
          <w:vertAlign w:val="subscript"/>
        </w:rPr>
        <w:t>2</w:t>
      </w:r>
      <w:r w:rsidRPr="00F7037F">
        <w:rPr>
          <w:rFonts w:ascii="Calibri" w:hAnsi="Calibri" w:cs="Calibri"/>
          <w:color w:val="000000"/>
        </w:rPr>
        <w:t>-eq</w:t>
      </w:r>
      <w:r>
        <w:t xml:space="preserve"> emissions rates for each source’s production provided in [4], the annual </w:t>
      </w:r>
      <w:r w:rsidRPr="00F7037F">
        <w:rPr>
          <w:rFonts w:ascii="Calibri" w:hAnsi="Calibri" w:cs="Calibri"/>
          <w:color w:val="000000"/>
        </w:rPr>
        <w:t>CO</w:t>
      </w:r>
      <w:r w:rsidRPr="00F7037F">
        <w:rPr>
          <w:rFonts w:ascii="Calibri" w:hAnsi="Calibri" w:cs="Calibri"/>
          <w:color w:val="000000"/>
          <w:vertAlign w:val="subscript"/>
        </w:rPr>
        <w:t>2</w:t>
      </w:r>
      <w:r w:rsidRPr="00F7037F">
        <w:rPr>
          <w:rFonts w:ascii="Calibri" w:hAnsi="Calibri" w:cs="Calibri"/>
          <w:color w:val="000000"/>
        </w:rPr>
        <w:t>-eq</w:t>
      </w:r>
      <w:r>
        <w:rPr>
          <w:rFonts w:ascii="Calibri" w:hAnsi="Calibri" w:cs="Calibri"/>
          <w:color w:val="000000"/>
        </w:rPr>
        <w:t xml:space="preserve"> emission rate was calculated using equation (</w:t>
      </w:r>
      <w:r w:rsidR="00421ED4">
        <w:rPr>
          <w:rFonts w:ascii="Calibri" w:hAnsi="Calibri" w:cs="Calibri"/>
          <w:color w:val="000000"/>
        </w:rPr>
        <w:t>3</w:t>
      </w:r>
      <w:r>
        <w:rPr>
          <w:rFonts w:ascii="Calibri" w:hAnsi="Calibri" w:cs="Calibri"/>
          <w:color w:val="000000"/>
        </w:rPr>
        <w:t xml:space="preserve">). </w:t>
      </w:r>
    </w:p>
    <w:tbl>
      <w:tblPr>
        <w:tblW w:w="9118" w:type="dxa"/>
        <w:tblCellMar>
          <w:left w:w="0" w:type="dxa"/>
          <w:right w:w="0" w:type="dxa"/>
        </w:tblCellMar>
        <w:tblLook w:val="04A0" w:firstRow="1" w:lastRow="0" w:firstColumn="1" w:lastColumn="0" w:noHBand="0" w:noVBand="1"/>
      </w:tblPr>
      <w:tblGrid>
        <w:gridCol w:w="1411"/>
        <w:gridCol w:w="1553"/>
        <w:gridCol w:w="1005"/>
        <w:gridCol w:w="1051"/>
        <w:gridCol w:w="1287"/>
        <w:gridCol w:w="1474"/>
        <w:gridCol w:w="1337"/>
      </w:tblGrid>
      <w:tr w:rsidR="00D1055C" w14:paraId="15C1DA1C" w14:textId="77777777" w:rsidTr="00D1055C">
        <w:trPr>
          <w:trHeight w:val="253"/>
        </w:trPr>
        <w:tc>
          <w:tcPr>
            <w:tcW w:w="9118" w:type="dxa"/>
            <w:gridSpan w:val="7"/>
            <w:tcBorders>
              <w:top w:val="single" w:sz="8" w:space="0" w:color="auto"/>
              <w:left w:val="single" w:sz="8" w:space="0" w:color="auto"/>
              <w:bottom w:val="single" w:sz="8" w:space="0" w:color="auto"/>
              <w:right w:val="single" w:sz="8" w:space="0" w:color="000000"/>
            </w:tcBorders>
            <w:shd w:val="clear" w:color="auto" w:fill="auto"/>
            <w:noWrap/>
            <w:tcMar>
              <w:top w:w="15" w:type="dxa"/>
              <w:left w:w="15" w:type="dxa"/>
              <w:bottom w:w="0" w:type="dxa"/>
              <w:right w:w="15" w:type="dxa"/>
            </w:tcMar>
            <w:vAlign w:val="center"/>
            <w:hideMark/>
          </w:tcPr>
          <w:p w14:paraId="2ED0A7CB" w14:textId="77777777" w:rsidR="00D1055C" w:rsidRDefault="00D1055C">
            <w:pPr>
              <w:rPr>
                <w:rFonts w:ascii="Calibri" w:hAnsi="Calibri" w:cs="Calibri"/>
                <w:color w:val="000000"/>
              </w:rPr>
            </w:pPr>
            <w:r>
              <w:rPr>
                <w:rFonts w:ascii="Calibri" w:hAnsi="Calibri" w:cs="Calibri"/>
                <w:color w:val="000000"/>
              </w:rPr>
              <w:t>Table 4: Renewables Life Cycle Analysis [4]</w:t>
            </w:r>
          </w:p>
        </w:tc>
      </w:tr>
      <w:tr w:rsidR="00D1055C" w14:paraId="56B88EC7" w14:textId="77777777" w:rsidTr="00BB3FF8">
        <w:trPr>
          <w:trHeight w:val="315"/>
        </w:trPr>
        <w:tc>
          <w:tcPr>
            <w:tcW w:w="1411" w:type="dxa"/>
            <w:vMerge w:val="restart"/>
            <w:tcBorders>
              <w:top w:val="nil"/>
              <w:left w:val="single" w:sz="8" w:space="0" w:color="auto"/>
              <w:bottom w:val="single" w:sz="8" w:space="0" w:color="000000"/>
              <w:right w:val="single" w:sz="8" w:space="0" w:color="auto"/>
            </w:tcBorders>
            <w:shd w:val="clear" w:color="auto" w:fill="auto"/>
            <w:noWrap/>
            <w:tcMar>
              <w:top w:w="15" w:type="dxa"/>
              <w:left w:w="15" w:type="dxa"/>
              <w:bottom w:w="0" w:type="dxa"/>
              <w:right w:w="15" w:type="dxa"/>
            </w:tcMar>
            <w:vAlign w:val="bottom"/>
            <w:hideMark/>
          </w:tcPr>
          <w:p w14:paraId="48D922F6" w14:textId="77777777" w:rsidR="00D1055C" w:rsidRDefault="00D1055C" w:rsidP="00D1055C">
            <w:pPr>
              <w:jc w:val="center"/>
              <w:rPr>
                <w:rFonts w:ascii="Calibri" w:hAnsi="Calibri" w:cs="Calibri"/>
                <w:b/>
                <w:bCs/>
                <w:color w:val="000000"/>
              </w:rPr>
            </w:pPr>
            <w:r>
              <w:rPr>
                <w:rFonts w:ascii="Calibri" w:hAnsi="Calibri" w:cs="Calibri"/>
                <w:b/>
                <w:bCs/>
                <w:color w:val="000000"/>
              </w:rPr>
              <w:t>Development</w:t>
            </w:r>
          </w:p>
        </w:tc>
        <w:tc>
          <w:tcPr>
            <w:tcW w:w="1553" w:type="dxa"/>
            <w:vMerge w:val="restart"/>
            <w:tcBorders>
              <w:top w:val="nil"/>
              <w:left w:val="single" w:sz="8" w:space="0" w:color="auto"/>
              <w:bottom w:val="single" w:sz="8" w:space="0" w:color="000000"/>
              <w:right w:val="single" w:sz="8" w:space="0" w:color="auto"/>
            </w:tcBorders>
            <w:shd w:val="clear" w:color="auto" w:fill="auto"/>
            <w:noWrap/>
            <w:tcMar>
              <w:top w:w="15" w:type="dxa"/>
              <w:left w:w="15" w:type="dxa"/>
              <w:bottom w:w="0" w:type="dxa"/>
              <w:right w:w="15" w:type="dxa"/>
            </w:tcMar>
            <w:vAlign w:val="bottom"/>
            <w:hideMark/>
          </w:tcPr>
          <w:p w14:paraId="4D1F1973" w14:textId="77777777" w:rsidR="00D1055C" w:rsidRDefault="00D1055C" w:rsidP="00D1055C">
            <w:pPr>
              <w:jc w:val="center"/>
              <w:rPr>
                <w:rFonts w:ascii="Calibri" w:hAnsi="Calibri" w:cs="Calibri"/>
                <w:b/>
                <w:bCs/>
                <w:color w:val="000000"/>
              </w:rPr>
            </w:pPr>
            <w:r>
              <w:rPr>
                <w:rFonts w:ascii="Calibri" w:hAnsi="Calibri" w:cs="Calibri"/>
                <w:b/>
                <w:bCs/>
                <w:color w:val="000000"/>
              </w:rPr>
              <w:t>Source</w:t>
            </w:r>
          </w:p>
        </w:tc>
        <w:tc>
          <w:tcPr>
            <w:tcW w:w="1005" w:type="dxa"/>
            <w:vMerge w:val="restart"/>
            <w:tcBorders>
              <w:top w:val="nil"/>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bottom"/>
            <w:hideMark/>
          </w:tcPr>
          <w:p w14:paraId="3D2021B3" w14:textId="77777777" w:rsidR="00D1055C" w:rsidRDefault="00D1055C" w:rsidP="00D1055C">
            <w:pPr>
              <w:jc w:val="center"/>
              <w:rPr>
                <w:rFonts w:ascii="Calibri" w:hAnsi="Calibri" w:cs="Calibri"/>
                <w:b/>
                <w:bCs/>
                <w:color w:val="000000"/>
              </w:rPr>
            </w:pPr>
            <w:r>
              <w:rPr>
                <w:rFonts w:ascii="Calibri" w:hAnsi="Calibri" w:cs="Calibri"/>
                <w:b/>
                <w:bCs/>
                <w:color w:val="000000"/>
              </w:rPr>
              <w:t>Capacity Factor</w:t>
            </w:r>
          </w:p>
        </w:tc>
        <w:tc>
          <w:tcPr>
            <w:tcW w:w="1051" w:type="dxa"/>
            <w:tcBorders>
              <w:top w:val="nil"/>
              <w:left w:val="single" w:sz="4" w:space="0" w:color="auto"/>
              <w:right w:val="single" w:sz="4" w:space="0" w:color="auto"/>
            </w:tcBorders>
            <w:shd w:val="clear" w:color="auto" w:fill="auto"/>
            <w:noWrap/>
            <w:tcMar>
              <w:top w:w="15" w:type="dxa"/>
              <w:left w:w="15" w:type="dxa"/>
              <w:bottom w:w="0" w:type="dxa"/>
              <w:right w:w="15" w:type="dxa"/>
            </w:tcMar>
            <w:vAlign w:val="bottom"/>
            <w:hideMark/>
          </w:tcPr>
          <w:p w14:paraId="14B9B077" w14:textId="77777777" w:rsidR="00D1055C" w:rsidRDefault="00D1055C" w:rsidP="00D1055C">
            <w:pPr>
              <w:jc w:val="center"/>
              <w:rPr>
                <w:rFonts w:ascii="Calibri" w:hAnsi="Calibri" w:cs="Calibri"/>
                <w:b/>
                <w:bCs/>
                <w:color w:val="000000"/>
              </w:rPr>
            </w:pPr>
            <w:r>
              <w:rPr>
                <w:rFonts w:ascii="Calibri" w:hAnsi="Calibri" w:cs="Calibri"/>
                <w:b/>
                <w:bCs/>
                <w:color w:val="000000"/>
              </w:rPr>
              <w:t>Capacity</w:t>
            </w:r>
          </w:p>
        </w:tc>
        <w:tc>
          <w:tcPr>
            <w:tcW w:w="1287" w:type="dxa"/>
            <w:tcBorders>
              <w:top w:val="single" w:sz="4" w:space="0" w:color="auto"/>
              <w:left w:val="single" w:sz="4" w:space="0" w:color="auto"/>
              <w:right w:val="single" w:sz="4" w:space="0" w:color="auto"/>
            </w:tcBorders>
            <w:shd w:val="clear" w:color="auto" w:fill="auto"/>
            <w:noWrap/>
            <w:tcMar>
              <w:top w:w="15" w:type="dxa"/>
              <w:left w:w="15" w:type="dxa"/>
              <w:bottom w:w="0" w:type="dxa"/>
              <w:right w:w="15" w:type="dxa"/>
            </w:tcMar>
            <w:vAlign w:val="bottom"/>
            <w:hideMark/>
          </w:tcPr>
          <w:p w14:paraId="32B36FF1" w14:textId="77777777" w:rsidR="00D1055C" w:rsidRDefault="00D1055C" w:rsidP="00D1055C">
            <w:pPr>
              <w:jc w:val="center"/>
              <w:rPr>
                <w:rFonts w:ascii="Calibri" w:hAnsi="Calibri" w:cs="Calibri"/>
                <w:b/>
                <w:bCs/>
                <w:color w:val="000000"/>
              </w:rPr>
            </w:pPr>
            <w:r>
              <w:rPr>
                <w:rFonts w:ascii="Calibri" w:hAnsi="Calibri" w:cs="Calibri"/>
                <w:b/>
                <w:bCs/>
                <w:color w:val="000000"/>
              </w:rPr>
              <w:t>Project Area</w:t>
            </w:r>
          </w:p>
        </w:tc>
        <w:tc>
          <w:tcPr>
            <w:tcW w:w="0" w:type="auto"/>
            <w:gridSpan w:val="2"/>
            <w:tcBorders>
              <w:top w:val="single" w:sz="8" w:space="0" w:color="auto"/>
              <w:left w:val="single" w:sz="4" w:space="0" w:color="auto"/>
              <w:bottom w:val="single" w:sz="8" w:space="0" w:color="auto"/>
              <w:right w:val="single" w:sz="8" w:space="0" w:color="000000"/>
            </w:tcBorders>
            <w:shd w:val="clear" w:color="auto" w:fill="auto"/>
            <w:noWrap/>
            <w:tcMar>
              <w:top w:w="15" w:type="dxa"/>
              <w:left w:w="15" w:type="dxa"/>
              <w:bottom w:w="0" w:type="dxa"/>
              <w:right w:w="15" w:type="dxa"/>
            </w:tcMar>
            <w:vAlign w:val="bottom"/>
            <w:hideMark/>
          </w:tcPr>
          <w:p w14:paraId="28DA388F" w14:textId="77777777" w:rsidR="00D1055C" w:rsidRDefault="00D1055C" w:rsidP="00D1055C">
            <w:pPr>
              <w:jc w:val="center"/>
              <w:rPr>
                <w:rFonts w:ascii="Calibri" w:hAnsi="Calibri" w:cs="Calibri"/>
                <w:b/>
                <w:bCs/>
                <w:color w:val="000000"/>
              </w:rPr>
            </w:pPr>
            <w:r>
              <w:rPr>
                <w:rFonts w:ascii="Calibri" w:hAnsi="Calibri" w:cs="Calibri"/>
                <w:b/>
                <w:bCs/>
                <w:color w:val="000000"/>
              </w:rPr>
              <w:t>CO</w:t>
            </w:r>
            <w:r w:rsidRPr="00F7037F">
              <w:rPr>
                <w:rFonts w:ascii="Calibri" w:hAnsi="Calibri" w:cs="Calibri"/>
                <w:b/>
                <w:bCs/>
                <w:color w:val="000000"/>
                <w:vertAlign w:val="subscript"/>
              </w:rPr>
              <w:t>2</w:t>
            </w:r>
            <w:r>
              <w:rPr>
                <w:rFonts w:ascii="Calibri" w:hAnsi="Calibri" w:cs="Calibri"/>
                <w:b/>
                <w:bCs/>
                <w:color w:val="000000"/>
              </w:rPr>
              <w:t>-eq</w:t>
            </w:r>
          </w:p>
        </w:tc>
      </w:tr>
      <w:tr w:rsidR="00D1055C" w14:paraId="2146816F" w14:textId="77777777" w:rsidTr="00BB3FF8">
        <w:trPr>
          <w:trHeight w:val="315"/>
        </w:trPr>
        <w:tc>
          <w:tcPr>
            <w:tcW w:w="1411" w:type="dxa"/>
            <w:vMerge/>
            <w:tcBorders>
              <w:top w:val="nil"/>
              <w:left w:val="single" w:sz="8" w:space="0" w:color="auto"/>
              <w:bottom w:val="single" w:sz="8" w:space="0" w:color="000000"/>
              <w:right w:val="single" w:sz="8" w:space="0" w:color="auto"/>
            </w:tcBorders>
            <w:vAlign w:val="center"/>
            <w:hideMark/>
          </w:tcPr>
          <w:p w14:paraId="014A576A" w14:textId="77777777" w:rsidR="00D1055C" w:rsidRDefault="00D1055C" w:rsidP="00D1055C">
            <w:pPr>
              <w:jc w:val="center"/>
              <w:rPr>
                <w:rFonts w:ascii="Calibri" w:hAnsi="Calibri" w:cs="Calibri"/>
                <w:b/>
                <w:bCs/>
                <w:color w:val="000000"/>
              </w:rPr>
            </w:pPr>
          </w:p>
        </w:tc>
        <w:tc>
          <w:tcPr>
            <w:tcW w:w="1553" w:type="dxa"/>
            <w:vMerge/>
            <w:tcBorders>
              <w:top w:val="nil"/>
              <w:left w:val="single" w:sz="8" w:space="0" w:color="auto"/>
              <w:bottom w:val="single" w:sz="8" w:space="0" w:color="000000"/>
              <w:right w:val="single" w:sz="8" w:space="0" w:color="auto"/>
            </w:tcBorders>
            <w:vAlign w:val="center"/>
            <w:hideMark/>
          </w:tcPr>
          <w:p w14:paraId="1C083F4C" w14:textId="77777777" w:rsidR="00D1055C" w:rsidRDefault="00D1055C" w:rsidP="00D1055C">
            <w:pPr>
              <w:jc w:val="center"/>
              <w:rPr>
                <w:rFonts w:ascii="Calibri" w:hAnsi="Calibri" w:cs="Calibri"/>
                <w:b/>
                <w:bCs/>
                <w:color w:val="000000"/>
              </w:rPr>
            </w:pPr>
          </w:p>
        </w:tc>
        <w:tc>
          <w:tcPr>
            <w:tcW w:w="1005" w:type="dxa"/>
            <w:vMerge/>
            <w:tcBorders>
              <w:top w:val="nil"/>
              <w:left w:val="single" w:sz="8" w:space="0" w:color="auto"/>
              <w:bottom w:val="single" w:sz="8" w:space="0" w:color="000000"/>
              <w:right w:val="single" w:sz="8" w:space="0" w:color="auto"/>
            </w:tcBorders>
            <w:vAlign w:val="center"/>
            <w:hideMark/>
          </w:tcPr>
          <w:p w14:paraId="03710C86" w14:textId="77777777" w:rsidR="00D1055C" w:rsidRDefault="00D1055C" w:rsidP="00D1055C">
            <w:pPr>
              <w:jc w:val="center"/>
              <w:rPr>
                <w:rFonts w:ascii="Calibri" w:hAnsi="Calibri" w:cs="Calibri"/>
                <w:b/>
                <w:bCs/>
                <w:color w:val="000000"/>
              </w:rPr>
            </w:pPr>
          </w:p>
        </w:tc>
        <w:tc>
          <w:tcPr>
            <w:tcW w:w="1051"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bottom"/>
            <w:hideMark/>
          </w:tcPr>
          <w:p w14:paraId="22FA1B5A" w14:textId="77777777" w:rsidR="00D1055C" w:rsidRDefault="00D1055C" w:rsidP="00D1055C">
            <w:pPr>
              <w:jc w:val="center"/>
              <w:rPr>
                <w:rFonts w:ascii="Calibri" w:hAnsi="Calibri" w:cs="Calibri"/>
                <w:b/>
                <w:bCs/>
                <w:color w:val="000000"/>
              </w:rPr>
            </w:pPr>
            <w:r>
              <w:rPr>
                <w:rFonts w:ascii="Calibri" w:hAnsi="Calibri" w:cs="Calibri"/>
                <w:b/>
                <w:bCs/>
                <w:color w:val="000000"/>
              </w:rPr>
              <w:t>(MW)</w:t>
            </w:r>
          </w:p>
        </w:tc>
        <w:tc>
          <w:tcPr>
            <w:tcW w:w="1287"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82365" w14:textId="77777777" w:rsidR="00D1055C" w:rsidRDefault="00D1055C" w:rsidP="00D1055C">
            <w:pPr>
              <w:jc w:val="center"/>
              <w:rPr>
                <w:rFonts w:ascii="Calibri" w:hAnsi="Calibri" w:cs="Calibri"/>
                <w:b/>
                <w:bCs/>
                <w:color w:val="000000"/>
              </w:rPr>
            </w:pPr>
            <w:r>
              <w:rPr>
                <w:rFonts w:ascii="Calibri" w:hAnsi="Calibri" w:cs="Calibri"/>
                <w:b/>
                <w:bCs/>
                <w:color w:val="000000"/>
              </w:rPr>
              <w:t>(acres)</w:t>
            </w:r>
          </w:p>
        </w:tc>
        <w:tc>
          <w:tcPr>
            <w:tcW w:w="0" w:type="auto"/>
            <w:tcBorders>
              <w:top w:val="nil"/>
              <w:left w:val="single" w:sz="4" w:space="0" w:color="auto"/>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1D72DE21" w14:textId="7BC41477" w:rsidR="00D1055C" w:rsidRDefault="00D1055C" w:rsidP="00D1055C">
            <w:pPr>
              <w:jc w:val="center"/>
              <w:rPr>
                <w:rFonts w:ascii="Calibri" w:hAnsi="Calibri" w:cs="Calibri"/>
                <w:b/>
                <w:bCs/>
                <w:color w:val="000000"/>
              </w:rPr>
            </w:pPr>
            <w:r>
              <w:rPr>
                <w:rFonts w:ascii="Calibri" w:hAnsi="Calibri" w:cs="Calibri"/>
                <w:b/>
                <w:bCs/>
                <w:color w:val="000000"/>
              </w:rPr>
              <w:t>(g CO</w:t>
            </w:r>
            <w:r w:rsidRPr="00D1055C">
              <w:rPr>
                <w:rFonts w:ascii="Calibri" w:hAnsi="Calibri" w:cs="Calibri"/>
                <w:b/>
                <w:bCs/>
                <w:color w:val="000000"/>
                <w:vertAlign w:val="subscript"/>
              </w:rPr>
              <w:t>2</w:t>
            </w:r>
            <w:r>
              <w:rPr>
                <w:rFonts w:ascii="Calibri" w:hAnsi="Calibri" w:cs="Calibri"/>
                <w:b/>
                <w:bCs/>
                <w:color w:val="000000"/>
              </w:rPr>
              <w:t>-eq/kWh)</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14:paraId="5AC06098" w14:textId="656556E9" w:rsidR="00D1055C" w:rsidRDefault="00D1055C" w:rsidP="00D1055C">
            <w:pPr>
              <w:jc w:val="center"/>
              <w:rPr>
                <w:rFonts w:ascii="Calibri" w:hAnsi="Calibri" w:cs="Calibri"/>
                <w:b/>
                <w:bCs/>
                <w:color w:val="000000"/>
              </w:rPr>
            </w:pPr>
            <w:r>
              <w:rPr>
                <w:rFonts w:ascii="Calibri" w:hAnsi="Calibri" w:cs="Calibri"/>
                <w:b/>
                <w:bCs/>
                <w:color w:val="000000"/>
              </w:rPr>
              <w:t>(kg CO</w:t>
            </w:r>
            <w:r w:rsidRPr="00D1055C">
              <w:rPr>
                <w:rFonts w:ascii="Calibri" w:hAnsi="Calibri" w:cs="Calibri"/>
                <w:b/>
                <w:bCs/>
                <w:color w:val="000000"/>
                <w:vertAlign w:val="subscript"/>
              </w:rPr>
              <w:t>2</w:t>
            </w:r>
            <w:r>
              <w:rPr>
                <w:rFonts w:ascii="Calibri" w:hAnsi="Calibri" w:cs="Calibri"/>
                <w:b/>
                <w:bCs/>
                <w:color w:val="000000"/>
              </w:rPr>
              <w:t>-eq/</w:t>
            </w:r>
            <w:proofErr w:type="spellStart"/>
            <w:r>
              <w:rPr>
                <w:rFonts w:ascii="Calibri" w:hAnsi="Calibri" w:cs="Calibri"/>
                <w:b/>
                <w:bCs/>
                <w:color w:val="000000"/>
              </w:rPr>
              <w:t>yr</w:t>
            </w:r>
            <w:proofErr w:type="spellEnd"/>
            <w:r>
              <w:rPr>
                <w:rFonts w:ascii="Calibri" w:hAnsi="Calibri" w:cs="Calibri"/>
                <w:b/>
                <w:bCs/>
                <w:color w:val="000000"/>
              </w:rPr>
              <w:t>)</w:t>
            </w:r>
          </w:p>
        </w:tc>
      </w:tr>
      <w:tr w:rsidR="00BB3FF8" w14:paraId="014E13DA"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28E04D7A" w14:textId="77777777" w:rsidR="00BB3FF8" w:rsidRDefault="00BB3FF8" w:rsidP="00BB3FF8">
            <w:pPr>
              <w:rPr>
                <w:rFonts w:ascii="Calibri" w:hAnsi="Calibri" w:cs="Calibri"/>
                <w:color w:val="000000"/>
              </w:rPr>
            </w:pPr>
            <w:r>
              <w:rPr>
                <w:rFonts w:ascii="Calibri" w:hAnsi="Calibri" w:cs="Calibri"/>
                <w:color w:val="000000"/>
              </w:rPr>
              <w:t>Big Sky</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009061B" w14:textId="77777777" w:rsidR="00BB3FF8" w:rsidRDefault="00BB3FF8" w:rsidP="00BB3FF8">
            <w:pPr>
              <w:rPr>
                <w:rFonts w:ascii="Calibri" w:hAnsi="Calibri" w:cs="Calibri"/>
                <w:color w:val="000000"/>
              </w:rPr>
            </w:pPr>
            <w:r>
              <w:rPr>
                <w:rFonts w:ascii="Calibri" w:hAnsi="Calibri" w:cs="Calibri"/>
                <w:color w:val="000000"/>
              </w:rPr>
              <w:t>Solar</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353C09E8" w14:textId="0A9C6F3A" w:rsidR="00BB3FF8" w:rsidRDefault="00BB3FF8" w:rsidP="00BB3FF8">
            <w:pPr>
              <w:jc w:val="right"/>
              <w:rPr>
                <w:rFonts w:ascii="Calibri" w:hAnsi="Calibri" w:cs="Calibri"/>
                <w:color w:val="000000"/>
              </w:rPr>
            </w:pPr>
            <w:r>
              <w:rPr>
                <w:rFonts w:ascii="Calibri" w:hAnsi="Calibri" w:cs="Calibri"/>
                <w:color w:val="000000"/>
              </w:rPr>
              <w:t>0.328</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5B54E9CA" w14:textId="77777777" w:rsidR="00BB3FF8" w:rsidRDefault="00BB3FF8" w:rsidP="00BB3FF8">
            <w:pPr>
              <w:jc w:val="right"/>
              <w:rPr>
                <w:rFonts w:ascii="Calibri" w:hAnsi="Calibri" w:cs="Calibri"/>
                <w:color w:val="000000"/>
              </w:rPr>
            </w:pPr>
            <w:r>
              <w:rPr>
                <w:rFonts w:ascii="Calibri" w:hAnsi="Calibri" w:cs="Calibri"/>
                <w:color w:val="000000"/>
              </w:rPr>
              <w:t>250</w:t>
            </w:r>
          </w:p>
        </w:tc>
        <w:tc>
          <w:tcPr>
            <w:tcW w:w="1287" w:type="dxa"/>
            <w:tcBorders>
              <w:top w:val="single" w:sz="4" w:space="0" w:color="auto"/>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6399C26C" w14:textId="77777777" w:rsidR="00BB3FF8" w:rsidRDefault="00BB3FF8" w:rsidP="00BB3FF8">
            <w:pPr>
              <w:jc w:val="right"/>
              <w:rPr>
                <w:rFonts w:ascii="Calibri" w:hAnsi="Calibri" w:cs="Calibri"/>
                <w:color w:val="000000"/>
              </w:rPr>
            </w:pPr>
            <w:r>
              <w:rPr>
                <w:rFonts w:ascii="Calibri" w:hAnsi="Calibri" w:cs="Calibri"/>
                <w:color w:val="000000"/>
              </w:rPr>
              <w:t>8000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1CC4937C" w14:textId="77777777" w:rsidR="00BB3FF8" w:rsidRDefault="00BB3FF8" w:rsidP="00BB3FF8">
            <w:pPr>
              <w:jc w:val="right"/>
              <w:rPr>
                <w:rFonts w:ascii="Calibri" w:hAnsi="Calibri" w:cs="Calibri"/>
                <w:color w:val="000000"/>
              </w:rPr>
            </w:pPr>
            <w:r>
              <w:rPr>
                <w:rFonts w:ascii="Calibri" w:hAnsi="Calibri" w:cs="Calibri"/>
                <w:color w:val="000000"/>
              </w:rPr>
              <w:t>55</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3C5AC541" w14:textId="39F911EB" w:rsidR="00BB3FF8" w:rsidRDefault="00BB3FF8" w:rsidP="00BB3FF8">
            <w:pPr>
              <w:jc w:val="right"/>
              <w:rPr>
                <w:rFonts w:ascii="Calibri" w:hAnsi="Calibri" w:cs="Calibri"/>
                <w:color w:val="000000"/>
              </w:rPr>
            </w:pPr>
            <w:r>
              <w:rPr>
                <w:rFonts w:ascii="Calibri" w:hAnsi="Calibri" w:cs="Calibri"/>
                <w:color w:val="000000"/>
              </w:rPr>
              <w:t>39.48</w:t>
            </w:r>
          </w:p>
        </w:tc>
      </w:tr>
      <w:tr w:rsidR="00BB3FF8" w14:paraId="0C2CE92E"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2B5C3F61" w14:textId="77777777" w:rsidR="00BB3FF8" w:rsidRDefault="00BB3FF8" w:rsidP="00BB3FF8">
            <w:pPr>
              <w:rPr>
                <w:rFonts w:ascii="Calibri" w:hAnsi="Calibri" w:cs="Calibri"/>
                <w:color w:val="000000"/>
              </w:rPr>
            </w:pPr>
            <w:r>
              <w:rPr>
                <w:rFonts w:ascii="Calibri" w:hAnsi="Calibri" w:cs="Calibri"/>
                <w:color w:val="000000"/>
              </w:rPr>
              <w:t>XIT Ranch</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0CF83406" w14:textId="77777777" w:rsidR="00BB3FF8" w:rsidRDefault="00BB3FF8" w:rsidP="00BB3FF8">
            <w:pPr>
              <w:rPr>
                <w:rFonts w:ascii="Calibri" w:hAnsi="Calibri" w:cs="Calibri"/>
                <w:color w:val="000000"/>
              </w:rPr>
            </w:pPr>
            <w:r>
              <w:rPr>
                <w:rFonts w:ascii="Calibri" w:hAnsi="Calibri" w:cs="Calibri"/>
                <w:color w:val="000000"/>
              </w:rPr>
              <w:t>Onshore Wind</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28F0899C" w14:textId="446551EF" w:rsidR="00BB3FF8" w:rsidRDefault="00BB3FF8" w:rsidP="00BB3FF8">
            <w:pPr>
              <w:jc w:val="right"/>
              <w:rPr>
                <w:rFonts w:ascii="Calibri" w:hAnsi="Calibri" w:cs="Calibri"/>
                <w:color w:val="000000"/>
              </w:rPr>
            </w:pPr>
            <w:r>
              <w:rPr>
                <w:rFonts w:ascii="Calibri" w:hAnsi="Calibri" w:cs="Calibri"/>
                <w:color w:val="000000"/>
              </w:rPr>
              <w:t>0.495</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2EDBE314" w14:textId="77777777" w:rsidR="00BB3FF8" w:rsidRDefault="00BB3FF8" w:rsidP="00BB3FF8">
            <w:pPr>
              <w:jc w:val="right"/>
              <w:rPr>
                <w:rFonts w:ascii="Calibri" w:hAnsi="Calibri" w:cs="Calibri"/>
                <w:color w:val="000000"/>
              </w:rPr>
            </w:pPr>
            <w:r>
              <w:rPr>
                <w:rFonts w:ascii="Calibri" w:hAnsi="Calibri" w:cs="Calibri"/>
                <w:color w:val="000000"/>
              </w:rPr>
              <w:t>250</w:t>
            </w:r>
          </w:p>
        </w:tc>
        <w:tc>
          <w:tcPr>
            <w:tcW w:w="1287"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4A33757" w14:textId="77777777" w:rsidR="00BB3FF8" w:rsidRDefault="00BB3FF8" w:rsidP="00BB3FF8">
            <w:pPr>
              <w:jc w:val="right"/>
              <w:rPr>
                <w:rFonts w:ascii="Calibri" w:hAnsi="Calibri" w:cs="Calibri"/>
                <w:color w:val="000000"/>
              </w:rPr>
            </w:pPr>
            <w:r>
              <w:rPr>
                <w:rFonts w:ascii="Calibri" w:hAnsi="Calibri" w:cs="Calibri"/>
                <w:color w:val="000000"/>
              </w:rPr>
              <w:t>38000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48EE839" w14:textId="77777777" w:rsidR="00BB3FF8" w:rsidRDefault="00BB3FF8" w:rsidP="00BB3FF8">
            <w:pPr>
              <w:jc w:val="right"/>
              <w:rPr>
                <w:rFonts w:ascii="Calibri" w:hAnsi="Calibri" w:cs="Calibri"/>
                <w:color w:val="000000"/>
              </w:rPr>
            </w:pPr>
            <w:r>
              <w:rPr>
                <w:rFonts w:ascii="Calibri" w:hAnsi="Calibri" w:cs="Calibri"/>
                <w:color w:val="000000"/>
              </w:rPr>
              <w:t>13</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396FAC2C" w14:textId="33578D5A" w:rsidR="00BB3FF8" w:rsidRDefault="00BB3FF8" w:rsidP="00BB3FF8">
            <w:pPr>
              <w:jc w:val="right"/>
              <w:rPr>
                <w:rFonts w:ascii="Calibri" w:hAnsi="Calibri" w:cs="Calibri"/>
                <w:color w:val="000000"/>
              </w:rPr>
            </w:pPr>
            <w:r>
              <w:rPr>
                <w:rFonts w:ascii="Calibri" w:hAnsi="Calibri" w:cs="Calibri"/>
                <w:color w:val="000000"/>
              </w:rPr>
              <w:t>14.10</w:t>
            </w:r>
          </w:p>
        </w:tc>
      </w:tr>
      <w:tr w:rsidR="00BB3FF8" w14:paraId="3DA0392E"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31FA5158" w14:textId="77777777" w:rsidR="00BB3FF8" w:rsidRDefault="00BB3FF8" w:rsidP="00BB3FF8">
            <w:pPr>
              <w:rPr>
                <w:rFonts w:ascii="Calibri" w:hAnsi="Calibri" w:cs="Calibri"/>
                <w:color w:val="000000"/>
              </w:rPr>
            </w:pPr>
            <w:r>
              <w:rPr>
                <w:rFonts w:ascii="Calibri" w:hAnsi="Calibri" w:cs="Calibri"/>
                <w:color w:val="000000"/>
              </w:rPr>
              <w:t>Lavaca</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6B0F6952" w14:textId="77777777" w:rsidR="00BB3FF8" w:rsidRDefault="00BB3FF8" w:rsidP="00BB3FF8">
            <w:pPr>
              <w:rPr>
                <w:rFonts w:ascii="Calibri" w:hAnsi="Calibri" w:cs="Calibri"/>
                <w:color w:val="000000"/>
              </w:rPr>
            </w:pPr>
            <w:r>
              <w:rPr>
                <w:rFonts w:ascii="Calibri" w:hAnsi="Calibri" w:cs="Calibri"/>
                <w:color w:val="000000"/>
              </w:rPr>
              <w:t>Coastal Wind</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49484C26" w14:textId="24B18333" w:rsidR="00BB3FF8" w:rsidRDefault="00BB3FF8" w:rsidP="00BB3FF8">
            <w:pPr>
              <w:jc w:val="right"/>
              <w:rPr>
                <w:rFonts w:ascii="Calibri" w:hAnsi="Calibri" w:cs="Calibri"/>
                <w:color w:val="000000"/>
              </w:rPr>
            </w:pPr>
            <w:r>
              <w:rPr>
                <w:rFonts w:ascii="Calibri" w:hAnsi="Calibri" w:cs="Calibri"/>
                <w:color w:val="000000"/>
              </w:rPr>
              <w:t>0.484</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759E343B" w14:textId="77777777" w:rsidR="00BB3FF8" w:rsidRDefault="00BB3FF8" w:rsidP="00BB3FF8">
            <w:pPr>
              <w:jc w:val="right"/>
              <w:rPr>
                <w:rFonts w:ascii="Calibri" w:hAnsi="Calibri" w:cs="Calibri"/>
                <w:color w:val="000000"/>
              </w:rPr>
            </w:pPr>
            <w:r>
              <w:rPr>
                <w:rFonts w:ascii="Calibri" w:hAnsi="Calibri" w:cs="Calibri"/>
                <w:color w:val="000000"/>
              </w:rPr>
              <w:t>200</w:t>
            </w:r>
          </w:p>
        </w:tc>
        <w:tc>
          <w:tcPr>
            <w:tcW w:w="1287"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5146A0E3" w14:textId="77777777" w:rsidR="00BB3FF8" w:rsidRDefault="00BB3FF8" w:rsidP="00BB3FF8">
            <w:pPr>
              <w:jc w:val="right"/>
              <w:rPr>
                <w:rFonts w:ascii="Calibri" w:hAnsi="Calibri" w:cs="Calibri"/>
                <w:color w:val="000000"/>
              </w:rPr>
            </w:pPr>
            <w:r>
              <w:rPr>
                <w:rFonts w:ascii="Calibri" w:hAnsi="Calibri" w:cs="Calibri"/>
                <w:color w:val="000000"/>
              </w:rPr>
              <w:t>20000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1D96FC35" w14:textId="77777777" w:rsidR="00BB3FF8" w:rsidRDefault="00BB3FF8" w:rsidP="00BB3FF8">
            <w:pPr>
              <w:jc w:val="right"/>
              <w:rPr>
                <w:rFonts w:ascii="Calibri" w:hAnsi="Calibri" w:cs="Calibri"/>
                <w:color w:val="000000"/>
              </w:rPr>
            </w:pPr>
            <w:r>
              <w:rPr>
                <w:rFonts w:ascii="Calibri" w:hAnsi="Calibri" w:cs="Calibri"/>
                <w:color w:val="000000"/>
              </w:rPr>
              <w:t>13</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4564BA1" w14:textId="7EB855B1" w:rsidR="00BB3FF8" w:rsidRDefault="00BB3FF8" w:rsidP="00BB3FF8">
            <w:pPr>
              <w:jc w:val="right"/>
              <w:rPr>
                <w:rFonts w:ascii="Calibri" w:hAnsi="Calibri" w:cs="Calibri"/>
                <w:color w:val="000000"/>
              </w:rPr>
            </w:pPr>
            <w:r>
              <w:rPr>
                <w:rFonts w:ascii="Calibri" w:hAnsi="Calibri" w:cs="Calibri"/>
                <w:color w:val="000000"/>
              </w:rPr>
              <w:t>11.02</w:t>
            </w:r>
          </w:p>
        </w:tc>
      </w:tr>
      <w:tr w:rsidR="00BB3FF8" w14:paraId="49A7E6A8" w14:textId="77777777" w:rsidTr="00BB3FF8">
        <w:trPr>
          <w:trHeight w:val="315"/>
        </w:trPr>
        <w:tc>
          <w:tcPr>
            <w:tcW w:w="1411" w:type="dxa"/>
            <w:tcBorders>
              <w:top w:val="nil"/>
              <w:left w:val="single" w:sz="8" w:space="0" w:color="auto"/>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6BE5D72" w14:textId="77777777" w:rsidR="00BB3FF8" w:rsidRDefault="00BB3FF8" w:rsidP="00BB3FF8">
            <w:pPr>
              <w:rPr>
                <w:rFonts w:ascii="Calibri" w:hAnsi="Calibri" w:cs="Calibri"/>
                <w:color w:val="000000"/>
              </w:rPr>
            </w:pPr>
            <w:r>
              <w:rPr>
                <w:rFonts w:ascii="Calibri" w:hAnsi="Calibri" w:cs="Calibri"/>
                <w:color w:val="000000"/>
              </w:rPr>
              <w:t>Lavaca</w:t>
            </w:r>
          </w:p>
        </w:tc>
        <w:tc>
          <w:tcPr>
            <w:tcW w:w="1553"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1013C00D" w14:textId="77777777" w:rsidR="00BB3FF8" w:rsidRDefault="00BB3FF8" w:rsidP="00BB3FF8">
            <w:pPr>
              <w:rPr>
                <w:rFonts w:ascii="Calibri" w:hAnsi="Calibri" w:cs="Calibri"/>
                <w:color w:val="000000"/>
              </w:rPr>
            </w:pPr>
            <w:r>
              <w:rPr>
                <w:rFonts w:ascii="Calibri" w:hAnsi="Calibri" w:cs="Calibri"/>
                <w:color w:val="000000"/>
              </w:rPr>
              <w:t>Coastal Wind</w:t>
            </w:r>
          </w:p>
        </w:tc>
        <w:tc>
          <w:tcPr>
            <w:tcW w:w="1005"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60BB59D5" w14:textId="125836DD" w:rsidR="00BB3FF8" w:rsidRDefault="00BB3FF8" w:rsidP="00BB3FF8">
            <w:pPr>
              <w:jc w:val="right"/>
              <w:rPr>
                <w:rFonts w:ascii="Calibri" w:hAnsi="Calibri" w:cs="Calibri"/>
                <w:color w:val="000000"/>
              </w:rPr>
            </w:pPr>
            <w:r>
              <w:rPr>
                <w:rFonts w:ascii="Calibri" w:hAnsi="Calibri" w:cs="Calibri"/>
                <w:color w:val="000000"/>
              </w:rPr>
              <w:t>0.446</w:t>
            </w:r>
          </w:p>
        </w:tc>
        <w:tc>
          <w:tcPr>
            <w:tcW w:w="1051" w:type="dxa"/>
            <w:tcBorders>
              <w:top w:val="nil"/>
              <w:left w:val="nil"/>
              <w:bottom w:val="single" w:sz="8" w:space="0" w:color="auto"/>
              <w:right w:val="single" w:sz="8" w:space="0" w:color="auto"/>
            </w:tcBorders>
            <w:shd w:val="clear" w:color="auto" w:fill="auto"/>
            <w:noWrap/>
            <w:tcMar>
              <w:top w:w="15" w:type="dxa"/>
              <w:left w:w="86" w:type="dxa"/>
              <w:bottom w:w="14" w:type="dxa"/>
              <w:right w:w="86" w:type="dxa"/>
            </w:tcMar>
            <w:vAlign w:val="bottom"/>
            <w:hideMark/>
          </w:tcPr>
          <w:p w14:paraId="0E72398B" w14:textId="366D6284" w:rsidR="00BB3FF8" w:rsidRDefault="00F7037F" w:rsidP="00BB3FF8">
            <w:pPr>
              <w:jc w:val="right"/>
              <w:rPr>
                <w:rFonts w:ascii="Calibri" w:hAnsi="Calibri" w:cs="Calibri"/>
                <w:color w:val="000000"/>
              </w:rPr>
            </w:pPr>
            <w:r>
              <w:rPr>
                <w:rFonts w:ascii="Calibri" w:hAnsi="Calibri" w:cs="Calibri"/>
                <w:color w:val="000000"/>
              </w:rPr>
              <w:t>150</w:t>
            </w:r>
          </w:p>
        </w:tc>
        <w:tc>
          <w:tcPr>
            <w:tcW w:w="1287" w:type="dxa"/>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4F1631F5" w14:textId="77777777" w:rsidR="00BB3FF8" w:rsidRDefault="00BB3FF8" w:rsidP="00BB3FF8">
            <w:pPr>
              <w:jc w:val="right"/>
              <w:rPr>
                <w:rFonts w:ascii="Calibri" w:hAnsi="Calibri" w:cs="Calibri"/>
                <w:color w:val="000000"/>
              </w:rPr>
            </w:pPr>
            <w:r>
              <w:rPr>
                <w:rFonts w:ascii="Calibri" w:hAnsi="Calibri" w:cs="Calibri"/>
                <w:color w:val="000000"/>
              </w:rPr>
              <w:t>20000</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21876124" w14:textId="77777777" w:rsidR="00BB3FF8" w:rsidRDefault="00BB3FF8" w:rsidP="00BB3FF8">
            <w:pPr>
              <w:jc w:val="right"/>
              <w:rPr>
                <w:rFonts w:ascii="Calibri" w:hAnsi="Calibri" w:cs="Calibri"/>
                <w:color w:val="000000"/>
              </w:rPr>
            </w:pPr>
            <w:r>
              <w:rPr>
                <w:rFonts w:ascii="Calibri" w:hAnsi="Calibri" w:cs="Calibri"/>
                <w:color w:val="000000"/>
              </w:rPr>
              <w:t>13</w:t>
            </w:r>
          </w:p>
        </w:tc>
        <w:tc>
          <w:tcPr>
            <w:tcW w:w="0" w:type="auto"/>
            <w:tcBorders>
              <w:top w:val="nil"/>
              <w:left w:val="nil"/>
              <w:bottom w:val="single" w:sz="8" w:space="0" w:color="auto"/>
              <w:right w:val="single" w:sz="8" w:space="0" w:color="auto"/>
            </w:tcBorders>
            <w:shd w:val="clear" w:color="auto" w:fill="auto"/>
            <w:noWrap/>
            <w:tcMar>
              <w:top w:w="15" w:type="dxa"/>
              <w:left w:w="86" w:type="dxa"/>
              <w:bottom w:w="0" w:type="dxa"/>
              <w:right w:w="86" w:type="dxa"/>
            </w:tcMar>
            <w:vAlign w:val="bottom"/>
            <w:hideMark/>
          </w:tcPr>
          <w:p w14:paraId="61A67373" w14:textId="57C93DCE" w:rsidR="00F7037F" w:rsidRDefault="00F7037F" w:rsidP="00F7037F">
            <w:pPr>
              <w:jc w:val="right"/>
              <w:rPr>
                <w:rFonts w:ascii="Calibri" w:hAnsi="Calibri" w:cs="Calibri"/>
                <w:color w:val="000000"/>
              </w:rPr>
            </w:pPr>
            <w:r>
              <w:rPr>
                <w:rFonts w:ascii="Calibri" w:hAnsi="Calibri" w:cs="Calibri"/>
                <w:color w:val="000000"/>
              </w:rPr>
              <w:t>7.62</w:t>
            </w:r>
          </w:p>
        </w:tc>
      </w:tr>
    </w:tbl>
    <w:p w14:paraId="17B7F03B" w14:textId="494899BE" w:rsidR="00C60C5D" w:rsidRDefault="00D1055C">
      <w:pPr>
        <w:rPr>
          <w:rFonts w:asciiTheme="majorHAnsi" w:eastAsiaTheme="majorEastAsia" w:hAnsiTheme="majorHAnsi" w:cstheme="majorBidi"/>
          <w:color w:val="2F5496" w:themeColor="accent1" w:themeShade="BF"/>
          <w:sz w:val="32"/>
          <w:szCs w:val="32"/>
        </w:rPr>
      </w:pPr>
      <w:r>
        <w:t xml:space="preserve"> </w:t>
      </w:r>
      <w:r w:rsidR="00C60C5D">
        <w:br w:type="page"/>
      </w:r>
    </w:p>
    <w:p w14:paraId="06210A25" w14:textId="0C7FA3B4" w:rsidR="00B7579C" w:rsidRDefault="00B7579C" w:rsidP="00E312B4">
      <w:pPr>
        <w:pStyle w:val="Heading1"/>
      </w:pPr>
      <w:r>
        <w:lastRenderedPageBreak/>
        <w:t>References</w:t>
      </w:r>
    </w:p>
    <w:p w14:paraId="7BCD35FE" w14:textId="2AB56B2E" w:rsidR="00B7579C" w:rsidRDefault="00B7579C" w:rsidP="00B7579C">
      <w:pPr>
        <w:pStyle w:val="ListParagraph"/>
        <w:numPr>
          <w:ilvl w:val="0"/>
          <w:numId w:val="2"/>
        </w:numPr>
      </w:pPr>
      <w:r w:rsidRPr="00B7579C">
        <w:t>7F.04 Gas Turbine. (2020). Retrieved 26 October 2020, from</w:t>
      </w:r>
      <w:r>
        <w:t xml:space="preserve"> </w:t>
      </w:r>
      <w:hyperlink r:id="rId10" w:history="1">
        <w:r w:rsidR="00077CB0" w:rsidRPr="00150AAE">
          <w:rPr>
            <w:rStyle w:val="Hyperlink"/>
          </w:rPr>
          <w:t>https://www.ge.com/power/gas/gas-turbines/7f-04</w:t>
        </w:r>
      </w:hyperlink>
    </w:p>
    <w:p w14:paraId="790A6C49" w14:textId="0765BEAD" w:rsidR="00077CB0" w:rsidRPr="00EE4485" w:rsidRDefault="00077CB0" w:rsidP="00B7579C">
      <w:pPr>
        <w:pStyle w:val="ListParagraph"/>
        <w:numPr>
          <w:ilvl w:val="0"/>
          <w:numId w:val="2"/>
        </w:numPr>
      </w:pPr>
      <w:proofErr w:type="spellStart"/>
      <w:r>
        <w:rPr>
          <w:rFonts w:ascii="Arial" w:hAnsi="Arial" w:cs="Arial"/>
          <w:color w:val="000000"/>
          <w:sz w:val="20"/>
          <w:szCs w:val="20"/>
          <w:shd w:val="clear" w:color="auto" w:fill="FFFFFF"/>
        </w:rPr>
        <w:t>eGrid</w:t>
      </w:r>
      <w:proofErr w:type="spellEnd"/>
      <w:r>
        <w:rPr>
          <w:rFonts w:ascii="Arial" w:hAnsi="Arial" w:cs="Arial"/>
          <w:color w:val="000000"/>
          <w:sz w:val="20"/>
          <w:szCs w:val="20"/>
          <w:shd w:val="clear" w:color="auto" w:fill="FFFFFF"/>
        </w:rPr>
        <w:t xml:space="preserve">. (2018). Retrieved 26 October 2020, from </w:t>
      </w:r>
      <w:hyperlink r:id="rId11" w:history="1">
        <w:r w:rsidRPr="00150AAE">
          <w:rPr>
            <w:rStyle w:val="Hyperlink"/>
            <w:rFonts w:ascii="Arial" w:hAnsi="Arial" w:cs="Arial"/>
            <w:sz w:val="20"/>
            <w:szCs w:val="20"/>
            <w:shd w:val="clear" w:color="auto" w:fill="FFFFFF"/>
          </w:rPr>
          <w:t>https://www.epa.gov/egrid/download-data</w:t>
        </w:r>
      </w:hyperlink>
    </w:p>
    <w:p w14:paraId="6550A832" w14:textId="468A3230" w:rsidR="00EE4485" w:rsidRDefault="00EE4485" w:rsidP="00B7579C">
      <w:pPr>
        <w:pStyle w:val="ListParagraph"/>
        <w:numPr>
          <w:ilvl w:val="0"/>
          <w:numId w:val="2"/>
        </w:numPr>
      </w:pPr>
      <w:proofErr w:type="spellStart"/>
      <w:r>
        <w:t>Macknick</w:t>
      </w:r>
      <w:proofErr w:type="spellEnd"/>
      <w:r>
        <w:t>, et al. (2012). Environ. Res. Lett</w:t>
      </w:r>
    </w:p>
    <w:p w14:paraId="3EB426AA" w14:textId="62D52C63" w:rsidR="00D1055C" w:rsidRPr="00077CB0" w:rsidRDefault="00D1055C" w:rsidP="00B7579C">
      <w:pPr>
        <w:pStyle w:val="ListParagraph"/>
        <w:numPr>
          <w:ilvl w:val="0"/>
          <w:numId w:val="2"/>
        </w:numPr>
      </w:pPr>
      <w:r>
        <w:rPr>
          <w:rFonts w:ascii="Arial" w:hAnsi="Arial" w:cs="Arial"/>
          <w:color w:val="000000"/>
          <w:sz w:val="20"/>
          <w:szCs w:val="20"/>
          <w:shd w:val="clear" w:color="auto" w:fill="FFFFFF"/>
        </w:rPr>
        <w:t>National Renewable Energy Laboratory. (2013). </w:t>
      </w:r>
      <w:r>
        <w:rPr>
          <w:rFonts w:ascii="Arial" w:hAnsi="Arial" w:cs="Arial"/>
          <w:i/>
          <w:iCs/>
          <w:color w:val="000000"/>
          <w:sz w:val="20"/>
          <w:szCs w:val="20"/>
          <w:shd w:val="clear" w:color="auto" w:fill="FFFFFF"/>
        </w:rPr>
        <w:t>Life Cycle Greenhouse Gas Emissions from Electricity Generation</w:t>
      </w:r>
      <w:r>
        <w:rPr>
          <w:rFonts w:ascii="Arial" w:hAnsi="Arial" w:cs="Arial"/>
          <w:color w:val="000000"/>
          <w:sz w:val="20"/>
          <w:szCs w:val="20"/>
          <w:shd w:val="clear" w:color="auto" w:fill="FFFFFF"/>
        </w:rPr>
        <w:t>. Retrieved from https://www.nrel.gov/docs/fy13osti/57187.pdf</w:t>
      </w:r>
    </w:p>
    <w:p w14:paraId="2B71489B" w14:textId="77777777" w:rsidR="00077CB0" w:rsidRPr="00B7579C" w:rsidRDefault="00077CB0" w:rsidP="00C60C5D">
      <w:pPr>
        <w:pStyle w:val="ListParagraph"/>
      </w:pPr>
    </w:p>
    <w:p w14:paraId="00864945" w14:textId="77777777" w:rsidR="00077CB0" w:rsidRDefault="00077CB0">
      <w:pPr>
        <w:rPr>
          <w:rFonts w:asciiTheme="majorHAnsi" w:eastAsiaTheme="majorEastAsia" w:hAnsiTheme="majorHAnsi" w:cstheme="majorBidi"/>
          <w:color w:val="2F5496" w:themeColor="accent1" w:themeShade="BF"/>
          <w:sz w:val="32"/>
          <w:szCs w:val="32"/>
        </w:rPr>
      </w:pPr>
      <w:r>
        <w:br w:type="page"/>
      </w:r>
    </w:p>
    <w:p w14:paraId="72677FA3" w14:textId="5F595106" w:rsidR="00E312B4" w:rsidRPr="00E312B4" w:rsidRDefault="00E312B4" w:rsidP="00E312B4">
      <w:pPr>
        <w:pStyle w:val="Heading1"/>
      </w:pPr>
      <w:r>
        <w:lastRenderedPageBreak/>
        <w:t>Appendix A: Data Sources</w:t>
      </w:r>
    </w:p>
    <w:p w14:paraId="7D44E973" w14:textId="7A63AC28" w:rsidR="00976A3C" w:rsidRDefault="00976A3C" w:rsidP="008B4143"/>
    <w:tbl>
      <w:tblPr>
        <w:tblStyle w:val="TableGrid"/>
        <w:tblW w:w="0" w:type="auto"/>
        <w:tblLook w:val="04A0" w:firstRow="1" w:lastRow="0" w:firstColumn="1" w:lastColumn="0" w:noHBand="0" w:noVBand="1"/>
      </w:tblPr>
      <w:tblGrid>
        <w:gridCol w:w="2576"/>
        <w:gridCol w:w="1739"/>
        <w:gridCol w:w="1890"/>
        <w:gridCol w:w="1260"/>
        <w:gridCol w:w="1885"/>
      </w:tblGrid>
      <w:tr w:rsidR="00BC78BE" w14:paraId="3F0D4992" w14:textId="77777777" w:rsidTr="00F95899">
        <w:tc>
          <w:tcPr>
            <w:tcW w:w="9350" w:type="dxa"/>
            <w:gridSpan w:val="5"/>
          </w:tcPr>
          <w:p w14:paraId="01D0B71B" w14:textId="2E833AC8" w:rsidR="00BC78BE" w:rsidRDefault="00BC78BE" w:rsidP="00F95899">
            <w:r>
              <w:t xml:space="preserve">Table </w:t>
            </w:r>
            <w:r w:rsidR="002A3665">
              <w:t>A</w:t>
            </w:r>
            <w:r>
              <w:t>: Data Sources</w:t>
            </w:r>
          </w:p>
        </w:tc>
      </w:tr>
      <w:tr w:rsidR="00BC78BE" w14:paraId="0ED17AA2" w14:textId="77777777" w:rsidTr="00DC017A">
        <w:tc>
          <w:tcPr>
            <w:tcW w:w="2576" w:type="dxa"/>
          </w:tcPr>
          <w:p w14:paraId="7BCC39CF" w14:textId="77777777" w:rsidR="00BC78BE" w:rsidRPr="00876EA4" w:rsidRDefault="00BC78BE" w:rsidP="00F95899">
            <w:pPr>
              <w:rPr>
                <w:b/>
                <w:bCs/>
              </w:rPr>
            </w:pPr>
            <w:r w:rsidRPr="00876EA4">
              <w:rPr>
                <w:b/>
                <w:bCs/>
              </w:rPr>
              <w:t>Name</w:t>
            </w:r>
          </w:p>
        </w:tc>
        <w:tc>
          <w:tcPr>
            <w:tcW w:w="1739" w:type="dxa"/>
          </w:tcPr>
          <w:p w14:paraId="64D2ADE3" w14:textId="77777777" w:rsidR="00BC78BE" w:rsidRPr="00876EA4" w:rsidRDefault="00BC78BE" w:rsidP="00F95899">
            <w:pPr>
              <w:rPr>
                <w:b/>
                <w:bCs/>
              </w:rPr>
            </w:pPr>
            <w:r w:rsidRPr="00876EA4">
              <w:rPr>
                <w:b/>
                <w:bCs/>
              </w:rPr>
              <w:t>Source</w:t>
            </w:r>
          </w:p>
        </w:tc>
        <w:tc>
          <w:tcPr>
            <w:tcW w:w="1890" w:type="dxa"/>
          </w:tcPr>
          <w:p w14:paraId="0165C8B1" w14:textId="77777777" w:rsidR="00BC78BE" w:rsidRPr="00876EA4" w:rsidRDefault="00BC78BE" w:rsidP="00F95899">
            <w:pPr>
              <w:rPr>
                <w:b/>
                <w:bCs/>
              </w:rPr>
            </w:pPr>
            <w:r w:rsidRPr="00876EA4">
              <w:rPr>
                <w:b/>
                <w:bCs/>
              </w:rPr>
              <w:t>Notes</w:t>
            </w:r>
          </w:p>
        </w:tc>
        <w:tc>
          <w:tcPr>
            <w:tcW w:w="1260" w:type="dxa"/>
          </w:tcPr>
          <w:p w14:paraId="38D0DF01" w14:textId="77777777" w:rsidR="00BC78BE" w:rsidRPr="00876EA4" w:rsidRDefault="00BC78BE" w:rsidP="00F95899">
            <w:pPr>
              <w:rPr>
                <w:b/>
                <w:bCs/>
              </w:rPr>
            </w:pPr>
            <w:r w:rsidRPr="00876EA4">
              <w:rPr>
                <w:b/>
                <w:bCs/>
              </w:rPr>
              <w:t>Date Range</w:t>
            </w:r>
          </w:p>
        </w:tc>
        <w:tc>
          <w:tcPr>
            <w:tcW w:w="1885" w:type="dxa"/>
          </w:tcPr>
          <w:p w14:paraId="400805C0" w14:textId="3EC8D8ED" w:rsidR="00BC78BE" w:rsidRPr="00876EA4" w:rsidRDefault="00BC78BE" w:rsidP="00F95899">
            <w:pPr>
              <w:rPr>
                <w:b/>
                <w:bCs/>
              </w:rPr>
            </w:pPr>
            <w:r w:rsidRPr="00876EA4">
              <w:rPr>
                <w:b/>
                <w:bCs/>
              </w:rPr>
              <w:t>Time Resolution</w:t>
            </w:r>
            <w:r w:rsidR="00AA0977">
              <w:rPr>
                <w:b/>
                <w:bCs/>
              </w:rPr>
              <w:t xml:space="preserve"> Downloaded</w:t>
            </w:r>
          </w:p>
        </w:tc>
      </w:tr>
      <w:tr w:rsidR="00BC78BE" w14:paraId="09114BB1" w14:textId="77777777" w:rsidTr="00DC017A">
        <w:tc>
          <w:tcPr>
            <w:tcW w:w="2576" w:type="dxa"/>
          </w:tcPr>
          <w:p w14:paraId="155A5133" w14:textId="402F4013" w:rsidR="00BC78BE" w:rsidRDefault="00BC78BE" w:rsidP="00F95899">
            <w:r>
              <w:t>Historic</w:t>
            </w:r>
            <w:r w:rsidR="002B649F">
              <w:t>al</w:t>
            </w:r>
            <w:r>
              <w:t xml:space="preserve"> SPP</w:t>
            </w:r>
          </w:p>
        </w:tc>
        <w:tc>
          <w:tcPr>
            <w:tcW w:w="1739" w:type="dxa"/>
          </w:tcPr>
          <w:p w14:paraId="44E9DBC8" w14:textId="77777777" w:rsidR="00BC78BE" w:rsidRDefault="00F95899" w:rsidP="00F95899">
            <w:hyperlink r:id="rId12" w:history="1">
              <w:r w:rsidR="00BC78BE" w:rsidRPr="00876EA4">
                <w:rPr>
                  <w:rStyle w:val="Hyperlink"/>
                </w:rPr>
                <w:t>ERCOT</w:t>
              </w:r>
            </w:hyperlink>
          </w:p>
        </w:tc>
        <w:tc>
          <w:tcPr>
            <w:tcW w:w="1890" w:type="dxa"/>
          </w:tcPr>
          <w:p w14:paraId="5AA161B8" w14:textId="77777777" w:rsidR="00BC78BE" w:rsidRDefault="00BC78BE" w:rsidP="00F95899"/>
        </w:tc>
        <w:tc>
          <w:tcPr>
            <w:tcW w:w="1260" w:type="dxa"/>
          </w:tcPr>
          <w:p w14:paraId="7C2EB66B" w14:textId="77777777" w:rsidR="00BC78BE" w:rsidRDefault="00BC78BE" w:rsidP="00F95899">
            <w:r>
              <w:t>2011-2019</w:t>
            </w:r>
          </w:p>
        </w:tc>
        <w:tc>
          <w:tcPr>
            <w:tcW w:w="1885" w:type="dxa"/>
          </w:tcPr>
          <w:p w14:paraId="27191A43" w14:textId="77777777" w:rsidR="00BC78BE" w:rsidRDefault="00BC78BE" w:rsidP="00F95899">
            <w:r>
              <w:t>15 minutes</w:t>
            </w:r>
          </w:p>
        </w:tc>
      </w:tr>
      <w:tr w:rsidR="00BC78BE" w14:paraId="46630D51" w14:textId="77777777" w:rsidTr="00DC017A">
        <w:tc>
          <w:tcPr>
            <w:tcW w:w="2576" w:type="dxa"/>
          </w:tcPr>
          <w:p w14:paraId="7791867C" w14:textId="09A22835" w:rsidR="00BC78BE" w:rsidRDefault="00DB6AEF" w:rsidP="00F95899">
            <w:r>
              <w:t>Historical Temperature</w:t>
            </w:r>
          </w:p>
        </w:tc>
        <w:tc>
          <w:tcPr>
            <w:tcW w:w="1739" w:type="dxa"/>
          </w:tcPr>
          <w:p w14:paraId="24E1444D" w14:textId="0EC77820" w:rsidR="00BC78BE" w:rsidRDefault="00F95899" w:rsidP="00F95899">
            <w:hyperlink r:id="rId13" w:history="1">
              <w:r w:rsidR="003E6FE0" w:rsidRPr="003E6FE0">
                <w:rPr>
                  <w:rStyle w:val="Hyperlink"/>
                </w:rPr>
                <w:t>NOAA</w:t>
              </w:r>
            </w:hyperlink>
          </w:p>
        </w:tc>
        <w:tc>
          <w:tcPr>
            <w:tcW w:w="1890" w:type="dxa"/>
          </w:tcPr>
          <w:p w14:paraId="7105FE2F" w14:textId="525BAE06" w:rsidR="00BC78BE" w:rsidRDefault="00A13C77" w:rsidP="00F95899">
            <w:r>
              <w:t>Houston Airport</w:t>
            </w:r>
          </w:p>
        </w:tc>
        <w:tc>
          <w:tcPr>
            <w:tcW w:w="1260" w:type="dxa"/>
          </w:tcPr>
          <w:p w14:paraId="0DF54478" w14:textId="6377149B" w:rsidR="00BC78BE" w:rsidRDefault="002442D3" w:rsidP="00F95899">
            <w:r>
              <w:t>2011-2020</w:t>
            </w:r>
          </w:p>
        </w:tc>
        <w:tc>
          <w:tcPr>
            <w:tcW w:w="1885" w:type="dxa"/>
          </w:tcPr>
          <w:p w14:paraId="15505895" w14:textId="477EF576" w:rsidR="00BC78BE" w:rsidRDefault="002442D3" w:rsidP="00F95899">
            <w:r>
              <w:t>1 hour</w:t>
            </w:r>
          </w:p>
        </w:tc>
      </w:tr>
      <w:tr w:rsidR="00EA218C" w14:paraId="56B2E397" w14:textId="77777777" w:rsidTr="00DC017A">
        <w:tc>
          <w:tcPr>
            <w:tcW w:w="2576" w:type="dxa"/>
          </w:tcPr>
          <w:p w14:paraId="38D1A87E" w14:textId="149493F1" w:rsidR="00EA218C" w:rsidRDefault="00EA218C" w:rsidP="00F95899">
            <w:r>
              <w:t>Temperature Forecasts</w:t>
            </w:r>
          </w:p>
        </w:tc>
        <w:tc>
          <w:tcPr>
            <w:tcW w:w="1739" w:type="dxa"/>
          </w:tcPr>
          <w:p w14:paraId="5E39C0EA" w14:textId="65F8D9B5" w:rsidR="00EA218C" w:rsidRDefault="00F95899" w:rsidP="00F95899">
            <w:hyperlink r:id="rId14" w:history="1">
              <w:r w:rsidR="00EA218C" w:rsidRPr="00EA218C">
                <w:rPr>
                  <w:rStyle w:val="Hyperlink"/>
                </w:rPr>
                <w:t>USGS</w:t>
              </w:r>
            </w:hyperlink>
          </w:p>
        </w:tc>
        <w:tc>
          <w:tcPr>
            <w:tcW w:w="1890" w:type="dxa"/>
          </w:tcPr>
          <w:p w14:paraId="68AAB45C" w14:textId="071F3F7A" w:rsidR="00EA218C" w:rsidRDefault="00EA218C" w:rsidP="00F95899">
            <w:r>
              <w:t xml:space="preserve">Texas-wide </w:t>
            </w:r>
            <w:r w:rsidR="005741AD">
              <w:t>U</w:t>
            </w:r>
            <w:r>
              <w:t>sed, Mean Model Used</w:t>
            </w:r>
          </w:p>
        </w:tc>
        <w:tc>
          <w:tcPr>
            <w:tcW w:w="1260" w:type="dxa"/>
          </w:tcPr>
          <w:p w14:paraId="77D62814" w14:textId="37ECCCD9" w:rsidR="00EA218C" w:rsidRDefault="00EA218C" w:rsidP="00F95899">
            <w:r>
              <w:t>2020-2099</w:t>
            </w:r>
          </w:p>
        </w:tc>
        <w:tc>
          <w:tcPr>
            <w:tcW w:w="1885" w:type="dxa"/>
          </w:tcPr>
          <w:p w14:paraId="6DCC6E5D" w14:textId="1BC663BC" w:rsidR="00EA218C" w:rsidRDefault="00EA218C" w:rsidP="00F95899">
            <w:r>
              <w:t>10 years</w:t>
            </w:r>
          </w:p>
        </w:tc>
      </w:tr>
      <w:tr w:rsidR="00BC78BE" w14:paraId="46884AB9" w14:textId="77777777" w:rsidTr="00DC017A">
        <w:tc>
          <w:tcPr>
            <w:tcW w:w="2576" w:type="dxa"/>
          </w:tcPr>
          <w:p w14:paraId="6102B750" w14:textId="647D102B" w:rsidR="00BC78BE" w:rsidRDefault="007B71B3" w:rsidP="00F95899">
            <w:r>
              <w:t xml:space="preserve">US </w:t>
            </w:r>
            <w:r w:rsidR="00745A48">
              <w:t xml:space="preserve">Natural Gas </w:t>
            </w:r>
            <w:r>
              <w:t>Price Forecasts</w:t>
            </w:r>
          </w:p>
        </w:tc>
        <w:tc>
          <w:tcPr>
            <w:tcW w:w="1739" w:type="dxa"/>
          </w:tcPr>
          <w:p w14:paraId="658ADFA8" w14:textId="71644AB7" w:rsidR="00BC78BE" w:rsidRDefault="00F95899" w:rsidP="00F95899">
            <w:hyperlink r:id="rId15" w:anchor="/?id=13-AEO2018&amp;cases=ref2018&amp;sourcekey=0" w:history="1">
              <w:r w:rsidR="00745A48" w:rsidRPr="00745A48">
                <w:rPr>
                  <w:rStyle w:val="Hyperlink"/>
                </w:rPr>
                <w:t>EIA</w:t>
              </w:r>
            </w:hyperlink>
            <w:r w:rsidR="00DA016C">
              <w:t xml:space="preserve"> </w:t>
            </w:r>
          </w:p>
          <w:p w14:paraId="403F5E91" w14:textId="11D3FBEE" w:rsidR="00DA016C" w:rsidRDefault="00DA016C" w:rsidP="00F95899"/>
        </w:tc>
        <w:tc>
          <w:tcPr>
            <w:tcW w:w="1890" w:type="dxa"/>
          </w:tcPr>
          <w:p w14:paraId="5A1BA6BC" w14:textId="46FE902D" w:rsidR="00BC78BE" w:rsidRDefault="002B649F" w:rsidP="00F95899">
            <w:r>
              <w:t>Industrial Used</w:t>
            </w:r>
          </w:p>
        </w:tc>
        <w:tc>
          <w:tcPr>
            <w:tcW w:w="1260" w:type="dxa"/>
          </w:tcPr>
          <w:p w14:paraId="71D84DC4" w14:textId="5BBED65B" w:rsidR="00BC78BE" w:rsidRDefault="00745A48" w:rsidP="00F95899">
            <w:r>
              <w:t>2016-2050</w:t>
            </w:r>
          </w:p>
        </w:tc>
        <w:tc>
          <w:tcPr>
            <w:tcW w:w="1885" w:type="dxa"/>
          </w:tcPr>
          <w:p w14:paraId="122C3F62" w14:textId="7E6D5BC4" w:rsidR="00BC78BE" w:rsidRDefault="00745A48" w:rsidP="00F95899">
            <w:r>
              <w:t>1 year</w:t>
            </w:r>
          </w:p>
        </w:tc>
      </w:tr>
      <w:tr w:rsidR="007B71B3" w14:paraId="6EFA6745" w14:textId="77777777" w:rsidTr="00DC017A">
        <w:tc>
          <w:tcPr>
            <w:tcW w:w="2576" w:type="dxa"/>
          </w:tcPr>
          <w:p w14:paraId="7427311C" w14:textId="5B213D05" w:rsidR="007B71B3" w:rsidRDefault="002B649F" w:rsidP="00F95899">
            <w:r>
              <w:t xml:space="preserve">Historical </w:t>
            </w:r>
            <w:r w:rsidR="007B71B3">
              <w:t xml:space="preserve">US Natural Gas Price </w:t>
            </w:r>
          </w:p>
        </w:tc>
        <w:tc>
          <w:tcPr>
            <w:tcW w:w="1739" w:type="dxa"/>
          </w:tcPr>
          <w:p w14:paraId="1E9405AC" w14:textId="6CD591C5" w:rsidR="007B71B3" w:rsidRDefault="00F95899" w:rsidP="00F95899">
            <w:hyperlink r:id="rId16" w:history="1">
              <w:r w:rsidR="00AA0977" w:rsidRPr="00AA0977">
                <w:rPr>
                  <w:rStyle w:val="Hyperlink"/>
                </w:rPr>
                <w:t>EIA</w:t>
              </w:r>
            </w:hyperlink>
          </w:p>
        </w:tc>
        <w:tc>
          <w:tcPr>
            <w:tcW w:w="1890" w:type="dxa"/>
          </w:tcPr>
          <w:p w14:paraId="2FAA4CC2" w14:textId="60AC0C6F" w:rsidR="007B71B3" w:rsidRDefault="00AA0977" w:rsidP="00F95899">
            <w:r>
              <w:t>Monthly available</w:t>
            </w:r>
            <w:r w:rsidR="002B649F">
              <w:t>, Industrial Used</w:t>
            </w:r>
          </w:p>
        </w:tc>
        <w:tc>
          <w:tcPr>
            <w:tcW w:w="1260" w:type="dxa"/>
          </w:tcPr>
          <w:p w14:paraId="334F8DF0" w14:textId="64ED0EF6" w:rsidR="007B71B3" w:rsidRDefault="00AA0977" w:rsidP="00F95899">
            <w:r>
              <w:t>1997-2019</w:t>
            </w:r>
          </w:p>
        </w:tc>
        <w:tc>
          <w:tcPr>
            <w:tcW w:w="1885" w:type="dxa"/>
          </w:tcPr>
          <w:p w14:paraId="0E04F367" w14:textId="13D35965" w:rsidR="007B71B3" w:rsidRDefault="00AA0977" w:rsidP="00F95899">
            <w:r>
              <w:t>1 year</w:t>
            </w:r>
          </w:p>
        </w:tc>
      </w:tr>
      <w:tr w:rsidR="00976A3C" w14:paraId="36C7DFAC" w14:textId="77777777" w:rsidTr="00DC017A">
        <w:tc>
          <w:tcPr>
            <w:tcW w:w="2576" w:type="dxa"/>
          </w:tcPr>
          <w:p w14:paraId="2FB51E5F" w14:textId="693F271C" w:rsidR="00976A3C" w:rsidRDefault="005A4C3D" w:rsidP="00F95899">
            <w:r>
              <w:t>Historical and Forecasted Peak and Annual Demand</w:t>
            </w:r>
          </w:p>
        </w:tc>
        <w:tc>
          <w:tcPr>
            <w:tcW w:w="1739" w:type="dxa"/>
          </w:tcPr>
          <w:p w14:paraId="525AFF7F" w14:textId="44E4C917" w:rsidR="00976A3C" w:rsidRDefault="00F95899" w:rsidP="00F95899">
            <w:hyperlink r:id="rId17" w:history="1">
              <w:r w:rsidR="005A4C3D" w:rsidRPr="005A4C3D">
                <w:rPr>
                  <w:rStyle w:val="Hyperlink"/>
                </w:rPr>
                <w:t>ERCOT</w:t>
              </w:r>
            </w:hyperlink>
          </w:p>
        </w:tc>
        <w:tc>
          <w:tcPr>
            <w:tcW w:w="1890" w:type="dxa"/>
          </w:tcPr>
          <w:p w14:paraId="080894F0" w14:textId="210C9444" w:rsidR="00976A3C" w:rsidRDefault="005A4C3D" w:rsidP="00F95899">
            <w:r>
              <w:t>Extrapolate for 2027-2039</w:t>
            </w:r>
            <w:r w:rsidR="008E126C">
              <w:t>, not yet included in model</w:t>
            </w:r>
          </w:p>
        </w:tc>
        <w:tc>
          <w:tcPr>
            <w:tcW w:w="1260" w:type="dxa"/>
          </w:tcPr>
          <w:p w14:paraId="4C4680F2" w14:textId="02E9BCE5" w:rsidR="00976A3C" w:rsidRDefault="005A4C3D" w:rsidP="00F95899">
            <w:r>
              <w:t>2007-2026</w:t>
            </w:r>
          </w:p>
        </w:tc>
        <w:tc>
          <w:tcPr>
            <w:tcW w:w="1885" w:type="dxa"/>
          </w:tcPr>
          <w:p w14:paraId="47CDA1E0" w14:textId="3EA615EA" w:rsidR="00976A3C" w:rsidRDefault="005A4C3D" w:rsidP="00F95899">
            <w:r>
              <w:t>1 year</w:t>
            </w:r>
          </w:p>
        </w:tc>
      </w:tr>
      <w:tr w:rsidR="008C407B" w14:paraId="310DBEE1" w14:textId="77777777" w:rsidTr="00DC017A">
        <w:tc>
          <w:tcPr>
            <w:tcW w:w="2576" w:type="dxa"/>
          </w:tcPr>
          <w:p w14:paraId="0E01DF65" w14:textId="2F394735" w:rsidR="008C407B" w:rsidRDefault="008C407B" w:rsidP="00F95899">
            <w:r>
              <w:t>Historical Texas GDP</w:t>
            </w:r>
          </w:p>
        </w:tc>
        <w:tc>
          <w:tcPr>
            <w:tcW w:w="1739" w:type="dxa"/>
          </w:tcPr>
          <w:p w14:paraId="78E3CF0C" w14:textId="745A2172" w:rsidR="007973CD" w:rsidRDefault="00F95899" w:rsidP="00F95899">
            <w:hyperlink r:id="rId18" w:history="1">
              <w:r w:rsidR="00DC017A" w:rsidRPr="00DC017A">
                <w:rPr>
                  <w:rStyle w:val="Hyperlink"/>
                </w:rPr>
                <w:t>US Bureau of Economic Development</w:t>
              </w:r>
            </w:hyperlink>
          </w:p>
        </w:tc>
        <w:tc>
          <w:tcPr>
            <w:tcW w:w="1890" w:type="dxa"/>
          </w:tcPr>
          <w:p w14:paraId="568B09C0" w14:textId="77777777" w:rsidR="008C407B" w:rsidRDefault="008C407B" w:rsidP="00F95899"/>
        </w:tc>
        <w:tc>
          <w:tcPr>
            <w:tcW w:w="1260" w:type="dxa"/>
          </w:tcPr>
          <w:p w14:paraId="2F01F779" w14:textId="103998A2" w:rsidR="008C407B" w:rsidRDefault="00DC017A" w:rsidP="00F95899">
            <w:r>
              <w:t>1997-2019</w:t>
            </w:r>
          </w:p>
        </w:tc>
        <w:tc>
          <w:tcPr>
            <w:tcW w:w="1885" w:type="dxa"/>
          </w:tcPr>
          <w:p w14:paraId="797FA5EF" w14:textId="23BD1944" w:rsidR="008C407B" w:rsidRDefault="00DC017A" w:rsidP="00F95899">
            <w:r>
              <w:t>1 year</w:t>
            </w:r>
          </w:p>
        </w:tc>
      </w:tr>
      <w:tr w:rsidR="00DC017A" w14:paraId="193F30D8" w14:textId="77777777" w:rsidTr="00DC017A">
        <w:tc>
          <w:tcPr>
            <w:tcW w:w="2576" w:type="dxa"/>
          </w:tcPr>
          <w:p w14:paraId="40757437" w14:textId="533D918C" w:rsidR="00DC017A" w:rsidRDefault="00DC017A" w:rsidP="00F95899">
            <w:r>
              <w:t>Texas GDP Forecasts</w:t>
            </w:r>
          </w:p>
        </w:tc>
        <w:tc>
          <w:tcPr>
            <w:tcW w:w="1739" w:type="dxa"/>
          </w:tcPr>
          <w:p w14:paraId="74F82916" w14:textId="17C6CA1E" w:rsidR="00DC017A" w:rsidRDefault="00F95899" w:rsidP="00F95899">
            <w:hyperlink r:id="rId19" w:history="1">
              <w:r w:rsidR="00DC017A" w:rsidRPr="00DC017A">
                <w:rPr>
                  <w:rStyle w:val="Hyperlink"/>
                </w:rPr>
                <w:t>ERCOT</w:t>
              </w:r>
            </w:hyperlink>
          </w:p>
        </w:tc>
        <w:tc>
          <w:tcPr>
            <w:tcW w:w="1890" w:type="dxa"/>
          </w:tcPr>
          <w:p w14:paraId="6F4D194A" w14:textId="36B77C11" w:rsidR="00DC017A" w:rsidRDefault="00DC017A" w:rsidP="00F95899">
            <w:r>
              <w:t>Growth rate applied to 2019 GDP</w:t>
            </w:r>
          </w:p>
        </w:tc>
        <w:tc>
          <w:tcPr>
            <w:tcW w:w="1260" w:type="dxa"/>
          </w:tcPr>
          <w:p w14:paraId="7BD02616" w14:textId="6E4907AB" w:rsidR="00DC017A" w:rsidRDefault="00DC017A" w:rsidP="00F95899">
            <w:r>
              <w:t>1.4% growth (normal), 2.2% (high)</w:t>
            </w:r>
          </w:p>
        </w:tc>
        <w:tc>
          <w:tcPr>
            <w:tcW w:w="1885" w:type="dxa"/>
          </w:tcPr>
          <w:p w14:paraId="7B522415" w14:textId="7389BE2E" w:rsidR="00DC017A" w:rsidRDefault="00DC017A" w:rsidP="00F95899">
            <w:r>
              <w:t>1 year</w:t>
            </w:r>
          </w:p>
        </w:tc>
      </w:tr>
      <w:tr w:rsidR="00D32B45" w14:paraId="19819E7F" w14:textId="77777777" w:rsidTr="00DC017A">
        <w:tc>
          <w:tcPr>
            <w:tcW w:w="2576" w:type="dxa"/>
          </w:tcPr>
          <w:p w14:paraId="114EB87A" w14:textId="4768EF3D" w:rsidR="00D32B45" w:rsidRDefault="00D32B45" w:rsidP="00F95899">
            <w:r>
              <w:t>Capacity-Weighted Average Renewable Costs</w:t>
            </w:r>
          </w:p>
        </w:tc>
        <w:tc>
          <w:tcPr>
            <w:tcW w:w="1739" w:type="dxa"/>
          </w:tcPr>
          <w:p w14:paraId="1407E688" w14:textId="2CE42A4D" w:rsidR="00D32B45" w:rsidRDefault="00F95899" w:rsidP="00F95899">
            <w:hyperlink r:id="rId20" w:history="1">
              <w:r w:rsidR="00D32B45" w:rsidRPr="00D32B45">
                <w:rPr>
                  <w:rStyle w:val="Hyperlink"/>
                </w:rPr>
                <w:t>EIA</w:t>
              </w:r>
            </w:hyperlink>
          </w:p>
        </w:tc>
        <w:tc>
          <w:tcPr>
            <w:tcW w:w="1890" w:type="dxa"/>
          </w:tcPr>
          <w:p w14:paraId="0E23AA74" w14:textId="7B0250D5" w:rsidR="00D32B45" w:rsidRDefault="00D32B45" w:rsidP="00F95899">
            <w:r>
              <w:t>Extrapolate</w:t>
            </w:r>
            <w:r w:rsidR="00712C8E">
              <w:t xml:space="preserve"> exponentially</w:t>
            </w:r>
            <w:r>
              <w:t xml:space="preserve"> for years outside range, past and future</w:t>
            </w:r>
          </w:p>
        </w:tc>
        <w:tc>
          <w:tcPr>
            <w:tcW w:w="1260" w:type="dxa"/>
          </w:tcPr>
          <w:p w14:paraId="094EDCB7" w14:textId="281AD5E3" w:rsidR="00D32B45" w:rsidRDefault="00D32B45" w:rsidP="00F95899">
            <w:r>
              <w:t>2013-2018</w:t>
            </w:r>
          </w:p>
        </w:tc>
        <w:tc>
          <w:tcPr>
            <w:tcW w:w="1885" w:type="dxa"/>
          </w:tcPr>
          <w:p w14:paraId="31761147" w14:textId="55992926" w:rsidR="00D32B45" w:rsidRDefault="00D32B45" w:rsidP="00F95899">
            <w:r>
              <w:t>1 year</w:t>
            </w:r>
          </w:p>
        </w:tc>
      </w:tr>
    </w:tbl>
    <w:p w14:paraId="1F942EF3" w14:textId="4C2147D1" w:rsidR="00747D25" w:rsidRDefault="00747D25" w:rsidP="00747D25"/>
    <w:p w14:paraId="63D78794" w14:textId="77777777" w:rsidR="00077CB0" w:rsidRDefault="00077CB0">
      <w:pPr>
        <w:rPr>
          <w:rFonts w:asciiTheme="majorHAnsi" w:eastAsiaTheme="majorEastAsia" w:hAnsiTheme="majorHAnsi" w:cstheme="majorBidi"/>
          <w:color w:val="2F5496" w:themeColor="accent1" w:themeShade="BF"/>
          <w:sz w:val="32"/>
          <w:szCs w:val="32"/>
        </w:rPr>
      </w:pPr>
      <w:r>
        <w:br w:type="page"/>
      </w:r>
    </w:p>
    <w:p w14:paraId="026EF755" w14:textId="3AB599BC" w:rsidR="009C022E" w:rsidRDefault="009541E9" w:rsidP="009541E9">
      <w:pPr>
        <w:pStyle w:val="Heading1"/>
      </w:pPr>
      <w:r>
        <w:lastRenderedPageBreak/>
        <w:t>Appendix B: LMP Model Summary</w:t>
      </w:r>
    </w:p>
    <w:p w14:paraId="11A84B30"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Coefficients:</w:t>
      </w:r>
    </w:p>
    <w:p w14:paraId="00592CAF"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9C022E">
        <w:rPr>
          <w:rFonts w:ascii="Lucida Console" w:eastAsia="Times New Roman" w:hAnsi="Lucida Console" w:cs="Courier New"/>
          <w:color w:val="000000"/>
          <w:sz w:val="20"/>
          <w:szCs w:val="20"/>
          <w:bdr w:val="none" w:sz="0" w:space="0" w:color="auto" w:frame="1"/>
        </w:rPr>
        <w:t>Pr</w:t>
      </w:r>
      <w:proofErr w:type="spellEnd"/>
      <w:r w:rsidRPr="009C022E">
        <w:rPr>
          <w:rFonts w:ascii="Lucida Console" w:eastAsia="Times New Roman" w:hAnsi="Lucida Console" w:cs="Courier New"/>
          <w:color w:val="000000"/>
          <w:sz w:val="20"/>
          <w:szCs w:val="20"/>
          <w:bdr w:val="none" w:sz="0" w:space="0" w:color="auto" w:frame="1"/>
        </w:rPr>
        <w:t xml:space="preserve">(&gt;|t|)    </w:t>
      </w:r>
    </w:p>
    <w:p w14:paraId="7813EA8C"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(Intercept)              3.103e+03  3.747e+02   8.281 1.20e-15 ***</w:t>
      </w:r>
    </w:p>
    <w:p w14:paraId="2F19E6D0"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Year                    -1.550e+00  1.866e-01  -8.308 9.79e-16 ***</w:t>
      </w:r>
    </w:p>
    <w:p w14:paraId="0FB87549"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categorynon</w:t>
      </w:r>
      <w:proofErr w:type="spellEnd"/>
      <w:r w:rsidRPr="009C022E">
        <w:rPr>
          <w:rFonts w:ascii="Lucida Console" w:eastAsia="Times New Roman" w:hAnsi="Lucida Console" w:cs="Courier New"/>
          <w:color w:val="000000"/>
          <w:sz w:val="20"/>
          <w:szCs w:val="20"/>
          <w:bdr w:val="none" w:sz="0" w:space="0" w:color="auto" w:frame="1"/>
        </w:rPr>
        <w:t>-summer peak -2.368e+00  1.632e-01 -14.510  &lt; 2e-16 ***</w:t>
      </w:r>
    </w:p>
    <w:p w14:paraId="32781C14"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categorysummer</w:t>
      </w:r>
      <w:proofErr w:type="spellEnd"/>
      <w:r w:rsidRPr="009C022E">
        <w:rPr>
          <w:rFonts w:ascii="Lucida Console" w:eastAsia="Times New Roman" w:hAnsi="Lucida Console" w:cs="Courier New"/>
          <w:color w:val="000000"/>
          <w:sz w:val="20"/>
          <w:szCs w:val="20"/>
          <w:bdr w:val="none" w:sz="0" w:space="0" w:color="auto" w:frame="1"/>
        </w:rPr>
        <w:t xml:space="preserve"> off-peak -1.913e+00  1.632e-01 -11.723  &lt; 2e-16 ***</w:t>
      </w:r>
    </w:p>
    <w:p w14:paraId="44DA0BB3"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categorysummer</w:t>
      </w:r>
      <w:proofErr w:type="spellEnd"/>
      <w:r w:rsidRPr="009C022E">
        <w:rPr>
          <w:rFonts w:ascii="Lucida Console" w:eastAsia="Times New Roman" w:hAnsi="Lucida Console" w:cs="Courier New"/>
          <w:color w:val="000000"/>
          <w:sz w:val="20"/>
          <w:szCs w:val="20"/>
          <w:bdr w:val="none" w:sz="0" w:space="0" w:color="auto" w:frame="1"/>
        </w:rPr>
        <w:t xml:space="preserve"> peak      5.843e+00  1.632e-01  35.808  &lt; 2e-16 ***</w:t>
      </w:r>
    </w:p>
    <w:p w14:paraId="7BFFA319"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ZoneHB_HOUSTON</w:t>
      </w:r>
      <w:proofErr w:type="spellEnd"/>
      <w:r w:rsidRPr="009C022E">
        <w:rPr>
          <w:rFonts w:ascii="Lucida Console" w:eastAsia="Times New Roman" w:hAnsi="Lucida Console" w:cs="Courier New"/>
          <w:color w:val="000000"/>
          <w:sz w:val="20"/>
          <w:szCs w:val="20"/>
          <w:bdr w:val="none" w:sz="0" w:space="0" w:color="auto" w:frame="1"/>
        </w:rPr>
        <w:t xml:space="preserve">           5.061e-01  3.065e-01   1.651 0.099325 .  </w:t>
      </w:r>
    </w:p>
    <w:p w14:paraId="1920E474"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ZoneHB_HUBAVG</w:t>
      </w:r>
      <w:proofErr w:type="spellEnd"/>
      <w:r w:rsidRPr="009C022E">
        <w:rPr>
          <w:rFonts w:ascii="Lucida Console" w:eastAsia="Times New Roman" w:hAnsi="Lucida Console" w:cs="Courier New"/>
          <w:color w:val="000000"/>
          <w:sz w:val="20"/>
          <w:szCs w:val="20"/>
          <w:bdr w:val="none" w:sz="0" w:space="0" w:color="auto" w:frame="1"/>
        </w:rPr>
        <w:t xml:space="preserve">           -5.944e-02  3.065e-01  -0.194 0.846296    </w:t>
      </w:r>
    </w:p>
    <w:p w14:paraId="1DE8FF0C"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ZoneHB_NORTH</w:t>
      </w:r>
      <w:proofErr w:type="spellEnd"/>
      <w:r w:rsidRPr="009C022E">
        <w:rPr>
          <w:rFonts w:ascii="Lucida Console" w:eastAsia="Times New Roman" w:hAnsi="Lucida Console" w:cs="Courier New"/>
          <w:color w:val="000000"/>
          <w:sz w:val="20"/>
          <w:szCs w:val="20"/>
          <w:bdr w:val="none" w:sz="0" w:space="0" w:color="auto" w:frame="1"/>
        </w:rPr>
        <w:t xml:space="preserve">             4.819e-02  3.065e-01   0.157 0.875117    </w:t>
      </w:r>
    </w:p>
    <w:p w14:paraId="0E8D3F16"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ZoneHB_PAN</w:t>
      </w:r>
      <w:proofErr w:type="spellEnd"/>
      <w:r w:rsidRPr="009C022E">
        <w:rPr>
          <w:rFonts w:ascii="Lucida Console" w:eastAsia="Times New Roman" w:hAnsi="Lucida Console" w:cs="Courier New"/>
          <w:color w:val="000000"/>
          <w:sz w:val="20"/>
          <w:szCs w:val="20"/>
          <w:bdr w:val="none" w:sz="0" w:space="0" w:color="auto" w:frame="1"/>
        </w:rPr>
        <w:t xml:space="preserve">              -2.310e+00  6.970e-01  -3.314 0.000988 ***</w:t>
      </w:r>
    </w:p>
    <w:p w14:paraId="5BB9ECA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ZoneHB_SOUTH</w:t>
      </w:r>
      <w:proofErr w:type="spellEnd"/>
      <w:r w:rsidRPr="009C022E">
        <w:rPr>
          <w:rFonts w:ascii="Lucida Console" w:eastAsia="Times New Roman" w:hAnsi="Lucida Console" w:cs="Courier New"/>
          <w:color w:val="000000"/>
          <w:sz w:val="20"/>
          <w:szCs w:val="20"/>
          <w:bdr w:val="none" w:sz="0" w:space="0" w:color="auto" w:frame="1"/>
        </w:rPr>
        <w:t xml:space="preserve">             2.040e-01  3.065e-01   0.666 0.505928    </w:t>
      </w:r>
    </w:p>
    <w:p w14:paraId="06B8D5AE"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ZoneHB_WEST</w:t>
      </w:r>
      <w:proofErr w:type="spellEnd"/>
      <w:r w:rsidRPr="009C022E">
        <w:rPr>
          <w:rFonts w:ascii="Lucida Console" w:eastAsia="Times New Roman" w:hAnsi="Lucida Console" w:cs="Courier New"/>
          <w:color w:val="000000"/>
          <w:sz w:val="20"/>
          <w:szCs w:val="20"/>
          <w:bdr w:val="none" w:sz="0" w:space="0" w:color="auto" w:frame="1"/>
        </w:rPr>
        <w:t xml:space="preserve">             -4.525e-01  3.065e-01  -1.476 0.140490    </w:t>
      </w:r>
    </w:p>
    <w:p w14:paraId="7BEA363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ZoneLZ_AEN</w:t>
      </w:r>
      <w:proofErr w:type="spellEnd"/>
      <w:r w:rsidRPr="009C022E">
        <w:rPr>
          <w:rFonts w:ascii="Lucida Console" w:eastAsia="Times New Roman" w:hAnsi="Lucida Console" w:cs="Courier New"/>
          <w:color w:val="000000"/>
          <w:sz w:val="20"/>
          <w:szCs w:val="20"/>
          <w:bdr w:val="none" w:sz="0" w:space="0" w:color="auto" w:frame="1"/>
        </w:rPr>
        <w:t xml:space="preserve">               2.593e-01  3.065e-01   0.846 0.397947    </w:t>
      </w:r>
    </w:p>
    <w:p w14:paraId="632F0385"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ZoneLZ_CPS</w:t>
      </w:r>
      <w:proofErr w:type="spellEnd"/>
      <w:r w:rsidRPr="009C022E">
        <w:rPr>
          <w:rFonts w:ascii="Lucida Console" w:eastAsia="Times New Roman" w:hAnsi="Lucida Console" w:cs="Courier New"/>
          <w:color w:val="000000"/>
          <w:sz w:val="20"/>
          <w:szCs w:val="20"/>
          <w:bdr w:val="none" w:sz="0" w:space="0" w:color="auto" w:frame="1"/>
        </w:rPr>
        <w:t xml:space="preserve">               4.303e-01  3.065e-01   1.404 0.160996    </w:t>
      </w:r>
    </w:p>
    <w:p w14:paraId="1DA6E4DA"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ZoneLZ_HOUSTON</w:t>
      </w:r>
      <w:proofErr w:type="spellEnd"/>
      <w:r w:rsidRPr="009C022E">
        <w:rPr>
          <w:rFonts w:ascii="Lucida Console" w:eastAsia="Times New Roman" w:hAnsi="Lucida Console" w:cs="Courier New"/>
          <w:color w:val="000000"/>
          <w:sz w:val="20"/>
          <w:szCs w:val="20"/>
          <w:bdr w:val="none" w:sz="0" w:space="0" w:color="auto" w:frame="1"/>
        </w:rPr>
        <w:t xml:space="preserve">           5.972e-01  3.065e-01   1.949 0.051923 .  </w:t>
      </w:r>
    </w:p>
    <w:p w14:paraId="26A64960"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ZoneLZ_LCRA</w:t>
      </w:r>
      <w:proofErr w:type="spellEnd"/>
      <w:r w:rsidRPr="009C022E">
        <w:rPr>
          <w:rFonts w:ascii="Lucida Console" w:eastAsia="Times New Roman" w:hAnsi="Lucida Console" w:cs="Courier New"/>
          <w:color w:val="000000"/>
          <w:sz w:val="20"/>
          <w:szCs w:val="20"/>
          <w:bdr w:val="none" w:sz="0" w:space="0" w:color="auto" w:frame="1"/>
        </w:rPr>
        <w:t xml:space="preserve">              2.594e-01  3.065e-01   0.846 0.397694    </w:t>
      </w:r>
    </w:p>
    <w:p w14:paraId="5459BAF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ZoneLZ_NORTH</w:t>
      </w:r>
      <w:proofErr w:type="spellEnd"/>
      <w:r w:rsidRPr="009C022E">
        <w:rPr>
          <w:rFonts w:ascii="Lucida Console" w:eastAsia="Times New Roman" w:hAnsi="Lucida Console" w:cs="Courier New"/>
          <w:color w:val="000000"/>
          <w:sz w:val="20"/>
          <w:szCs w:val="20"/>
          <w:bdr w:val="none" w:sz="0" w:space="0" w:color="auto" w:frame="1"/>
        </w:rPr>
        <w:t xml:space="preserve">             1.503e-01  3.065e-01   0.490 0.624133    </w:t>
      </w:r>
    </w:p>
    <w:p w14:paraId="1166A6CB"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ZoneLZ_RAYBN</w:t>
      </w:r>
      <w:proofErr w:type="spellEnd"/>
      <w:r w:rsidRPr="009C022E">
        <w:rPr>
          <w:rFonts w:ascii="Lucida Console" w:eastAsia="Times New Roman" w:hAnsi="Lucida Console" w:cs="Courier New"/>
          <w:color w:val="000000"/>
          <w:sz w:val="20"/>
          <w:szCs w:val="20"/>
          <w:bdr w:val="none" w:sz="0" w:space="0" w:color="auto" w:frame="1"/>
        </w:rPr>
        <w:t xml:space="preserve">             2.969e-01  3.065e-01   0.969 0.333104    </w:t>
      </w:r>
    </w:p>
    <w:p w14:paraId="2A198666"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ZoneLZ_SOUTH</w:t>
      </w:r>
      <w:proofErr w:type="spellEnd"/>
      <w:r w:rsidRPr="009C022E">
        <w:rPr>
          <w:rFonts w:ascii="Lucida Console" w:eastAsia="Times New Roman" w:hAnsi="Lucida Console" w:cs="Courier New"/>
          <w:color w:val="000000"/>
          <w:sz w:val="20"/>
          <w:szCs w:val="20"/>
          <w:bdr w:val="none" w:sz="0" w:space="0" w:color="auto" w:frame="1"/>
        </w:rPr>
        <w:t xml:space="preserve">             3.749e-01  3.065e-01   1.223 0.221898    </w:t>
      </w:r>
    </w:p>
    <w:p w14:paraId="3045C9ED"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ZoneLZ_WEST</w:t>
      </w:r>
      <w:proofErr w:type="spellEnd"/>
      <w:r w:rsidRPr="009C022E">
        <w:rPr>
          <w:rFonts w:ascii="Lucida Console" w:eastAsia="Times New Roman" w:hAnsi="Lucida Console" w:cs="Courier New"/>
          <w:color w:val="000000"/>
          <w:sz w:val="20"/>
          <w:szCs w:val="20"/>
          <w:bdr w:val="none" w:sz="0" w:space="0" w:color="auto" w:frame="1"/>
        </w:rPr>
        <w:t xml:space="preserve">              5.083e-01  3.065e-01   1.659 0.097853 .  </w:t>
      </w:r>
    </w:p>
    <w:p w14:paraId="00605EE5"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NG_Price</w:t>
      </w:r>
      <w:proofErr w:type="spellEnd"/>
      <w:r w:rsidRPr="009C022E">
        <w:rPr>
          <w:rFonts w:ascii="Lucida Console" w:eastAsia="Times New Roman" w:hAnsi="Lucida Console" w:cs="Courier New"/>
          <w:color w:val="000000"/>
          <w:sz w:val="20"/>
          <w:szCs w:val="20"/>
          <w:bdr w:val="none" w:sz="0" w:space="0" w:color="auto" w:frame="1"/>
        </w:rPr>
        <w:t xml:space="preserve">                 4.700e+00  1.332e-01  35.297  &lt; 2e-16 ***</w:t>
      </w:r>
    </w:p>
    <w:p w14:paraId="0C2529D9"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GDP                      1.360e-05  2.199e-06   6.187 1.31e-09 ***</w:t>
      </w:r>
    </w:p>
    <w:p w14:paraId="08C31538"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Solar_PV_Cost</w:t>
      </w:r>
      <w:proofErr w:type="spellEnd"/>
      <w:r w:rsidRPr="009C022E">
        <w:rPr>
          <w:rFonts w:ascii="Lucida Console" w:eastAsia="Times New Roman" w:hAnsi="Lucida Console" w:cs="Courier New"/>
          <w:color w:val="000000"/>
          <w:sz w:val="20"/>
          <w:szCs w:val="20"/>
          <w:bdr w:val="none" w:sz="0" w:space="0" w:color="auto" w:frame="1"/>
        </w:rPr>
        <w:t xml:space="preserve">           -1.857e-03  3.694e-04  -5.028 6.99e-07 ***</w:t>
      </w:r>
    </w:p>
    <w:p w14:paraId="3F11CDB7"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proofErr w:type="spellStart"/>
      <w:r w:rsidRPr="009C022E">
        <w:rPr>
          <w:rFonts w:ascii="Lucida Console" w:eastAsia="Times New Roman" w:hAnsi="Lucida Console" w:cs="Courier New"/>
          <w:color w:val="000000"/>
          <w:sz w:val="20"/>
          <w:szCs w:val="20"/>
          <w:bdr w:val="none" w:sz="0" w:space="0" w:color="auto" w:frame="1"/>
        </w:rPr>
        <w:t>Onshore_Wind_Cost</w:t>
      </w:r>
      <w:proofErr w:type="spellEnd"/>
      <w:r w:rsidRPr="009C022E">
        <w:rPr>
          <w:rFonts w:ascii="Lucida Console" w:eastAsia="Times New Roman" w:hAnsi="Lucida Console" w:cs="Courier New"/>
          <w:color w:val="000000"/>
          <w:sz w:val="20"/>
          <w:szCs w:val="20"/>
          <w:bdr w:val="none" w:sz="0" w:space="0" w:color="auto" w:frame="1"/>
        </w:rPr>
        <w:t xml:space="preserve">        3.491e-03  1.456e-03   2.397 0.016901 *  </w:t>
      </w:r>
    </w:p>
    <w:p w14:paraId="290DC1E6"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C022E">
        <w:rPr>
          <w:rFonts w:ascii="Lucida Console" w:eastAsia="Times New Roman" w:hAnsi="Lucida Console" w:cs="Courier New"/>
          <w:color w:val="000000"/>
          <w:sz w:val="20"/>
          <w:szCs w:val="20"/>
          <w:bdr w:val="none" w:sz="0" w:space="0" w:color="auto" w:frame="1"/>
        </w:rPr>
        <w:t>---</w:t>
      </w:r>
    </w:p>
    <w:p w14:paraId="0FD44E07" w14:textId="77777777" w:rsidR="009541E9" w:rsidRPr="009C022E" w:rsidRDefault="009541E9" w:rsidP="009541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9C022E">
        <w:rPr>
          <w:rFonts w:ascii="Lucida Console" w:eastAsia="Times New Roman" w:hAnsi="Lucida Console" w:cs="Courier New"/>
          <w:color w:val="000000"/>
          <w:sz w:val="20"/>
          <w:szCs w:val="20"/>
          <w:bdr w:val="none" w:sz="0" w:space="0" w:color="auto" w:frame="1"/>
        </w:rPr>
        <w:t>Signif</w:t>
      </w:r>
      <w:proofErr w:type="spellEnd"/>
      <w:r w:rsidRPr="009C022E">
        <w:rPr>
          <w:rFonts w:ascii="Lucida Console" w:eastAsia="Times New Roman" w:hAnsi="Lucida Console" w:cs="Courier New"/>
          <w:color w:val="000000"/>
          <w:sz w:val="20"/>
          <w:szCs w:val="20"/>
          <w:bdr w:val="none" w:sz="0" w:space="0" w:color="auto" w:frame="1"/>
        </w:rPr>
        <w:t>. codes:  0 ‘***’ 0.001 ‘**’ 0.01 ‘*’ 0.05 ‘.’ 0.1 ‘ ’ 1</w:t>
      </w:r>
    </w:p>
    <w:p w14:paraId="64FB2431" w14:textId="77777777" w:rsidR="009541E9" w:rsidRPr="009541E9" w:rsidRDefault="009541E9" w:rsidP="009541E9"/>
    <w:p w14:paraId="6366A3DC" w14:textId="1EF67B45" w:rsidR="00420D9C" w:rsidRPr="00420D9C" w:rsidRDefault="00420D9C" w:rsidP="00420D9C"/>
    <w:sectPr w:rsidR="00420D9C" w:rsidRPr="00420D9C">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F9C56F" w14:textId="77777777" w:rsidR="003A2315" w:rsidRDefault="003A2315" w:rsidP="00062E87">
      <w:pPr>
        <w:spacing w:after="0" w:line="240" w:lineRule="auto"/>
      </w:pPr>
      <w:r>
        <w:separator/>
      </w:r>
    </w:p>
  </w:endnote>
  <w:endnote w:type="continuationSeparator" w:id="0">
    <w:p w14:paraId="2A62B39F" w14:textId="77777777" w:rsidR="003A2315" w:rsidRDefault="003A2315" w:rsidP="00062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BA356" w14:textId="77777777" w:rsidR="003A2315" w:rsidRDefault="003A2315" w:rsidP="00062E87">
      <w:pPr>
        <w:spacing w:after="0" w:line="240" w:lineRule="auto"/>
      </w:pPr>
      <w:r>
        <w:separator/>
      </w:r>
    </w:p>
  </w:footnote>
  <w:footnote w:type="continuationSeparator" w:id="0">
    <w:p w14:paraId="70DFAFEF" w14:textId="77777777" w:rsidR="003A2315" w:rsidRDefault="003A2315" w:rsidP="00062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FAD44" w14:textId="10163B83" w:rsidR="00F95899" w:rsidRDefault="00F95899">
    <w:pPr>
      <w:pStyle w:val="Header"/>
    </w:pPr>
    <w:r>
      <w:t>Rachel Moglen</w:t>
    </w:r>
  </w:p>
  <w:p w14:paraId="3FF5D992" w14:textId="4CD3D8EB" w:rsidR="00F95899" w:rsidRDefault="00F95899">
    <w:pPr>
      <w:pStyle w:val="Header"/>
    </w:pPr>
    <w:r>
      <w:t>Oct 30, 2020</w:t>
    </w:r>
  </w:p>
  <w:p w14:paraId="73639107" w14:textId="25B83C82" w:rsidR="00F95899" w:rsidRDefault="00F95899">
    <w:pPr>
      <w:pStyle w:val="Header"/>
    </w:pPr>
    <w:r>
      <w:t>Environmental Development and Policy (</w:t>
    </w:r>
    <w:proofErr w:type="spellStart"/>
    <w:r>
      <w:fldChar w:fldCharType="begin"/>
    </w:r>
    <w:r>
      <w:instrText>HYPERLINK "https://github.com/rmoglen/EnergyDevelopment_Policy"</w:instrText>
    </w:r>
    <w:r>
      <w:fldChar w:fldCharType="separate"/>
    </w:r>
    <w:r w:rsidRPr="00BC400D">
      <w:rPr>
        <w:rStyle w:val="Hyperlink"/>
      </w:rPr>
      <w:t>Github</w:t>
    </w:r>
    <w:proofErr w:type="spellEnd"/>
    <w:r>
      <w:fldChar w:fldCharType="end"/>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D4DBB"/>
    <w:multiLevelType w:val="hybridMultilevel"/>
    <w:tmpl w:val="8BA4A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84E30"/>
    <w:multiLevelType w:val="hybridMultilevel"/>
    <w:tmpl w:val="2DE4E71A"/>
    <w:lvl w:ilvl="0" w:tplc="B4BAF2E8">
      <w:start w:val="2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A14BF"/>
    <w:multiLevelType w:val="hybridMultilevel"/>
    <w:tmpl w:val="7C067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14516"/>
    <w:multiLevelType w:val="hybridMultilevel"/>
    <w:tmpl w:val="0386835C"/>
    <w:lvl w:ilvl="0" w:tplc="64E2872C">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E5971"/>
    <w:multiLevelType w:val="hybridMultilevel"/>
    <w:tmpl w:val="8362B4DC"/>
    <w:lvl w:ilvl="0" w:tplc="2246563A">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A4"/>
    <w:rsid w:val="000072DB"/>
    <w:rsid w:val="00013688"/>
    <w:rsid w:val="00046D44"/>
    <w:rsid w:val="00062E87"/>
    <w:rsid w:val="00077CB0"/>
    <w:rsid w:val="000F215A"/>
    <w:rsid w:val="001151D7"/>
    <w:rsid w:val="002442D3"/>
    <w:rsid w:val="002A3665"/>
    <w:rsid w:val="002B649F"/>
    <w:rsid w:val="00314549"/>
    <w:rsid w:val="00336789"/>
    <w:rsid w:val="003A2315"/>
    <w:rsid w:val="003E6FE0"/>
    <w:rsid w:val="00420D9C"/>
    <w:rsid w:val="00421ED4"/>
    <w:rsid w:val="00451B99"/>
    <w:rsid w:val="00464957"/>
    <w:rsid w:val="00492C60"/>
    <w:rsid w:val="00530040"/>
    <w:rsid w:val="005644A6"/>
    <w:rsid w:val="00573FB1"/>
    <w:rsid w:val="005741AD"/>
    <w:rsid w:val="005A4C3D"/>
    <w:rsid w:val="005A701F"/>
    <w:rsid w:val="005D3F20"/>
    <w:rsid w:val="006268EE"/>
    <w:rsid w:val="006606A0"/>
    <w:rsid w:val="0068409C"/>
    <w:rsid w:val="006861B4"/>
    <w:rsid w:val="006B3CD3"/>
    <w:rsid w:val="006E51E7"/>
    <w:rsid w:val="00712C8E"/>
    <w:rsid w:val="00715650"/>
    <w:rsid w:val="00745A48"/>
    <w:rsid w:val="00747D25"/>
    <w:rsid w:val="00787648"/>
    <w:rsid w:val="007973CD"/>
    <w:rsid w:val="007B63B2"/>
    <w:rsid w:val="007B71B3"/>
    <w:rsid w:val="008535AE"/>
    <w:rsid w:val="00876EA4"/>
    <w:rsid w:val="0089082A"/>
    <w:rsid w:val="00892288"/>
    <w:rsid w:val="008957EB"/>
    <w:rsid w:val="008B4143"/>
    <w:rsid w:val="008C407B"/>
    <w:rsid w:val="008D5D81"/>
    <w:rsid w:val="008E126C"/>
    <w:rsid w:val="008F2ABF"/>
    <w:rsid w:val="009038AF"/>
    <w:rsid w:val="00921E7C"/>
    <w:rsid w:val="00930F5F"/>
    <w:rsid w:val="009541E9"/>
    <w:rsid w:val="00976A3C"/>
    <w:rsid w:val="009C022E"/>
    <w:rsid w:val="009C163F"/>
    <w:rsid w:val="009F36B4"/>
    <w:rsid w:val="00A0417B"/>
    <w:rsid w:val="00A13C77"/>
    <w:rsid w:val="00A25741"/>
    <w:rsid w:val="00AA0977"/>
    <w:rsid w:val="00B65EE1"/>
    <w:rsid w:val="00B7579C"/>
    <w:rsid w:val="00BA2C88"/>
    <w:rsid w:val="00BB3FF8"/>
    <w:rsid w:val="00BC400D"/>
    <w:rsid w:val="00BC78BE"/>
    <w:rsid w:val="00BE4B3D"/>
    <w:rsid w:val="00BF54D2"/>
    <w:rsid w:val="00C2411A"/>
    <w:rsid w:val="00C416E9"/>
    <w:rsid w:val="00C60C5D"/>
    <w:rsid w:val="00CE1D29"/>
    <w:rsid w:val="00CE69A0"/>
    <w:rsid w:val="00D1055C"/>
    <w:rsid w:val="00D32B45"/>
    <w:rsid w:val="00D42D31"/>
    <w:rsid w:val="00D45043"/>
    <w:rsid w:val="00D92AB4"/>
    <w:rsid w:val="00DA016C"/>
    <w:rsid w:val="00DB6AEF"/>
    <w:rsid w:val="00DC017A"/>
    <w:rsid w:val="00E312B4"/>
    <w:rsid w:val="00E93978"/>
    <w:rsid w:val="00EA218C"/>
    <w:rsid w:val="00ED4A04"/>
    <w:rsid w:val="00EE4485"/>
    <w:rsid w:val="00F349C8"/>
    <w:rsid w:val="00F45B89"/>
    <w:rsid w:val="00F7037F"/>
    <w:rsid w:val="00F95899"/>
    <w:rsid w:val="00FC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BEA4F"/>
  <w15:chartTrackingRefBased/>
  <w15:docId w15:val="{FB9F62DD-7F2E-4596-97B7-F1B4BBFD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6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6E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6EA4"/>
    <w:rPr>
      <w:color w:val="0563C1" w:themeColor="hyperlink"/>
      <w:u w:val="single"/>
    </w:rPr>
  </w:style>
  <w:style w:type="character" w:styleId="UnresolvedMention">
    <w:name w:val="Unresolved Mention"/>
    <w:basedOn w:val="DefaultParagraphFont"/>
    <w:uiPriority w:val="99"/>
    <w:semiHidden/>
    <w:unhideWhenUsed/>
    <w:rsid w:val="00876EA4"/>
    <w:rPr>
      <w:color w:val="605E5C"/>
      <w:shd w:val="clear" w:color="auto" w:fill="E1DFDD"/>
    </w:rPr>
  </w:style>
  <w:style w:type="character" w:customStyle="1" w:styleId="Heading1Char">
    <w:name w:val="Heading 1 Char"/>
    <w:basedOn w:val="DefaultParagraphFont"/>
    <w:link w:val="Heading1"/>
    <w:uiPriority w:val="9"/>
    <w:rsid w:val="00BC78BE"/>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745A48"/>
    <w:rPr>
      <w:color w:val="954F72" w:themeColor="followedHyperlink"/>
      <w:u w:val="single"/>
    </w:rPr>
  </w:style>
  <w:style w:type="paragraph" w:styleId="ListParagraph">
    <w:name w:val="List Paragraph"/>
    <w:basedOn w:val="Normal"/>
    <w:uiPriority w:val="34"/>
    <w:qFormat/>
    <w:rsid w:val="00013688"/>
    <w:pPr>
      <w:ind w:left="720"/>
      <w:contextualSpacing/>
    </w:pPr>
  </w:style>
  <w:style w:type="paragraph" w:styleId="Title">
    <w:name w:val="Title"/>
    <w:basedOn w:val="Normal"/>
    <w:next w:val="Normal"/>
    <w:link w:val="TitleChar"/>
    <w:uiPriority w:val="10"/>
    <w:qFormat/>
    <w:rsid w:val="00062E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E8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62E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2E87"/>
  </w:style>
  <w:style w:type="paragraph" w:styleId="Footer">
    <w:name w:val="footer"/>
    <w:basedOn w:val="Normal"/>
    <w:link w:val="FooterChar"/>
    <w:uiPriority w:val="99"/>
    <w:unhideWhenUsed/>
    <w:rsid w:val="00062E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2E87"/>
  </w:style>
  <w:style w:type="character" w:styleId="PlaceholderText">
    <w:name w:val="Placeholder Text"/>
    <w:basedOn w:val="DefaultParagraphFont"/>
    <w:uiPriority w:val="99"/>
    <w:semiHidden/>
    <w:rsid w:val="00420D9C"/>
    <w:rPr>
      <w:color w:val="808080"/>
    </w:rPr>
  </w:style>
  <w:style w:type="paragraph" w:styleId="HTMLPreformatted">
    <w:name w:val="HTML Preformatted"/>
    <w:basedOn w:val="Normal"/>
    <w:link w:val="HTMLPreformattedChar"/>
    <w:uiPriority w:val="99"/>
    <w:semiHidden/>
    <w:unhideWhenUsed/>
    <w:rsid w:val="009C0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022E"/>
    <w:rPr>
      <w:rFonts w:ascii="Courier New" w:eastAsia="Times New Roman" w:hAnsi="Courier New" w:cs="Courier New"/>
      <w:sz w:val="20"/>
      <w:szCs w:val="20"/>
    </w:rPr>
  </w:style>
  <w:style w:type="character" w:customStyle="1" w:styleId="gnkrckgcgsb">
    <w:name w:val="gnkrckgcgsb"/>
    <w:basedOn w:val="DefaultParagraphFont"/>
    <w:rsid w:val="009C022E"/>
  </w:style>
  <w:style w:type="character" w:customStyle="1" w:styleId="Heading2Char">
    <w:name w:val="Heading 2 Char"/>
    <w:basedOn w:val="DefaultParagraphFont"/>
    <w:link w:val="Heading2"/>
    <w:uiPriority w:val="9"/>
    <w:rsid w:val="00CE69A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5881">
      <w:bodyDiv w:val="1"/>
      <w:marLeft w:val="0"/>
      <w:marRight w:val="0"/>
      <w:marTop w:val="0"/>
      <w:marBottom w:val="0"/>
      <w:divBdr>
        <w:top w:val="none" w:sz="0" w:space="0" w:color="auto"/>
        <w:left w:val="none" w:sz="0" w:space="0" w:color="auto"/>
        <w:bottom w:val="none" w:sz="0" w:space="0" w:color="auto"/>
        <w:right w:val="none" w:sz="0" w:space="0" w:color="auto"/>
      </w:divBdr>
    </w:div>
    <w:div w:id="223958146">
      <w:bodyDiv w:val="1"/>
      <w:marLeft w:val="0"/>
      <w:marRight w:val="0"/>
      <w:marTop w:val="0"/>
      <w:marBottom w:val="0"/>
      <w:divBdr>
        <w:top w:val="none" w:sz="0" w:space="0" w:color="auto"/>
        <w:left w:val="none" w:sz="0" w:space="0" w:color="auto"/>
        <w:bottom w:val="none" w:sz="0" w:space="0" w:color="auto"/>
        <w:right w:val="none" w:sz="0" w:space="0" w:color="auto"/>
      </w:divBdr>
    </w:div>
    <w:div w:id="1078818923">
      <w:bodyDiv w:val="1"/>
      <w:marLeft w:val="0"/>
      <w:marRight w:val="0"/>
      <w:marTop w:val="0"/>
      <w:marBottom w:val="0"/>
      <w:divBdr>
        <w:top w:val="none" w:sz="0" w:space="0" w:color="auto"/>
        <w:left w:val="none" w:sz="0" w:space="0" w:color="auto"/>
        <w:bottom w:val="none" w:sz="0" w:space="0" w:color="auto"/>
        <w:right w:val="none" w:sz="0" w:space="0" w:color="auto"/>
      </w:divBdr>
    </w:div>
    <w:div w:id="1871331786">
      <w:bodyDiv w:val="1"/>
      <w:marLeft w:val="0"/>
      <w:marRight w:val="0"/>
      <w:marTop w:val="0"/>
      <w:marBottom w:val="0"/>
      <w:divBdr>
        <w:top w:val="none" w:sz="0" w:space="0" w:color="auto"/>
        <w:left w:val="none" w:sz="0" w:space="0" w:color="auto"/>
        <w:bottom w:val="none" w:sz="0" w:space="0" w:color="auto"/>
        <w:right w:val="none" w:sz="0" w:space="0" w:color="auto"/>
      </w:divBdr>
    </w:div>
    <w:div w:id="203596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cot.com/content/wcm/lists/144927/2018_LTSA_Report.pdf" TargetMode="External"/><Relationship Id="rId13" Type="http://schemas.openxmlformats.org/officeDocument/2006/relationships/hyperlink" Target="https://www.ncdc.noaa.gov/cdo-web/datatools/lcd" TargetMode="External"/><Relationship Id="rId18" Type="http://schemas.openxmlformats.org/officeDocument/2006/relationships/hyperlink" Target="https://fred.stlouisfed.org/series/TXNGSP"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rmoglen/EnergyDevelopment_Policy" TargetMode="External"/><Relationship Id="rId12" Type="http://schemas.openxmlformats.org/officeDocument/2006/relationships/hyperlink" Target="http://mis.ercot.com/misapp/GetReports.do?reportTypeId=13061&amp;reportTitle=Historical%20RTM%20Load%20Zone%20and%20Hub%20Prices&amp;showHTMLView=&amp;mimicKey" TargetMode="External"/><Relationship Id="rId17" Type="http://schemas.openxmlformats.org/officeDocument/2006/relationships/hyperlink" Target="http://www.ercot.com/content/wcm/lists/114580/2017_Long-Term_Hourly_Peak_Demand_and_Energy_Forecast.pdf" TargetMode="External"/><Relationship Id="rId2" Type="http://schemas.openxmlformats.org/officeDocument/2006/relationships/styles" Target="styles.xml"/><Relationship Id="rId16" Type="http://schemas.openxmlformats.org/officeDocument/2006/relationships/hyperlink" Target="https://www.eia.gov/dnav/ng/hist/n3035us3A.htm" TargetMode="External"/><Relationship Id="rId20" Type="http://schemas.openxmlformats.org/officeDocument/2006/relationships/hyperlink" Target="https://www.eia.gov/electricity/generatorcos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a.gov/egrid/download-data" TargetMode="External"/><Relationship Id="rId5" Type="http://schemas.openxmlformats.org/officeDocument/2006/relationships/footnotes" Target="footnotes.xml"/><Relationship Id="rId15" Type="http://schemas.openxmlformats.org/officeDocument/2006/relationships/hyperlink" Target="https://www.eia.gov/outlooks/aeo/data/browser/" TargetMode="External"/><Relationship Id="rId23" Type="http://schemas.openxmlformats.org/officeDocument/2006/relationships/theme" Target="theme/theme1.xml"/><Relationship Id="rId10" Type="http://schemas.openxmlformats.org/officeDocument/2006/relationships/hyperlink" Target="https://www.ge.com/power/gas/gas-turbines/7f-04" TargetMode="External"/><Relationship Id="rId19" Type="http://schemas.openxmlformats.org/officeDocument/2006/relationships/hyperlink" Target="http://www.ercot.com/content/wcm/lists/144927/2018_LTSA_Report.pdf" TargetMode="External"/><Relationship Id="rId4" Type="http://schemas.openxmlformats.org/officeDocument/2006/relationships/webSettings" Target="webSettings.xml"/><Relationship Id="rId9" Type="http://schemas.openxmlformats.org/officeDocument/2006/relationships/hyperlink" Target="http://www.ercot.com/content/wcm/lists/144927/2018_LTSA_Report.pdf" TargetMode="External"/><Relationship Id="rId14" Type="http://schemas.openxmlformats.org/officeDocument/2006/relationships/hyperlink" Target="http://regclim.coas.oregonstate.edu/visualization/rccv/states-counti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4725</TotalTime>
  <Pages>7</Pages>
  <Words>1913</Words>
  <Characters>10909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Moglen</dc:creator>
  <cp:keywords/>
  <dc:description/>
  <cp:lastModifiedBy>Rachel Moglen</cp:lastModifiedBy>
  <cp:revision>24</cp:revision>
  <dcterms:created xsi:type="dcterms:W3CDTF">2020-10-24T03:23:00Z</dcterms:created>
  <dcterms:modified xsi:type="dcterms:W3CDTF">2020-10-29T03:09:00Z</dcterms:modified>
</cp:coreProperties>
</file>