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80BB9" w14:textId="0BA5522B" w:rsidR="00062E87" w:rsidRDefault="00E312B4" w:rsidP="00062E87">
      <w:pPr>
        <w:pStyle w:val="Heading1"/>
        <w:jc w:val="center"/>
      </w:pPr>
      <w:r>
        <w:t>Mid-Semester Memo</w:t>
      </w:r>
    </w:p>
    <w:p w14:paraId="7CF99059" w14:textId="43ECD4CC" w:rsidR="009541E9" w:rsidRDefault="009541E9" w:rsidP="009541E9">
      <w:pPr>
        <w:pStyle w:val="Heading1"/>
      </w:pPr>
      <w:r>
        <w:t>Introduction</w:t>
      </w:r>
    </w:p>
    <w:p w14:paraId="135347E3" w14:textId="3166914F" w:rsidR="009541E9" w:rsidRPr="009541E9" w:rsidRDefault="00F95899" w:rsidP="009541E9">
      <w:r>
        <w:t xml:space="preserve">This memo explores my locational marginal price (LMP) prediction exploration and process and my lifecycle analysis (LCA) of all candidate options for our energy portfolio. In the interest of transparency, I have compiled my code for public reference on </w:t>
      </w:r>
      <w:r w:rsidR="009541E9">
        <w:t xml:space="preserve">GitHub at </w:t>
      </w:r>
      <w:hyperlink r:id="rId7" w:history="1">
        <w:r w:rsidR="00ED4A04" w:rsidRPr="00150AAE">
          <w:rPr>
            <w:rStyle w:val="Hyperlink"/>
          </w:rPr>
          <w:t>https://github.com/rmoglen/EnergyDevelopment_Policy</w:t>
        </w:r>
      </w:hyperlink>
      <w:r w:rsidR="009541E9">
        <w:t>.</w:t>
      </w:r>
    </w:p>
    <w:p w14:paraId="4050DF7A" w14:textId="799A22C2" w:rsidR="006C02FF" w:rsidRPr="006C02FF" w:rsidRDefault="00E312B4" w:rsidP="006C02FF">
      <w:pPr>
        <w:pStyle w:val="Heading1"/>
      </w:pPr>
      <w:r>
        <w:t>Locational Marginal Price (LMP) Prediction</w:t>
      </w:r>
    </w:p>
    <w:p w14:paraId="0834A82C" w14:textId="603B7432" w:rsidR="000269B8" w:rsidRDefault="000269B8" w:rsidP="000269B8">
      <w:pPr>
        <w:pStyle w:val="Heading2"/>
      </w:pPr>
      <w:r>
        <w:t>Sources</w:t>
      </w:r>
    </w:p>
    <w:p w14:paraId="090F01C3" w14:textId="2BD30F77" w:rsidR="00E312B4" w:rsidRDefault="00CE69A0" w:rsidP="00E312B4">
      <w:r>
        <w:t xml:space="preserve">ERCOT’s </w:t>
      </w:r>
      <w:r w:rsidRPr="00866484">
        <w:t xml:space="preserve">2018 </w:t>
      </w:r>
      <w:r w:rsidR="00647CE2">
        <w:t>Long-Term System Assessment (</w:t>
      </w:r>
      <w:r w:rsidRPr="00866484">
        <w:t>LTSA</w:t>
      </w:r>
      <w:r w:rsidR="00647CE2">
        <w:t>)</w:t>
      </w:r>
      <w:r w:rsidRPr="00866484">
        <w:t xml:space="preserve"> report</w:t>
      </w:r>
      <w:r>
        <w:t xml:space="preserve"> </w:t>
      </w:r>
      <w:r w:rsidR="00866484">
        <w:t xml:space="preserve">[5] </w:t>
      </w:r>
      <w:r>
        <w:t>was central in guiding my LMP predictions, specifically the data presented in its Figure I.1</w:t>
      </w:r>
      <w:r w:rsidR="00866484">
        <w:t>, duplicated in Appendix C</w:t>
      </w:r>
      <w:r>
        <w:t>. Figure I.1 in the LSTA was generated by a survey of ERCOT stakeholder</w:t>
      </w:r>
      <w:r w:rsidR="000269B8">
        <w:t>s who</w:t>
      </w:r>
      <w:r>
        <w:t xml:space="preserve"> concluded that the key drivers for the ERCOT grid were Texas economic conditions, natural gas prices, capital costs for renewable energy, environmental regulations, and weather conditions, followed by several less significant drivers. Therefore, I selected natural gas prices, Texas GDP, and renewable energy capital costs as predictors in my model, along with year, load zone, season, and peak versus off peak timing. Table </w:t>
      </w:r>
      <w:r w:rsidR="002A3665">
        <w:t>A</w:t>
      </w:r>
      <w:r>
        <w:t xml:space="preserve"> in Appendix A summarizes the data I used in my model and their sources.</w:t>
      </w:r>
      <w:r w:rsidR="000269B8">
        <w:t xml:space="preserve"> I used publicly available data primarily from the EIA and ERCOT to build my model and predict LMPs.</w:t>
      </w:r>
    </w:p>
    <w:p w14:paraId="449789F3" w14:textId="77777777" w:rsidR="00CE69A0" w:rsidRDefault="00CE69A0" w:rsidP="00CE69A0">
      <w:pPr>
        <w:pStyle w:val="Heading2"/>
      </w:pPr>
      <w:r>
        <w:t>Scenarios</w:t>
      </w:r>
    </w:p>
    <w:p w14:paraId="04940885" w14:textId="6EF48F4A" w:rsidR="00CE69A0" w:rsidRDefault="00CE69A0" w:rsidP="00CE69A0">
      <w:r>
        <w:t xml:space="preserve">ERCOT’s </w:t>
      </w:r>
      <w:r w:rsidRPr="00866484">
        <w:t>2018 LTSA report</w:t>
      </w:r>
      <w:r>
        <w:t xml:space="preserve"> </w:t>
      </w:r>
      <w:r w:rsidR="00866484">
        <w:t xml:space="preserve">[5] </w:t>
      </w:r>
      <w:r>
        <w:t xml:space="preserve">also provided guidance on scenarios likely to impact the ERCOT grid and thus future prices. Two of the scenarios it discusses are (1) High Economic Growth and (2) High Renewable Penetration. My third scenario was (3) the Base Case. Forecasts for the next 20 years for all my predictors were available </w:t>
      </w:r>
      <w:r w:rsidR="00D42D31">
        <w:t>except for</w:t>
      </w:r>
      <w:r>
        <w:t xml:space="preserve"> renewables capital costs, which I extrapolated by fitting an exponential model to the available data. </w:t>
      </w:r>
    </w:p>
    <w:p w14:paraId="3E17969B" w14:textId="3095999A" w:rsidR="00CE69A0" w:rsidRDefault="00CE69A0" w:rsidP="00CE69A0">
      <w:r>
        <w:t xml:space="preserve"> (1) the Base Case was predicted using the available forecasts data from Table </w:t>
      </w:r>
      <w:r w:rsidR="002A3665">
        <w:t>A</w:t>
      </w:r>
      <w:r>
        <w:t xml:space="preserve">. For (2) the High Economic Growth scenario, EIA provides its own predictions of natural gas prices under high economic growth, and ERCOT describes an annual Texas GDP increase of 2.2% rather than the 1.4% in the base case. Again, future LMPs were predicted using forecasts as predictors, this time with 2.2% GDP growth and High Economic Growth conditions gas prices in place of the base case numbers.  For (3) the High Renewable Penetration, it was assumed that this adoption was driven by lower renewable energy costs, so forecasted renewable </w:t>
      </w:r>
      <w:commentRangeStart w:id="0"/>
      <w:r>
        <w:t xml:space="preserve">energy capital costs were multiplied by a discount factor (assumed to be 0.9). Future </w:t>
      </w:r>
      <w:commentRangeEnd w:id="0"/>
      <w:r w:rsidR="000404A7">
        <w:rPr>
          <w:rStyle w:val="CommentReference"/>
        </w:rPr>
        <w:commentReference w:id="0"/>
      </w:r>
      <w:r>
        <w:t xml:space="preserve">LMPs were once more predicted using the forecast data from Table </w:t>
      </w:r>
      <w:r w:rsidR="002A3665">
        <w:t>A</w:t>
      </w:r>
      <w:r>
        <w:t>, with the substitution of the discounted renewable energy capital cost forecasts.</w:t>
      </w:r>
    </w:p>
    <w:p w14:paraId="5AC2924B" w14:textId="77777777" w:rsidR="00CE69A0" w:rsidRDefault="00CE69A0" w:rsidP="00CE69A0">
      <w:pPr>
        <w:pStyle w:val="Heading2"/>
      </w:pPr>
      <w:r>
        <w:t>Aggregation</w:t>
      </w:r>
    </w:p>
    <w:p w14:paraId="75733709" w14:textId="74A2EC0E" w:rsidR="00CE69A0" w:rsidRDefault="00CE69A0" w:rsidP="00CE69A0">
      <w:r>
        <w:t xml:space="preserve">Historical LMPs were aggregated by season (“summer” as April through October and “non-summer” as the rest of the year) and </w:t>
      </w:r>
      <w:r w:rsidR="00F305AE">
        <w:t>“</w:t>
      </w:r>
      <w:r>
        <w:t>peak</w:t>
      </w:r>
      <w:r w:rsidR="00F305AE">
        <w:t>”</w:t>
      </w:r>
      <w:r>
        <w:t xml:space="preserve"> (hours 8 </w:t>
      </w:r>
      <w:r w:rsidR="005644A6">
        <w:t>through</w:t>
      </w:r>
      <w:r>
        <w:t xml:space="preserve"> 23 in the summer and 1 and 24 in the non-summer) and off-peak the rest of the time. </w:t>
      </w:r>
      <w:r w:rsidR="00F305AE">
        <w:t xml:space="preserve">In the summer, the price peak is largely temperature-driven. In the non-summer, “peak” refers to the nighttime hours associated with West-Texas Congestion. </w:t>
      </w:r>
      <w:r>
        <w:t xml:space="preserve">This aggregation was done both because the financial models that will use the LMP predictions as inputs will </w:t>
      </w:r>
      <w:r>
        <w:lastRenderedPageBreak/>
        <w:t>likely not need a finer temporal resolution and because the forecast data available was generally only at 1 year temporal resolution, making finer prediction difficult and likely inaccurate. Historical LMPs in each of the time-categories (summer peak, summer off-peak, non-summer peak, and non-summer off-peak) were averaged by median value in that year. Therefore, my model predicts the median LMP in each load zone, each year from 2020-2039, in each of the four time-categories.</w:t>
      </w:r>
      <w:r w:rsidR="009822B0">
        <w:t xml:space="preserve"> I predict the median LMP, rather than mean LMP, because the price distribution is so heavily skewed; in the financial models, my LMP predictions are used as “typical” price forecasts, and in this case the median is more representative. If a prediction of future LMP volatility is requested, a prediction of upper tail risk, such as the 90</w:t>
      </w:r>
      <w:r w:rsidR="009822B0" w:rsidRPr="009822B0">
        <w:rPr>
          <w:vertAlign w:val="superscript"/>
        </w:rPr>
        <w:t>th</w:t>
      </w:r>
      <w:r w:rsidR="009822B0">
        <w:t xml:space="preserve"> percentile LMP each year, could be generated in a similar manner to the median LMP prediction model below.</w:t>
      </w:r>
    </w:p>
    <w:p w14:paraId="601354C5" w14:textId="77777777" w:rsidR="00CE69A0" w:rsidRDefault="00CE69A0" w:rsidP="00CE69A0">
      <w:pPr>
        <w:pStyle w:val="Heading2"/>
      </w:pPr>
      <w:r>
        <w:t>Model</w:t>
      </w:r>
    </w:p>
    <w:p w14:paraId="60A7F72F" w14:textId="77777777" w:rsidR="00CE69A0" w:rsidRDefault="00CE69A0" w:rsidP="00CE69A0">
      <w:r>
        <w:t>I used linear regression to fit a model to LMPs from 2011 to 2019. I then applied this model to 2020 to 2039 to predict future LMPs. My model is of the following form:</w:t>
      </w:r>
    </w:p>
    <w:p w14:paraId="6E0C6C2A" w14:textId="77777777" w:rsidR="000963AA" w:rsidRPr="000963AA" w:rsidRDefault="000963AA" w:rsidP="00CE69A0">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Category+</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LoadZone+</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NGPrice</m:t>
          </m:r>
        </m:oMath>
      </m:oMathPara>
    </w:p>
    <w:p w14:paraId="26C2BC50" w14:textId="3F279F06" w:rsidR="00CE69A0" w:rsidRPr="00420D9C" w:rsidRDefault="000963AA" w:rsidP="00CE69A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GDP+</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SolarCost+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WindCost</m:t>
          </m:r>
        </m:oMath>
      </m:oMathPara>
    </w:p>
    <w:p w14:paraId="11BD2CB5" w14:textId="2C7633DF" w:rsidR="00BF54D2" w:rsidRDefault="00CE69A0" w:rsidP="00BF54D2">
      <w:pPr>
        <w:rPr>
          <w:rFonts w:eastAsiaTheme="minorEastAsia"/>
        </w:rPr>
      </w:pPr>
      <w:r>
        <w:rPr>
          <w:rFonts w:eastAsiaTheme="minorEastAsia"/>
        </w:rPr>
        <w:t xml:space="preserve">The resulting model is summarized </w:t>
      </w:r>
      <w:r w:rsidR="009541E9">
        <w:rPr>
          <w:rFonts w:eastAsiaTheme="minorEastAsia"/>
        </w:rPr>
        <w:t>in Appendix B</w:t>
      </w:r>
      <w:r>
        <w:rPr>
          <w:rFonts w:eastAsiaTheme="minorEastAsia"/>
        </w:rPr>
        <w:t>.</w:t>
      </w:r>
      <w:r w:rsidR="00DC566D">
        <w:rPr>
          <w:rFonts w:eastAsiaTheme="minorEastAsia"/>
        </w:rPr>
        <w:t xml:space="preserve"> </w:t>
      </w:r>
      <w:r w:rsidR="006C139B">
        <w:rPr>
          <w:rFonts w:eastAsiaTheme="minorEastAsia"/>
        </w:rPr>
        <w:t>Figure 1 displays both historic averaged LMPs and forecasts under the three scenarios explored.</w:t>
      </w:r>
      <w:r w:rsidR="00670903">
        <w:rPr>
          <w:rFonts w:eastAsiaTheme="minorEastAsia"/>
        </w:rPr>
        <w:t xml:space="preserve"> In all three cases, the predicted LMPs stay within the range of historic values. Under the base case and cheaper renewables scenarios, price</w:t>
      </w:r>
      <w:r w:rsidR="00107336">
        <w:rPr>
          <w:rFonts w:eastAsiaTheme="minorEastAsia"/>
        </w:rPr>
        <w:t>s</w:t>
      </w:r>
      <w:r w:rsidR="00670903">
        <w:rPr>
          <w:rFonts w:eastAsiaTheme="minorEastAsia"/>
        </w:rPr>
        <w:t xml:space="preserve"> decrease</w:t>
      </w:r>
      <w:r w:rsidR="00AC65C6">
        <w:rPr>
          <w:rFonts w:eastAsiaTheme="minorEastAsia"/>
        </w:rPr>
        <w:t xml:space="preserve"> only</w:t>
      </w:r>
      <w:r w:rsidR="00670903">
        <w:rPr>
          <w:rFonts w:eastAsiaTheme="minorEastAsia"/>
        </w:rPr>
        <w:t xml:space="preserve"> slightly over tim</w:t>
      </w:r>
      <w:r w:rsidR="00AC65C6">
        <w:rPr>
          <w:rFonts w:eastAsiaTheme="minorEastAsia"/>
        </w:rPr>
        <w:t>e, and perform quite similarly</w:t>
      </w:r>
      <w:r w:rsidR="00670903">
        <w:rPr>
          <w:rFonts w:eastAsiaTheme="minorEastAsia"/>
        </w:rPr>
        <w:t>. Under the high GDP growth scenario, prices increase slightly over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C139B" w14:paraId="14F33B70" w14:textId="77777777" w:rsidTr="006C139B">
        <w:tc>
          <w:tcPr>
            <w:tcW w:w="9350" w:type="dxa"/>
          </w:tcPr>
          <w:p w14:paraId="4C954134" w14:textId="0A788A60" w:rsidR="006C139B" w:rsidRDefault="006C139B" w:rsidP="006C139B">
            <w:pPr>
              <w:jc w:val="center"/>
              <w:rPr>
                <w:rFonts w:eastAsiaTheme="minorEastAsia"/>
              </w:rPr>
            </w:pPr>
            <w:r>
              <w:rPr>
                <w:rFonts w:eastAsiaTheme="minorEastAsia"/>
                <w:noProof/>
              </w:rPr>
              <w:drawing>
                <wp:inline distT="0" distB="0" distL="0" distR="0" wp14:anchorId="4D612EFC" wp14:editId="0C836BA3">
                  <wp:extent cx="4876037" cy="2936875"/>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2">
                            <a:extLst>
                              <a:ext uri="{28A0092B-C50C-407E-A947-70E740481C1C}">
                                <a14:useLocalDpi xmlns:a14="http://schemas.microsoft.com/office/drawing/2010/main" val="0"/>
                              </a:ext>
                            </a:extLst>
                          </a:blip>
                          <a:srcRect t="5804"/>
                          <a:stretch/>
                        </pic:blipFill>
                        <pic:spPr bwMode="auto">
                          <a:xfrm>
                            <a:off x="0" y="0"/>
                            <a:ext cx="4889487" cy="2944976"/>
                          </a:xfrm>
                          <a:prstGeom prst="rect">
                            <a:avLst/>
                          </a:prstGeom>
                          <a:ln>
                            <a:noFill/>
                          </a:ln>
                          <a:extLst>
                            <a:ext uri="{53640926-AAD7-44D8-BBD7-CCE9431645EC}">
                              <a14:shadowObscured xmlns:a14="http://schemas.microsoft.com/office/drawing/2010/main"/>
                            </a:ext>
                          </a:extLst>
                        </pic:spPr>
                      </pic:pic>
                    </a:graphicData>
                  </a:graphic>
                </wp:inline>
              </w:drawing>
            </w:r>
          </w:p>
        </w:tc>
      </w:tr>
      <w:tr w:rsidR="006C139B" w14:paraId="62C478E1" w14:textId="77777777" w:rsidTr="006C139B">
        <w:tc>
          <w:tcPr>
            <w:tcW w:w="9350" w:type="dxa"/>
          </w:tcPr>
          <w:p w14:paraId="523BFF78" w14:textId="3E194337" w:rsidR="006C139B" w:rsidRDefault="006C139B" w:rsidP="006C139B">
            <w:pPr>
              <w:jc w:val="center"/>
              <w:rPr>
                <w:rFonts w:eastAsiaTheme="minorEastAsia"/>
              </w:rPr>
            </w:pPr>
            <w:r>
              <w:rPr>
                <w:rFonts w:eastAsiaTheme="minorEastAsia"/>
              </w:rPr>
              <w:t xml:space="preserve">Figure 1: </w:t>
            </w:r>
            <w:r w:rsidR="00F111E9">
              <w:rPr>
                <w:rFonts w:eastAsiaTheme="minorEastAsia"/>
              </w:rPr>
              <w:t xml:space="preserve">Linear </w:t>
            </w:r>
            <w:r>
              <w:rPr>
                <w:rFonts w:eastAsiaTheme="minorEastAsia"/>
              </w:rPr>
              <w:t xml:space="preserve">Model </w:t>
            </w:r>
            <w:r w:rsidR="00F111E9">
              <w:rPr>
                <w:rFonts w:eastAsiaTheme="minorEastAsia"/>
              </w:rPr>
              <w:t xml:space="preserve">LMP </w:t>
            </w:r>
            <w:r>
              <w:rPr>
                <w:rFonts w:eastAsiaTheme="minorEastAsia"/>
              </w:rPr>
              <w:t>Predictions in Austin</w:t>
            </w:r>
          </w:p>
        </w:tc>
      </w:tr>
    </w:tbl>
    <w:p w14:paraId="2D176A88" w14:textId="77777777" w:rsidR="006C139B" w:rsidRDefault="006C139B" w:rsidP="00BF54D2">
      <w:pPr>
        <w:rPr>
          <w:rFonts w:eastAsiaTheme="minorEastAsia"/>
        </w:rPr>
      </w:pPr>
    </w:p>
    <w:p w14:paraId="4B1B1DBE" w14:textId="3F9C29ED" w:rsidR="0054480B" w:rsidRDefault="0054480B" w:rsidP="006C139B">
      <w:pPr>
        <w:pStyle w:val="Heading2"/>
        <w:rPr>
          <w:rFonts w:eastAsiaTheme="minorEastAsia"/>
        </w:rPr>
      </w:pPr>
      <w:r>
        <w:rPr>
          <w:rFonts w:eastAsiaTheme="minorEastAsia"/>
        </w:rPr>
        <w:t>ERCOT Price Model</w:t>
      </w:r>
    </w:p>
    <w:p w14:paraId="65014B07" w14:textId="52F5693A" w:rsidR="0054480B" w:rsidRDefault="00AC65C6" w:rsidP="0054480B">
      <w:r>
        <w:t xml:space="preserve">Some validation of price predictions can be achieved through corroboration from the ERCOT price model. </w:t>
      </w:r>
      <w:r w:rsidR="001C4D89">
        <w:t xml:space="preserve">Figure 2 shows the results of running the ERCOT Price model under the same three scenarios </w:t>
      </w:r>
      <w:r w:rsidR="001C4D89">
        <w:lastRenderedPageBreak/>
        <w:t>applied to my linear model: a base case, a high economic growth case, and a low-cost renewables case. Table 1 shows the specific inputs used to model these three scenarios.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250"/>
        <w:gridCol w:w="2070"/>
        <w:gridCol w:w="2430"/>
      </w:tblGrid>
      <w:tr w:rsidR="001C4D89" w:rsidRPr="001C4D89" w14:paraId="7F48B74C" w14:textId="77777777" w:rsidTr="001C4D89">
        <w:trPr>
          <w:trHeight w:val="300"/>
        </w:trPr>
        <w:tc>
          <w:tcPr>
            <w:tcW w:w="8455" w:type="dxa"/>
            <w:gridSpan w:val="4"/>
            <w:shd w:val="clear" w:color="auto" w:fill="auto"/>
            <w:noWrap/>
            <w:vAlign w:val="bottom"/>
          </w:tcPr>
          <w:p w14:paraId="75595617" w14:textId="6325DF0F" w:rsidR="001C4D89" w:rsidRPr="001C4D89" w:rsidRDefault="001C4D89" w:rsidP="001C4D89">
            <w:pPr>
              <w:spacing w:after="0" w:line="240" w:lineRule="auto"/>
              <w:rPr>
                <w:rFonts w:ascii="Arial" w:eastAsia="Times New Roman" w:hAnsi="Arial" w:cs="Arial"/>
                <w:sz w:val="20"/>
                <w:szCs w:val="20"/>
              </w:rPr>
            </w:pPr>
            <w:r>
              <w:rPr>
                <w:rFonts w:ascii="Arial" w:eastAsia="Times New Roman" w:hAnsi="Arial" w:cs="Arial"/>
                <w:sz w:val="20"/>
                <w:szCs w:val="20"/>
              </w:rPr>
              <w:t>Table 1: ERCOT Price Model Inputs</w:t>
            </w:r>
          </w:p>
        </w:tc>
      </w:tr>
      <w:tr w:rsidR="001C4D89" w:rsidRPr="001C4D89" w14:paraId="5618FC83" w14:textId="77777777" w:rsidTr="001C4D89">
        <w:trPr>
          <w:trHeight w:val="300"/>
        </w:trPr>
        <w:tc>
          <w:tcPr>
            <w:tcW w:w="1705" w:type="dxa"/>
            <w:shd w:val="clear" w:color="auto" w:fill="auto"/>
            <w:noWrap/>
            <w:vAlign w:val="bottom"/>
          </w:tcPr>
          <w:p w14:paraId="7E2E9C83" w14:textId="77777777" w:rsidR="001C4D89" w:rsidRPr="001C4D89" w:rsidRDefault="001C4D89" w:rsidP="001C4D89">
            <w:pPr>
              <w:spacing w:after="0" w:line="240" w:lineRule="auto"/>
              <w:rPr>
                <w:rFonts w:ascii="Calibri" w:eastAsia="Times New Roman" w:hAnsi="Calibri" w:cs="Calibri"/>
              </w:rPr>
            </w:pPr>
          </w:p>
        </w:tc>
        <w:tc>
          <w:tcPr>
            <w:tcW w:w="2250" w:type="dxa"/>
            <w:shd w:val="clear" w:color="auto" w:fill="auto"/>
            <w:noWrap/>
            <w:vAlign w:val="bottom"/>
          </w:tcPr>
          <w:p w14:paraId="5D374207" w14:textId="426042EE" w:rsidR="001C4D89" w:rsidRPr="001C4D89" w:rsidRDefault="001C4D89" w:rsidP="001C4D89">
            <w:pPr>
              <w:spacing w:after="0" w:line="240" w:lineRule="auto"/>
              <w:jc w:val="center"/>
              <w:rPr>
                <w:rFonts w:ascii="Arial" w:eastAsia="Times New Roman" w:hAnsi="Arial" w:cs="Arial"/>
                <w:b/>
                <w:bCs/>
                <w:sz w:val="20"/>
                <w:szCs w:val="20"/>
              </w:rPr>
            </w:pPr>
            <w:r w:rsidRPr="001C4D89">
              <w:rPr>
                <w:rFonts w:ascii="Arial" w:eastAsia="Times New Roman" w:hAnsi="Arial" w:cs="Arial"/>
                <w:b/>
                <w:bCs/>
                <w:sz w:val="20"/>
                <w:szCs w:val="20"/>
              </w:rPr>
              <w:t>Base Case</w:t>
            </w:r>
          </w:p>
        </w:tc>
        <w:tc>
          <w:tcPr>
            <w:tcW w:w="2070" w:type="dxa"/>
            <w:shd w:val="clear" w:color="auto" w:fill="auto"/>
            <w:noWrap/>
            <w:vAlign w:val="bottom"/>
          </w:tcPr>
          <w:p w14:paraId="2BECEAE0" w14:textId="4DF6DA5A" w:rsidR="001C4D89" w:rsidRPr="001C4D89" w:rsidRDefault="001C4D89" w:rsidP="001C4D89">
            <w:pPr>
              <w:spacing w:after="0" w:line="240" w:lineRule="auto"/>
              <w:jc w:val="center"/>
              <w:rPr>
                <w:rFonts w:ascii="Arial" w:eastAsia="Times New Roman" w:hAnsi="Arial" w:cs="Arial"/>
                <w:b/>
                <w:bCs/>
                <w:sz w:val="20"/>
                <w:szCs w:val="20"/>
              </w:rPr>
            </w:pPr>
            <w:r w:rsidRPr="001C4D89">
              <w:rPr>
                <w:rFonts w:ascii="Arial" w:eastAsia="Times New Roman" w:hAnsi="Arial" w:cs="Arial"/>
                <w:b/>
                <w:bCs/>
                <w:sz w:val="20"/>
                <w:szCs w:val="20"/>
              </w:rPr>
              <w:t>High Econ. Growth</w:t>
            </w:r>
          </w:p>
        </w:tc>
        <w:tc>
          <w:tcPr>
            <w:tcW w:w="2430" w:type="dxa"/>
            <w:shd w:val="clear" w:color="auto" w:fill="auto"/>
            <w:noWrap/>
            <w:vAlign w:val="bottom"/>
          </w:tcPr>
          <w:p w14:paraId="3AFB4F2B" w14:textId="487EC0F0" w:rsidR="001C4D89" w:rsidRPr="001C4D89" w:rsidRDefault="001C4D89" w:rsidP="001C4D89">
            <w:pPr>
              <w:spacing w:after="0" w:line="240" w:lineRule="auto"/>
              <w:jc w:val="center"/>
              <w:rPr>
                <w:rFonts w:ascii="Arial" w:eastAsia="Times New Roman" w:hAnsi="Arial" w:cs="Arial"/>
                <w:b/>
                <w:bCs/>
                <w:sz w:val="20"/>
                <w:szCs w:val="20"/>
              </w:rPr>
            </w:pPr>
            <w:r w:rsidRPr="001C4D89">
              <w:rPr>
                <w:rFonts w:ascii="Arial" w:eastAsia="Times New Roman" w:hAnsi="Arial" w:cs="Arial"/>
                <w:b/>
                <w:bCs/>
                <w:sz w:val="20"/>
                <w:szCs w:val="20"/>
              </w:rPr>
              <w:t>Low-Cost Renewables</w:t>
            </w:r>
          </w:p>
        </w:tc>
      </w:tr>
      <w:tr w:rsidR="001C4D89" w:rsidRPr="001C4D89" w14:paraId="04B65CC5" w14:textId="77777777" w:rsidTr="001C4D89">
        <w:trPr>
          <w:trHeight w:val="300"/>
        </w:trPr>
        <w:tc>
          <w:tcPr>
            <w:tcW w:w="1705" w:type="dxa"/>
            <w:shd w:val="clear" w:color="auto" w:fill="auto"/>
            <w:noWrap/>
            <w:vAlign w:val="bottom"/>
            <w:hideMark/>
          </w:tcPr>
          <w:p w14:paraId="63CF5AA6"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Natural Gas</w:t>
            </w:r>
          </w:p>
        </w:tc>
        <w:tc>
          <w:tcPr>
            <w:tcW w:w="2250" w:type="dxa"/>
            <w:shd w:val="clear" w:color="auto" w:fill="auto"/>
            <w:noWrap/>
            <w:vAlign w:val="bottom"/>
            <w:hideMark/>
          </w:tcPr>
          <w:p w14:paraId="24D58865"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Natural Gas-Med</w:t>
            </w:r>
          </w:p>
        </w:tc>
        <w:tc>
          <w:tcPr>
            <w:tcW w:w="2070" w:type="dxa"/>
            <w:shd w:val="clear" w:color="auto" w:fill="auto"/>
            <w:noWrap/>
            <w:vAlign w:val="bottom"/>
            <w:hideMark/>
          </w:tcPr>
          <w:p w14:paraId="2EDE485C"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Natural Gas-High</w:t>
            </w:r>
          </w:p>
        </w:tc>
        <w:tc>
          <w:tcPr>
            <w:tcW w:w="2430" w:type="dxa"/>
            <w:shd w:val="clear" w:color="auto" w:fill="auto"/>
            <w:noWrap/>
            <w:vAlign w:val="bottom"/>
            <w:hideMark/>
          </w:tcPr>
          <w:p w14:paraId="208AB7B5"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Natural Gas-Med</w:t>
            </w:r>
          </w:p>
        </w:tc>
      </w:tr>
      <w:tr w:rsidR="001C4D89" w:rsidRPr="001C4D89" w14:paraId="202E697A" w14:textId="77777777" w:rsidTr="001C4D89">
        <w:trPr>
          <w:trHeight w:val="300"/>
        </w:trPr>
        <w:tc>
          <w:tcPr>
            <w:tcW w:w="1705" w:type="dxa"/>
            <w:shd w:val="clear" w:color="auto" w:fill="auto"/>
            <w:noWrap/>
            <w:vAlign w:val="bottom"/>
            <w:hideMark/>
          </w:tcPr>
          <w:p w14:paraId="6311A604"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Renewable</w:t>
            </w:r>
          </w:p>
        </w:tc>
        <w:tc>
          <w:tcPr>
            <w:tcW w:w="2250" w:type="dxa"/>
            <w:shd w:val="clear" w:color="auto" w:fill="auto"/>
            <w:noWrap/>
            <w:vAlign w:val="bottom"/>
            <w:hideMark/>
          </w:tcPr>
          <w:p w14:paraId="371AC6FD"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Renewable-Med</w:t>
            </w:r>
          </w:p>
        </w:tc>
        <w:tc>
          <w:tcPr>
            <w:tcW w:w="2070" w:type="dxa"/>
            <w:shd w:val="clear" w:color="auto" w:fill="auto"/>
            <w:noWrap/>
            <w:vAlign w:val="bottom"/>
            <w:hideMark/>
          </w:tcPr>
          <w:p w14:paraId="1950A218"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Renewable-Med</w:t>
            </w:r>
          </w:p>
        </w:tc>
        <w:tc>
          <w:tcPr>
            <w:tcW w:w="2430" w:type="dxa"/>
            <w:shd w:val="clear" w:color="auto" w:fill="auto"/>
            <w:noWrap/>
            <w:vAlign w:val="bottom"/>
            <w:hideMark/>
          </w:tcPr>
          <w:p w14:paraId="45671F73"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Renewable-Low</w:t>
            </w:r>
          </w:p>
        </w:tc>
      </w:tr>
      <w:tr w:rsidR="001C4D89" w:rsidRPr="001C4D89" w14:paraId="2C9FB519" w14:textId="77777777" w:rsidTr="001C4D89">
        <w:trPr>
          <w:trHeight w:val="300"/>
        </w:trPr>
        <w:tc>
          <w:tcPr>
            <w:tcW w:w="1705" w:type="dxa"/>
            <w:shd w:val="clear" w:color="auto" w:fill="auto"/>
            <w:noWrap/>
            <w:vAlign w:val="bottom"/>
            <w:hideMark/>
          </w:tcPr>
          <w:p w14:paraId="2F9139F9"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Policy</w:t>
            </w:r>
          </w:p>
        </w:tc>
        <w:tc>
          <w:tcPr>
            <w:tcW w:w="2250" w:type="dxa"/>
            <w:shd w:val="clear" w:color="auto" w:fill="auto"/>
            <w:noWrap/>
            <w:vAlign w:val="bottom"/>
            <w:hideMark/>
          </w:tcPr>
          <w:p w14:paraId="7169D853"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Status Quo</w:t>
            </w:r>
          </w:p>
        </w:tc>
        <w:tc>
          <w:tcPr>
            <w:tcW w:w="2070" w:type="dxa"/>
            <w:shd w:val="clear" w:color="auto" w:fill="auto"/>
            <w:noWrap/>
            <w:vAlign w:val="bottom"/>
            <w:hideMark/>
          </w:tcPr>
          <w:p w14:paraId="049CE450"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Status Quo</w:t>
            </w:r>
          </w:p>
        </w:tc>
        <w:tc>
          <w:tcPr>
            <w:tcW w:w="2430" w:type="dxa"/>
            <w:shd w:val="clear" w:color="auto" w:fill="auto"/>
            <w:noWrap/>
            <w:vAlign w:val="bottom"/>
            <w:hideMark/>
          </w:tcPr>
          <w:p w14:paraId="11EF83CB"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Status Quo</w:t>
            </w:r>
          </w:p>
        </w:tc>
      </w:tr>
      <w:tr w:rsidR="001C4D89" w:rsidRPr="001C4D89" w14:paraId="0CC9982E" w14:textId="77777777" w:rsidTr="001C4D89">
        <w:trPr>
          <w:trHeight w:val="300"/>
        </w:trPr>
        <w:tc>
          <w:tcPr>
            <w:tcW w:w="1705" w:type="dxa"/>
            <w:shd w:val="clear" w:color="auto" w:fill="auto"/>
            <w:noWrap/>
            <w:vAlign w:val="bottom"/>
            <w:hideMark/>
          </w:tcPr>
          <w:p w14:paraId="05F35C53"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Peak %</w:t>
            </w:r>
          </w:p>
        </w:tc>
        <w:tc>
          <w:tcPr>
            <w:tcW w:w="2250" w:type="dxa"/>
            <w:shd w:val="clear" w:color="auto" w:fill="auto"/>
            <w:noWrap/>
            <w:vAlign w:val="bottom"/>
            <w:hideMark/>
          </w:tcPr>
          <w:p w14:paraId="64298044"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0.75%</w:t>
            </w:r>
          </w:p>
        </w:tc>
        <w:tc>
          <w:tcPr>
            <w:tcW w:w="2070" w:type="dxa"/>
            <w:shd w:val="clear" w:color="auto" w:fill="auto"/>
            <w:noWrap/>
            <w:vAlign w:val="bottom"/>
            <w:hideMark/>
          </w:tcPr>
          <w:p w14:paraId="272A9FAC"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0.95%</w:t>
            </w:r>
          </w:p>
        </w:tc>
        <w:tc>
          <w:tcPr>
            <w:tcW w:w="2430" w:type="dxa"/>
            <w:shd w:val="clear" w:color="auto" w:fill="auto"/>
            <w:noWrap/>
            <w:vAlign w:val="bottom"/>
            <w:hideMark/>
          </w:tcPr>
          <w:p w14:paraId="293C63B3"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0.75%</w:t>
            </w:r>
          </w:p>
        </w:tc>
      </w:tr>
      <w:tr w:rsidR="001C4D89" w:rsidRPr="001C4D89" w14:paraId="68F2EC1F" w14:textId="77777777" w:rsidTr="001C4D89">
        <w:trPr>
          <w:trHeight w:val="300"/>
        </w:trPr>
        <w:tc>
          <w:tcPr>
            <w:tcW w:w="1705" w:type="dxa"/>
            <w:shd w:val="clear" w:color="auto" w:fill="auto"/>
            <w:noWrap/>
            <w:vAlign w:val="bottom"/>
            <w:hideMark/>
          </w:tcPr>
          <w:p w14:paraId="2CDFE17F"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Off Peak %</w:t>
            </w:r>
          </w:p>
        </w:tc>
        <w:tc>
          <w:tcPr>
            <w:tcW w:w="2250" w:type="dxa"/>
            <w:shd w:val="clear" w:color="auto" w:fill="auto"/>
            <w:noWrap/>
            <w:vAlign w:val="bottom"/>
            <w:hideMark/>
          </w:tcPr>
          <w:p w14:paraId="23DA953D"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0.20%</w:t>
            </w:r>
          </w:p>
        </w:tc>
        <w:tc>
          <w:tcPr>
            <w:tcW w:w="2070" w:type="dxa"/>
            <w:shd w:val="clear" w:color="auto" w:fill="auto"/>
            <w:noWrap/>
            <w:vAlign w:val="bottom"/>
            <w:hideMark/>
          </w:tcPr>
          <w:p w14:paraId="139BFF4F"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0.30%</w:t>
            </w:r>
          </w:p>
        </w:tc>
        <w:tc>
          <w:tcPr>
            <w:tcW w:w="2430" w:type="dxa"/>
            <w:shd w:val="clear" w:color="auto" w:fill="auto"/>
            <w:noWrap/>
            <w:vAlign w:val="bottom"/>
            <w:hideMark/>
          </w:tcPr>
          <w:p w14:paraId="629E2B60"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0.20%</w:t>
            </w:r>
          </w:p>
        </w:tc>
      </w:tr>
    </w:tbl>
    <w:p w14:paraId="755A1CBE" w14:textId="2BD2C3B1" w:rsidR="001C4D89" w:rsidRDefault="001C4D89" w:rsidP="0054480B"/>
    <w:p w14:paraId="39B27F1A" w14:textId="17CCA943" w:rsidR="001C4D89" w:rsidRDefault="001C4D89" w:rsidP="0054480B">
      <w:r>
        <w:t xml:space="preserve">In Figure 2, the ERCOT Price Model predictions show some similarities to the results received with my linear model. Notably, the magnitude of the </w:t>
      </w:r>
      <w:r w:rsidR="00033D0E">
        <w:t xml:space="preserve">predictions </w:t>
      </w:r>
      <w:r w:rsidR="00E431CC">
        <w:t>is</w:t>
      </w:r>
      <w:r w:rsidR="00033D0E">
        <w:t xml:space="preserve"> uniformly higher in Figure 2 than Figure 1. This is due largely to my decision to model median LMPs, as compared to the ERCOT Price model’s mean predictions. As previously discussed, my decision was driven by the skewness of the price distribution. However, assuming the approximate shape of the price distribution remains the same over time, the trend of prices in Figures 1 and 2 can be directly compared, if not their exact magnitude. In both Figures 1 and 2, the high economic growth scenario exhibits the highest long-term price predictions. It is possible that this effect would be magnified if I selected higher peak and off-peak percentages as inputs to the ERCOT Price Model; </w:t>
      </w:r>
      <w:r w:rsidR="000A541D">
        <w:t>engineering judgement was all that guided the selection of the current values. In both Figures 1 and 2, the base scenario and low-cost renewables displayed relatively flat prices over prediction horizon, with the low-cost renewable scenario displaying the lowest price predictions. Overall, while my linear model and the ERCOT Price model display differences in magnitude and modest difference in pattern, the similarities in overall trend (over time and relative to each other) helps corroborate my linear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4D89" w14:paraId="6F1DA137" w14:textId="77777777" w:rsidTr="00FE0095">
        <w:trPr>
          <w:jc w:val="center"/>
        </w:trPr>
        <w:tc>
          <w:tcPr>
            <w:tcW w:w="9350" w:type="dxa"/>
          </w:tcPr>
          <w:p w14:paraId="05F04F44" w14:textId="77777777" w:rsidR="001C4D89" w:rsidRDefault="001C4D89" w:rsidP="00FE0095">
            <w:r>
              <w:rPr>
                <w:noProof/>
              </w:rPr>
              <w:drawing>
                <wp:inline distT="0" distB="0" distL="0" distR="0" wp14:anchorId="1CB91AAC" wp14:editId="0440F8B4">
                  <wp:extent cx="5181600" cy="2915285"/>
                  <wp:effectExtent l="0" t="0" r="0" b="18415"/>
                  <wp:docPr id="3" name="Chart 3">
                    <a:extLst xmlns:a="http://schemas.openxmlformats.org/drawingml/2006/main">
                      <a:ext uri="{FF2B5EF4-FFF2-40B4-BE49-F238E27FC236}">
                        <a16:creationId xmlns:a16="http://schemas.microsoft.com/office/drawing/2014/main" id="{8DA6AE50-8432-4D55-8CB7-C5CCC7379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1C4D89" w14:paraId="56DAA357" w14:textId="77777777" w:rsidTr="00FE0095">
        <w:trPr>
          <w:jc w:val="center"/>
        </w:trPr>
        <w:tc>
          <w:tcPr>
            <w:tcW w:w="9350" w:type="dxa"/>
          </w:tcPr>
          <w:p w14:paraId="5EBEC00D" w14:textId="77777777" w:rsidR="001C4D89" w:rsidRDefault="001C4D89" w:rsidP="00FE0095">
            <w:pPr>
              <w:jc w:val="center"/>
            </w:pPr>
            <w:r>
              <w:t>Figure 2: ERCOT Price Model LMP Average Predictions</w:t>
            </w:r>
          </w:p>
        </w:tc>
      </w:tr>
    </w:tbl>
    <w:p w14:paraId="40C94F34" w14:textId="77777777" w:rsidR="001C4D89" w:rsidRPr="0054480B" w:rsidRDefault="001C4D89" w:rsidP="0054480B"/>
    <w:p w14:paraId="57F418DC" w14:textId="1261C04E" w:rsidR="006C139B" w:rsidRDefault="006C139B" w:rsidP="006C139B">
      <w:pPr>
        <w:pStyle w:val="Heading2"/>
        <w:rPr>
          <w:rFonts w:eastAsiaTheme="minorEastAsia"/>
        </w:rPr>
      </w:pPr>
      <w:r>
        <w:rPr>
          <w:rFonts w:eastAsiaTheme="minorEastAsia"/>
        </w:rPr>
        <w:lastRenderedPageBreak/>
        <w:t>Model Limitations</w:t>
      </w:r>
    </w:p>
    <w:p w14:paraId="01F12930" w14:textId="5437A01F" w:rsidR="00F8656D" w:rsidRDefault="00EF7572" w:rsidP="00BF54D2">
      <w:pPr>
        <w:rPr>
          <w:rFonts w:eastAsiaTheme="minorEastAsia"/>
        </w:rPr>
      </w:pPr>
      <w:r>
        <w:rPr>
          <w:rFonts w:eastAsiaTheme="minorEastAsia"/>
        </w:rPr>
        <w:t xml:space="preserve">My linear </w:t>
      </w:r>
      <w:r w:rsidR="006C139B">
        <w:rPr>
          <w:rFonts w:eastAsiaTheme="minorEastAsia"/>
        </w:rPr>
        <w:t>model depends heavily on the accuracy of natural gas and renewable capital costs predictions, as well as GDP predictions.</w:t>
      </w:r>
      <w:r>
        <w:rPr>
          <w:rFonts w:eastAsiaTheme="minorEastAsia"/>
        </w:rPr>
        <w:t xml:space="preserve"> This recalls the modeling adage: “garbage in equals garbage out.” While I certainly would not call the forecasts used “garbage” it is worth nothing that the predictive accuracy of the model is limited by the accuracy of its inputs. However, the entities from which the inputs are sourced, the EIA, ERCOT, and the US Bureau of Economic Development, are well respected and therefore their forecasts can reasonably be trusted. Furthermore, lacking any alternative, the use of such forecasts is necessary to the modeling process.</w:t>
      </w:r>
    </w:p>
    <w:p w14:paraId="0DE5A76D" w14:textId="28F78A5F" w:rsidR="00F8656D" w:rsidRPr="00D42D31" w:rsidRDefault="00EF7572" w:rsidP="00BF54D2">
      <w:pPr>
        <w:rPr>
          <w:rFonts w:eastAsiaTheme="minorEastAsia"/>
        </w:rPr>
      </w:pPr>
      <w:r>
        <w:rPr>
          <w:rFonts w:eastAsiaTheme="minorEastAsia"/>
        </w:rPr>
        <w:t xml:space="preserve">Another limitation of the linear model I have selected is its simplicity. It is a linear function of drivers known to be important in determining ERCOT prices, but neglects factors such as planned transmission projects, </w:t>
      </w:r>
      <w:r w:rsidR="00DE0231">
        <w:rPr>
          <w:rFonts w:eastAsiaTheme="minorEastAsia"/>
        </w:rPr>
        <w:t xml:space="preserve">substantial </w:t>
      </w:r>
      <w:r>
        <w:rPr>
          <w:rFonts w:eastAsiaTheme="minorEastAsia"/>
        </w:rPr>
        <w:t>policy changes</w:t>
      </w:r>
      <w:r w:rsidR="00DE0231">
        <w:rPr>
          <w:rFonts w:eastAsiaTheme="minorEastAsia"/>
        </w:rPr>
        <w:t>, and generation mix. These more qualitative or reactive factors cannot be directly incorporated to the structure of the linear model. Moreover, the model is trained on the years 2011 to 2019, and so significant deviation from the norms of these years (for example a pandemic) would not be included in the model’s predictive range. Nevertheless, the linear model has the advantage of being easily interpretable and transparent. Appendix B notes each predictor’s coefficient and level of significance, making it much clearer than the ERCOT price model. It is also easily updated or modified if more predictors become available to us for modeling purposes. For example, after the election and depending on its result, our team plans to incorporate the possibility of a carbon tax, something we evaluate as more likely under a Biden administration.</w:t>
      </w:r>
    </w:p>
    <w:p w14:paraId="29AC77E7" w14:textId="4020145D" w:rsidR="00492C60" w:rsidRDefault="00CE69A0" w:rsidP="00492C60">
      <w:pPr>
        <w:pStyle w:val="Heading1"/>
      </w:pPr>
      <w:r>
        <w:t>Life</w:t>
      </w:r>
      <w:r w:rsidR="00DF7CC8">
        <w:t>c</w:t>
      </w:r>
      <w:r>
        <w:t>ycle Analysis</w:t>
      </w:r>
      <w:r w:rsidR="00DF7CC8">
        <w:t xml:space="preserve"> (LCA)</w:t>
      </w:r>
    </w:p>
    <w:p w14:paraId="606C450C" w14:textId="03E21E27" w:rsidR="00DF7CC8" w:rsidRPr="00DF7CC8" w:rsidRDefault="00DF7CC8" w:rsidP="00DF7CC8">
      <w:r>
        <w:t>A Lifecycle analysis (LCA) was performed to analyze the emissions and water use generated by the candidate natural gas plants in our portfolio, as well as the water use for renewable energies in our portfolio. The LCA</w:t>
      </w:r>
      <w:r w:rsidR="00F305AE">
        <w:t xml:space="preserve"> for each generation source</w:t>
      </w:r>
      <w:r>
        <w:t xml:space="preserve"> </w:t>
      </w:r>
      <w:r w:rsidR="00E66834">
        <w:t xml:space="preserve">is composed of three parts: </w:t>
      </w:r>
      <w:r w:rsidR="00F305AE">
        <w:t>first the capacity factor is calculated, then plant’s net generation is computed, and finally the total emissions are calculated using the generation and the per-MWh rate of emissions or water use.</w:t>
      </w:r>
    </w:p>
    <w:p w14:paraId="1B8764CF" w14:textId="5806BFCF" w:rsidR="002A3665" w:rsidRDefault="002A3665" w:rsidP="002A3665">
      <w:pPr>
        <w:pStyle w:val="Heading2"/>
      </w:pPr>
      <w:r>
        <w:t>CCGT Analysis</w:t>
      </w:r>
    </w:p>
    <w:p w14:paraId="0B609F55" w14:textId="4F1E28A2" w:rsidR="00D92AB4" w:rsidRDefault="00492C60" w:rsidP="00492C60">
      <w:r>
        <w:t xml:space="preserve">The first step in the life cycle analysis of the CCGTs in both Houston in San Antonio was computing their capacity factors. </w:t>
      </w:r>
      <w:r w:rsidR="00570ED9">
        <w:t xml:space="preserve">The </w:t>
      </w:r>
      <w:r>
        <w:t>Houston</w:t>
      </w:r>
      <w:r w:rsidR="00570ED9">
        <w:t xml:space="preserve"> build</w:t>
      </w:r>
      <w:r>
        <w:t xml:space="preserve"> offers three candidate turbines, each with their respective heat rates, while the San Antonio site requires analysis of only one turbine. These sites and their respective options are summarized in Table 1 below. The capacity factor of each of these potential projects was assumed to be the average hypothetical capacity factor for the years 2011 to 2019, computed by comparing the turbine’s marginal cost to the LMP in the plant’s location. </w:t>
      </w:r>
      <w:r w:rsidR="00D92AB4">
        <w:t>This implicitly assumes that the plant’s capacity factor for 2011 to 2019 would be the same as from 2020 to 2039. While certainly a simplification, given the coarse aggregation of forecasts (LMP and gas prices) for 2020 to 2039, calculating the capacity factor using these values would fail to capture a gas plant’s ability to spin up and down quickly in response to LMPs. The time resolution of the forecast data is significantly coarse than a gas plant’s spin up time, which is a large part of how natural gas plants stay profitable. It was therefore deemed preferable to extrapolate each turbine’s capacity factor based on 2011 to 2019 gas prices and LMPs.</w:t>
      </w:r>
    </w:p>
    <w:p w14:paraId="6208A03F" w14:textId="6C089BA9" w:rsidR="00492C60" w:rsidRPr="00921E7C" w:rsidRDefault="00D92AB4" w:rsidP="00492C60">
      <w:r>
        <w:t xml:space="preserve">The capacity factor is the average percentage of time intervals where the LMP exceeds the turbine’s marginal cost. </w:t>
      </w:r>
      <w:r w:rsidR="00492C60">
        <w:t xml:space="preserve">The marginal cost </w:t>
      </w:r>
      <w:r>
        <w:t xml:space="preserve">for each turbine </w:t>
      </w:r>
      <w:r w:rsidR="00492C60">
        <w:t>was computed using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921E7C" w14:paraId="4DC92C12" w14:textId="77777777" w:rsidTr="00921E7C">
        <w:tc>
          <w:tcPr>
            <w:tcW w:w="8905" w:type="dxa"/>
          </w:tcPr>
          <w:p w14:paraId="11578717" w14:textId="7872AE01" w:rsidR="00921E7C" w:rsidRDefault="00921E7C" w:rsidP="00492C60">
            <w:pPr>
              <w:rPr>
                <w:rFonts w:eastAsiaTheme="minorEastAsia"/>
              </w:rPr>
            </w:pPr>
            <m:oMathPara>
              <m:oMath>
                <m:r>
                  <w:rPr>
                    <w:rFonts w:ascii="Cambria Math" w:hAnsi="Cambria Math"/>
                  </w:rPr>
                  <w:lastRenderedPageBreak/>
                  <m:t>Marginal Cost=Pric</m:t>
                </m:r>
                <m:sSub>
                  <m:sSubPr>
                    <m:ctrlPr>
                      <w:rPr>
                        <w:rFonts w:ascii="Cambria Math" w:hAnsi="Cambria Math"/>
                        <w:i/>
                      </w:rPr>
                    </m:ctrlPr>
                  </m:sSubPr>
                  <m:e>
                    <m:r>
                      <w:rPr>
                        <w:rFonts w:ascii="Cambria Math" w:hAnsi="Cambria Math"/>
                      </w:rPr>
                      <m:t>e</m:t>
                    </m:r>
                  </m:e>
                  <m:sub>
                    <m:r>
                      <w:rPr>
                        <w:rFonts w:ascii="Cambria Math" w:hAnsi="Cambria Math"/>
                      </w:rPr>
                      <m:t>NG</m:t>
                    </m:r>
                  </m:sub>
                </m:sSub>
                <m:r>
                  <w:rPr>
                    <w:rFonts w:ascii="Cambria Math" w:hAnsi="Cambria Math"/>
                  </w:rPr>
                  <m:t>⋅Heat Rate</m:t>
                </m:r>
              </m:oMath>
            </m:oMathPara>
          </w:p>
        </w:tc>
        <w:tc>
          <w:tcPr>
            <w:tcW w:w="445" w:type="dxa"/>
          </w:tcPr>
          <w:p w14:paraId="65E643F0" w14:textId="6AFBCC5B" w:rsidR="00921E7C" w:rsidRDefault="00921E7C" w:rsidP="00492C60">
            <w:pPr>
              <w:rPr>
                <w:rFonts w:eastAsiaTheme="minorEastAsia"/>
              </w:rPr>
            </w:pPr>
            <w:r>
              <w:rPr>
                <w:rFonts w:eastAsiaTheme="minorEastAsia"/>
              </w:rPr>
              <w:t>(1)</w:t>
            </w:r>
          </w:p>
        </w:tc>
      </w:tr>
    </w:tbl>
    <w:p w14:paraId="24759C24" w14:textId="77777777" w:rsidR="00C60C5D" w:rsidRDefault="00C60C5D" w:rsidP="00492C60">
      <w:pPr>
        <w:rPr>
          <w:rFonts w:eastAsiaTheme="minorEastAsia"/>
        </w:rPr>
      </w:pPr>
    </w:p>
    <w:p w14:paraId="463E140E" w14:textId="3DABC060" w:rsidR="006B3CD3" w:rsidRDefault="00921E7C" w:rsidP="00492C60">
      <w:pPr>
        <w:rPr>
          <w:rFonts w:eastAsiaTheme="minorEastAsia"/>
        </w:rPr>
      </w:pPr>
      <w:r>
        <w:rPr>
          <w:rFonts w:eastAsiaTheme="minorEastAsia"/>
        </w:rPr>
        <w:t>The annual total emissions were then estimated using equation (2).</w:t>
      </w:r>
      <w:r w:rsidR="00B65EE1">
        <w:rPr>
          <w:rFonts w:eastAsiaTheme="minorEastAsia"/>
        </w:rPr>
        <w:t xml:space="preserve"> Note that there are 8760 hours in a year.</w:t>
      </w:r>
      <w:r w:rsidR="00D1055C">
        <w:rPr>
          <w:rFonts w:eastAsiaTheme="minorEastAsia"/>
        </w:rPr>
        <w:t xml:space="preserve"> These results are shown in Table 2.</w:t>
      </w:r>
      <w:r w:rsidR="00314549">
        <w:rPr>
          <w:rFonts w:eastAsiaTheme="minorEastAsia"/>
        </w:rPr>
        <w:t xml:space="preserve"> Note that two values for NOx are reported for the San Antonio plant in </w:t>
      </w:r>
      <w:r w:rsidR="00421ED4">
        <w:rPr>
          <w:rFonts w:eastAsiaTheme="minorEastAsia"/>
        </w:rPr>
        <w:t>T</w:t>
      </w:r>
      <w:r w:rsidR="00314549">
        <w:rPr>
          <w:rFonts w:eastAsiaTheme="minorEastAsia"/>
        </w:rPr>
        <w:t xml:space="preserve">ables 1 and </w:t>
      </w:r>
      <w:r w:rsidR="00421ED4">
        <w:rPr>
          <w:rFonts w:eastAsiaTheme="minorEastAsia"/>
        </w:rPr>
        <w:t>2, for before and after the SCR is added in 2021 as required by the Clean Air 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996"/>
        <w:gridCol w:w="1620"/>
        <w:gridCol w:w="1260"/>
        <w:gridCol w:w="1080"/>
        <w:gridCol w:w="1080"/>
        <w:gridCol w:w="1080"/>
        <w:gridCol w:w="624"/>
        <w:gridCol w:w="461"/>
      </w:tblGrid>
      <w:tr w:rsidR="00921E7C" w14:paraId="686E2663" w14:textId="77777777" w:rsidTr="00921E7C">
        <w:tc>
          <w:tcPr>
            <w:tcW w:w="8899" w:type="dxa"/>
            <w:gridSpan w:val="8"/>
          </w:tcPr>
          <w:p w14:paraId="796AAAA2" w14:textId="26186AA3" w:rsidR="00921E7C" w:rsidRDefault="00921E7C" w:rsidP="00F95899">
            <w:pPr>
              <w:rPr>
                <w:rFonts w:eastAsiaTheme="minorEastAsia"/>
              </w:rPr>
            </w:pPr>
            <m:oMathPara>
              <m:oMath>
                <m:r>
                  <w:rPr>
                    <w:rFonts w:ascii="Cambria Math" w:hAnsi="Cambria Math"/>
                  </w:rPr>
                  <m:t>Total Emissions=CF⋅8760⋅Capacity⋅ Heat Rate⋅Emissions Rate</m:t>
                </m:r>
              </m:oMath>
            </m:oMathPara>
          </w:p>
        </w:tc>
        <w:tc>
          <w:tcPr>
            <w:tcW w:w="461" w:type="dxa"/>
          </w:tcPr>
          <w:p w14:paraId="0C20FBF2" w14:textId="364351DD" w:rsidR="00921E7C" w:rsidRDefault="00921E7C" w:rsidP="00F95899">
            <w:pPr>
              <w:rPr>
                <w:rFonts w:eastAsiaTheme="minorEastAsia"/>
              </w:rPr>
            </w:pPr>
            <w:r>
              <w:rPr>
                <w:rFonts w:eastAsiaTheme="minorEastAsia"/>
              </w:rPr>
              <w:t>(</w:t>
            </w:r>
            <w:r w:rsidR="00B65EE1">
              <w:rPr>
                <w:rFonts w:eastAsiaTheme="minorEastAsia"/>
              </w:rPr>
              <w:t>2</w:t>
            </w:r>
            <w:r>
              <w:rPr>
                <w:rFonts w:eastAsiaTheme="minorEastAsia"/>
              </w:rPr>
              <w:t>)</w:t>
            </w:r>
          </w:p>
        </w:tc>
      </w:tr>
      <w:tr w:rsidR="00921E7C" w14:paraId="6B7EEF95" w14:textId="77777777" w:rsidTr="00921E7C">
        <w:tc>
          <w:tcPr>
            <w:tcW w:w="8899" w:type="dxa"/>
            <w:gridSpan w:val="8"/>
          </w:tcPr>
          <w:p w14:paraId="42BE1B8E" w14:textId="77777777" w:rsidR="00921E7C" w:rsidRDefault="00921E7C" w:rsidP="00F95899">
            <w:pPr>
              <w:rPr>
                <w:rFonts w:ascii="Calibri" w:eastAsia="Times New Roman" w:hAnsi="Calibri" w:cs="Times New Roman"/>
              </w:rPr>
            </w:pPr>
          </w:p>
        </w:tc>
        <w:tc>
          <w:tcPr>
            <w:tcW w:w="461" w:type="dxa"/>
          </w:tcPr>
          <w:p w14:paraId="1233E257" w14:textId="77777777" w:rsidR="00921E7C" w:rsidRDefault="00921E7C" w:rsidP="00F95899">
            <w:pPr>
              <w:rPr>
                <w:rFonts w:eastAsiaTheme="minorEastAsia"/>
              </w:rPr>
            </w:pPr>
          </w:p>
        </w:tc>
      </w:tr>
      <w:tr w:rsidR="00930F5F" w14:paraId="7EBA5901"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9"/>
          </w:tcPr>
          <w:p w14:paraId="43DFE0A8" w14:textId="05A3B608" w:rsidR="00930F5F" w:rsidRDefault="00930F5F" w:rsidP="00CE69A0">
            <w:r>
              <w:t>Table 1: CCGT Life Cycle Analysis Emissions</w:t>
            </w:r>
            <w:r w:rsidR="006B3CD3">
              <w:t xml:space="preserve"> Rate</w:t>
            </w:r>
          </w:p>
        </w:tc>
      </w:tr>
      <w:tr w:rsidR="006B3CD3" w14:paraId="69182201"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4DF5829C" w14:textId="289B2FFC" w:rsidR="00930F5F" w:rsidRPr="006B3CD3" w:rsidRDefault="00930F5F" w:rsidP="006B3CD3">
            <w:pPr>
              <w:jc w:val="center"/>
              <w:rPr>
                <w:b/>
                <w:bCs/>
              </w:rPr>
            </w:pPr>
            <w:r w:rsidRPr="006B3CD3">
              <w:rPr>
                <w:b/>
                <w:bCs/>
              </w:rPr>
              <w:t>Turbine</w:t>
            </w:r>
          </w:p>
        </w:tc>
        <w:tc>
          <w:tcPr>
            <w:tcW w:w="996" w:type="dxa"/>
          </w:tcPr>
          <w:p w14:paraId="5EA06F44" w14:textId="4A3479FB" w:rsidR="00930F5F" w:rsidRPr="006B3CD3" w:rsidRDefault="00930F5F" w:rsidP="006B3CD3">
            <w:pPr>
              <w:jc w:val="center"/>
              <w:rPr>
                <w:b/>
                <w:bCs/>
              </w:rPr>
            </w:pPr>
            <w:r w:rsidRPr="006B3CD3">
              <w:rPr>
                <w:b/>
                <w:bCs/>
              </w:rPr>
              <w:t>Location</w:t>
            </w:r>
          </w:p>
        </w:tc>
        <w:tc>
          <w:tcPr>
            <w:tcW w:w="1620" w:type="dxa"/>
          </w:tcPr>
          <w:p w14:paraId="5BF0C574" w14:textId="77777777" w:rsidR="00930F5F" w:rsidRPr="006B3CD3" w:rsidRDefault="00930F5F" w:rsidP="006B3CD3">
            <w:pPr>
              <w:jc w:val="center"/>
              <w:rPr>
                <w:b/>
                <w:bCs/>
              </w:rPr>
            </w:pPr>
            <w:r w:rsidRPr="006B3CD3">
              <w:rPr>
                <w:b/>
                <w:bCs/>
              </w:rPr>
              <w:t>Capacity Factor</w:t>
            </w:r>
          </w:p>
          <w:p w14:paraId="4BD96050" w14:textId="757ECE5C" w:rsidR="00930F5F" w:rsidRPr="006B3CD3" w:rsidRDefault="00930F5F" w:rsidP="006B3CD3">
            <w:pPr>
              <w:jc w:val="center"/>
              <w:rPr>
                <w:b/>
                <w:bCs/>
              </w:rPr>
            </w:pPr>
            <w:r w:rsidRPr="006B3CD3">
              <w:rPr>
                <w:b/>
                <w:bCs/>
              </w:rPr>
              <w:t>(2011-2019)</w:t>
            </w:r>
          </w:p>
        </w:tc>
        <w:tc>
          <w:tcPr>
            <w:tcW w:w="1260" w:type="dxa"/>
          </w:tcPr>
          <w:p w14:paraId="17400139" w14:textId="2F2433AF" w:rsidR="00930F5F" w:rsidRPr="006B3CD3" w:rsidRDefault="00930F5F" w:rsidP="006B3CD3">
            <w:pPr>
              <w:jc w:val="center"/>
              <w:rPr>
                <w:b/>
                <w:bCs/>
              </w:rPr>
            </w:pPr>
            <w:r w:rsidRPr="006B3CD3">
              <w:rPr>
                <w:b/>
                <w:bCs/>
              </w:rPr>
              <w:t xml:space="preserve">Heat Rate </w:t>
            </w:r>
            <w:r w:rsidRPr="006B3CD3">
              <w:rPr>
                <w:b/>
                <w:bCs/>
                <w:sz w:val="20"/>
                <w:szCs w:val="20"/>
              </w:rPr>
              <w:t>(BTU/ kWh)</w:t>
            </w:r>
          </w:p>
        </w:tc>
        <w:tc>
          <w:tcPr>
            <w:tcW w:w="1080" w:type="dxa"/>
          </w:tcPr>
          <w:p w14:paraId="6D50CA61" w14:textId="7195B4A5" w:rsidR="00930F5F" w:rsidRPr="006B3CD3" w:rsidRDefault="00930F5F" w:rsidP="006B3CD3">
            <w:pPr>
              <w:jc w:val="center"/>
              <w:rPr>
                <w:b/>
                <w:bCs/>
              </w:rPr>
            </w:pPr>
            <w:r w:rsidRPr="006B3CD3">
              <w:rPr>
                <w:b/>
                <w:bCs/>
              </w:rPr>
              <w:t xml:space="preserve">Capacity </w:t>
            </w:r>
            <w:r w:rsidRPr="006B3CD3">
              <w:rPr>
                <w:b/>
                <w:bCs/>
                <w:sz w:val="20"/>
                <w:szCs w:val="20"/>
              </w:rPr>
              <w:t>(MW)</w:t>
            </w:r>
          </w:p>
        </w:tc>
        <w:tc>
          <w:tcPr>
            <w:tcW w:w="1080" w:type="dxa"/>
          </w:tcPr>
          <w:p w14:paraId="08651CC6" w14:textId="7E73CAF5" w:rsidR="00930F5F" w:rsidRPr="006B3CD3" w:rsidRDefault="00930F5F" w:rsidP="006B3CD3">
            <w:pPr>
              <w:jc w:val="center"/>
              <w:rPr>
                <w:b/>
                <w:bCs/>
              </w:rPr>
            </w:pPr>
            <w:r w:rsidRPr="006B3CD3">
              <w:rPr>
                <w:b/>
                <w:bCs/>
              </w:rPr>
              <w:t>NO</w:t>
            </w:r>
            <w:r w:rsidRPr="006B3CD3">
              <w:rPr>
                <w:b/>
                <w:bCs/>
                <w:vertAlign w:val="subscript"/>
              </w:rPr>
              <w:t>x</w:t>
            </w:r>
          </w:p>
          <w:p w14:paraId="4F70EBF7" w14:textId="50D9A023" w:rsidR="00930F5F" w:rsidRPr="006B3CD3" w:rsidRDefault="00930F5F" w:rsidP="006B3CD3">
            <w:pPr>
              <w:jc w:val="center"/>
              <w:rPr>
                <w:b/>
                <w:bCs/>
                <w:sz w:val="20"/>
                <w:szCs w:val="20"/>
              </w:rPr>
            </w:pPr>
            <w:r w:rsidRPr="006B3CD3">
              <w:rPr>
                <w:b/>
                <w:bCs/>
                <w:sz w:val="20"/>
                <w:szCs w:val="20"/>
              </w:rPr>
              <w:t>(lb/</w:t>
            </w:r>
            <w:r w:rsidR="00314549">
              <w:rPr>
                <w:b/>
                <w:bCs/>
                <w:sz w:val="20"/>
                <w:szCs w:val="20"/>
              </w:rPr>
              <w:t xml:space="preserve"> MMBTU</w:t>
            </w:r>
            <w:r w:rsidRPr="006B3CD3">
              <w:rPr>
                <w:b/>
                <w:bCs/>
                <w:sz w:val="20"/>
                <w:szCs w:val="20"/>
              </w:rPr>
              <w:t>)</w:t>
            </w:r>
          </w:p>
        </w:tc>
        <w:tc>
          <w:tcPr>
            <w:tcW w:w="1080" w:type="dxa"/>
          </w:tcPr>
          <w:p w14:paraId="16EA62EE" w14:textId="3B3E0341" w:rsidR="00930F5F" w:rsidRPr="006B3CD3" w:rsidRDefault="00930F5F" w:rsidP="006B3CD3">
            <w:pPr>
              <w:jc w:val="center"/>
              <w:rPr>
                <w:b/>
                <w:bCs/>
                <w:vertAlign w:val="subscript"/>
              </w:rPr>
            </w:pPr>
            <w:r w:rsidRPr="006B3CD3">
              <w:rPr>
                <w:b/>
                <w:bCs/>
              </w:rPr>
              <w:t>SO</w:t>
            </w:r>
            <w:r w:rsidRPr="006B3CD3">
              <w:rPr>
                <w:b/>
                <w:bCs/>
                <w:vertAlign w:val="subscript"/>
              </w:rPr>
              <w:t>2</w:t>
            </w:r>
          </w:p>
          <w:p w14:paraId="3A193EF8" w14:textId="47E13F4C" w:rsidR="00930F5F" w:rsidRPr="006B3CD3" w:rsidRDefault="00930F5F" w:rsidP="006B3CD3">
            <w:pPr>
              <w:jc w:val="center"/>
              <w:rPr>
                <w:b/>
                <w:bCs/>
                <w:sz w:val="20"/>
                <w:szCs w:val="20"/>
              </w:rPr>
            </w:pPr>
            <w:r w:rsidRPr="006B3CD3">
              <w:rPr>
                <w:b/>
                <w:bCs/>
                <w:sz w:val="20"/>
                <w:szCs w:val="20"/>
              </w:rPr>
              <w:t>(lb/</w:t>
            </w:r>
            <w:r w:rsidR="00314549">
              <w:rPr>
                <w:b/>
                <w:bCs/>
                <w:sz w:val="20"/>
                <w:szCs w:val="20"/>
              </w:rPr>
              <w:t xml:space="preserve"> MMBTU</w:t>
            </w:r>
            <w:r w:rsidRPr="006B3CD3">
              <w:rPr>
                <w:b/>
                <w:bCs/>
                <w:sz w:val="20"/>
                <w:szCs w:val="20"/>
              </w:rPr>
              <w:t>)</w:t>
            </w:r>
          </w:p>
        </w:tc>
        <w:tc>
          <w:tcPr>
            <w:tcW w:w="1085" w:type="dxa"/>
            <w:gridSpan w:val="2"/>
          </w:tcPr>
          <w:p w14:paraId="7D12F05A" w14:textId="03CB57A1" w:rsidR="00930F5F" w:rsidRPr="00A0417B" w:rsidRDefault="00930F5F" w:rsidP="006B3CD3">
            <w:pPr>
              <w:jc w:val="center"/>
              <w:rPr>
                <w:b/>
                <w:bCs/>
              </w:rPr>
            </w:pPr>
            <w:r w:rsidRPr="006B3CD3">
              <w:rPr>
                <w:b/>
                <w:bCs/>
              </w:rPr>
              <w:t>CO</w:t>
            </w:r>
            <w:r w:rsidRPr="006B3CD3">
              <w:rPr>
                <w:b/>
                <w:bCs/>
                <w:vertAlign w:val="subscript"/>
              </w:rPr>
              <w:t>2</w:t>
            </w:r>
            <w:r w:rsidR="00A0417B">
              <w:rPr>
                <w:b/>
                <w:bCs/>
              </w:rPr>
              <w:t>-eq</w:t>
            </w:r>
          </w:p>
          <w:p w14:paraId="75917A92" w14:textId="2746259F" w:rsidR="00930F5F" w:rsidRPr="006B3CD3" w:rsidRDefault="00930F5F" w:rsidP="006B3CD3">
            <w:pPr>
              <w:jc w:val="center"/>
              <w:rPr>
                <w:b/>
                <w:bCs/>
                <w:sz w:val="20"/>
                <w:szCs w:val="20"/>
              </w:rPr>
            </w:pPr>
            <w:r w:rsidRPr="006B3CD3">
              <w:rPr>
                <w:b/>
                <w:bCs/>
                <w:sz w:val="20"/>
                <w:szCs w:val="20"/>
              </w:rPr>
              <w:t>(lb/</w:t>
            </w:r>
            <w:r w:rsidR="00314549">
              <w:rPr>
                <w:b/>
                <w:bCs/>
                <w:sz w:val="20"/>
                <w:szCs w:val="20"/>
              </w:rPr>
              <w:t xml:space="preserve"> MMBTU</w:t>
            </w:r>
            <w:r w:rsidRPr="006B3CD3">
              <w:rPr>
                <w:b/>
                <w:bCs/>
                <w:sz w:val="20"/>
                <w:szCs w:val="20"/>
              </w:rPr>
              <w:t>)</w:t>
            </w:r>
          </w:p>
        </w:tc>
      </w:tr>
      <w:tr w:rsidR="00476CF9" w14:paraId="2BA685D7"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5DDD8103" w14:textId="4EA2375E" w:rsidR="00476CF9" w:rsidRDefault="00476CF9" w:rsidP="00476CF9">
            <w:r w:rsidRPr="00B7579C">
              <w:t>GE 7FA.05</w:t>
            </w:r>
          </w:p>
        </w:tc>
        <w:tc>
          <w:tcPr>
            <w:tcW w:w="996" w:type="dxa"/>
          </w:tcPr>
          <w:p w14:paraId="15AB4B93" w14:textId="70A394A5" w:rsidR="00476CF9" w:rsidRDefault="00476CF9" w:rsidP="00476CF9">
            <w:r>
              <w:t>Houston</w:t>
            </w:r>
          </w:p>
        </w:tc>
        <w:tc>
          <w:tcPr>
            <w:tcW w:w="1620" w:type="dxa"/>
          </w:tcPr>
          <w:p w14:paraId="677F0710" w14:textId="166F2421" w:rsidR="00476CF9" w:rsidRDefault="00476CF9" w:rsidP="00476CF9">
            <w:r>
              <w:t>26.7%</w:t>
            </w:r>
          </w:p>
        </w:tc>
        <w:tc>
          <w:tcPr>
            <w:tcW w:w="1260" w:type="dxa"/>
          </w:tcPr>
          <w:p w14:paraId="5DDFBEFF" w14:textId="54B80225" w:rsidR="00476CF9" w:rsidRDefault="00476CF9" w:rsidP="00476CF9">
            <w:r>
              <w:t>6800</w:t>
            </w:r>
          </w:p>
        </w:tc>
        <w:tc>
          <w:tcPr>
            <w:tcW w:w="1080" w:type="dxa"/>
          </w:tcPr>
          <w:p w14:paraId="0F3EE7A7" w14:textId="0D7BB51D" w:rsidR="00476CF9" w:rsidRDefault="00476CF9" w:rsidP="00476CF9">
            <w:r>
              <w:t>600</w:t>
            </w:r>
          </w:p>
        </w:tc>
        <w:tc>
          <w:tcPr>
            <w:tcW w:w="1080" w:type="dxa"/>
            <w:vAlign w:val="center"/>
          </w:tcPr>
          <w:p w14:paraId="7B49A84A" w14:textId="6D3938F8" w:rsidR="00476CF9" w:rsidRDefault="00476CF9" w:rsidP="00476CF9">
            <w:r>
              <w:rPr>
                <w:rFonts w:ascii="Calibri" w:hAnsi="Calibri" w:cs="Calibri"/>
                <w:color w:val="000000"/>
              </w:rPr>
              <w:t>0.0228</w:t>
            </w:r>
          </w:p>
        </w:tc>
        <w:tc>
          <w:tcPr>
            <w:tcW w:w="1080" w:type="dxa"/>
            <w:vAlign w:val="center"/>
          </w:tcPr>
          <w:p w14:paraId="53CA08AE" w14:textId="68D94ADB" w:rsidR="00476CF9" w:rsidRDefault="00476CF9" w:rsidP="00476CF9">
            <w:r>
              <w:rPr>
                <w:rFonts w:ascii="Calibri" w:hAnsi="Calibri" w:cs="Calibri"/>
                <w:color w:val="000000"/>
              </w:rPr>
              <w:t>0.00074</w:t>
            </w:r>
          </w:p>
        </w:tc>
        <w:tc>
          <w:tcPr>
            <w:tcW w:w="1085" w:type="dxa"/>
            <w:gridSpan w:val="2"/>
            <w:vAlign w:val="center"/>
          </w:tcPr>
          <w:p w14:paraId="08BBE756" w14:textId="394EF154" w:rsidR="00476CF9" w:rsidRDefault="00476CF9" w:rsidP="00476CF9">
            <w:r>
              <w:rPr>
                <w:rFonts w:ascii="Calibri" w:hAnsi="Calibri" w:cs="Calibri"/>
                <w:color w:val="000000"/>
              </w:rPr>
              <w:t>117</w:t>
            </w:r>
          </w:p>
        </w:tc>
      </w:tr>
      <w:tr w:rsidR="00476CF9" w14:paraId="7DDDA41B"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2E695A67" w14:textId="69FE08A7" w:rsidR="00476CF9" w:rsidRDefault="00476CF9" w:rsidP="00476CF9">
            <w:r w:rsidRPr="00B7579C">
              <w:t>Mitsubishi 501J</w:t>
            </w:r>
          </w:p>
        </w:tc>
        <w:tc>
          <w:tcPr>
            <w:tcW w:w="996" w:type="dxa"/>
          </w:tcPr>
          <w:p w14:paraId="1ABDFE55" w14:textId="53FFDBB8" w:rsidR="00476CF9" w:rsidRDefault="00476CF9" w:rsidP="00476CF9">
            <w:r>
              <w:t>Houston</w:t>
            </w:r>
          </w:p>
        </w:tc>
        <w:tc>
          <w:tcPr>
            <w:tcW w:w="1620" w:type="dxa"/>
          </w:tcPr>
          <w:p w14:paraId="05D2BF5A" w14:textId="4EDA0902" w:rsidR="00476CF9" w:rsidRDefault="00476CF9" w:rsidP="00476CF9">
            <w:r>
              <w:t>31.4%</w:t>
            </w:r>
          </w:p>
        </w:tc>
        <w:tc>
          <w:tcPr>
            <w:tcW w:w="1260" w:type="dxa"/>
          </w:tcPr>
          <w:p w14:paraId="3BB561AD" w14:textId="323730BD" w:rsidR="00476CF9" w:rsidRDefault="00476CF9" w:rsidP="00476CF9">
            <w:r>
              <w:t>6400</w:t>
            </w:r>
          </w:p>
        </w:tc>
        <w:tc>
          <w:tcPr>
            <w:tcW w:w="1080" w:type="dxa"/>
          </w:tcPr>
          <w:p w14:paraId="01038337" w14:textId="6BAF35F1" w:rsidR="00476CF9" w:rsidRDefault="00476CF9" w:rsidP="00476CF9">
            <w:r>
              <w:t>460</w:t>
            </w:r>
          </w:p>
        </w:tc>
        <w:tc>
          <w:tcPr>
            <w:tcW w:w="1080" w:type="dxa"/>
            <w:vAlign w:val="center"/>
          </w:tcPr>
          <w:p w14:paraId="7ECD8C33" w14:textId="33D01204" w:rsidR="00476CF9" w:rsidRDefault="00476CF9" w:rsidP="00476CF9">
            <w:r>
              <w:rPr>
                <w:rFonts w:ascii="Calibri" w:hAnsi="Calibri" w:cs="Calibri"/>
                <w:color w:val="000000"/>
              </w:rPr>
              <w:t>0.0228</w:t>
            </w:r>
          </w:p>
        </w:tc>
        <w:tc>
          <w:tcPr>
            <w:tcW w:w="1080" w:type="dxa"/>
            <w:vAlign w:val="center"/>
          </w:tcPr>
          <w:p w14:paraId="2E887BB6" w14:textId="6B70498C" w:rsidR="00476CF9" w:rsidRDefault="00476CF9" w:rsidP="00476CF9">
            <w:r>
              <w:rPr>
                <w:rFonts w:ascii="Calibri" w:hAnsi="Calibri" w:cs="Calibri"/>
                <w:color w:val="000000"/>
              </w:rPr>
              <w:t>0.00074</w:t>
            </w:r>
          </w:p>
        </w:tc>
        <w:tc>
          <w:tcPr>
            <w:tcW w:w="1085" w:type="dxa"/>
            <w:gridSpan w:val="2"/>
            <w:vAlign w:val="center"/>
          </w:tcPr>
          <w:p w14:paraId="44FECBCF" w14:textId="34F4EE65" w:rsidR="00476CF9" w:rsidRDefault="00476CF9" w:rsidP="00476CF9">
            <w:r>
              <w:rPr>
                <w:rFonts w:ascii="Calibri" w:hAnsi="Calibri" w:cs="Calibri"/>
                <w:color w:val="000000"/>
              </w:rPr>
              <w:t>117</w:t>
            </w:r>
          </w:p>
        </w:tc>
      </w:tr>
      <w:tr w:rsidR="00476CF9" w14:paraId="5F4B9103"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73E327AD" w14:textId="5EFEF3F8" w:rsidR="00476CF9" w:rsidRDefault="00476CF9" w:rsidP="00476CF9">
            <w:r w:rsidRPr="00B7579C">
              <w:t>Mitsubishi 501GAC</w:t>
            </w:r>
          </w:p>
        </w:tc>
        <w:tc>
          <w:tcPr>
            <w:tcW w:w="996" w:type="dxa"/>
          </w:tcPr>
          <w:p w14:paraId="6C76192C" w14:textId="249106B3" w:rsidR="00476CF9" w:rsidRDefault="00476CF9" w:rsidP="00476CF9">
            <w:r>
              <w:t>Houston</w:t>
            </w:r>
          </w:p>
        </w:tc>
        <w:tc>
          <w:tcPr>
            <w:tcW w:w="1620" w:type="dxa"/>
          </w:tcPr>
          <w:p w14:paraId="09B09A9C" w14:textId="56EE2714" w:rsidR="00476CF9" w:rsidRDefault="00476CF9" w:rsidP="00476CF9">
            <w:r>
              <w:t>34.4%</w:t>
            </w:r>
          </w:p>
        </w:tc>
        <w:tc>
          <w:tcPr>
            <w:tcW w:w="1260" w:type="dxa"/>
          </w:tcPr>
          <w:p w14:paraId="61EF50E2" w14:textId="0A55A0B3" w:rsidR="00476CF9" w:rsidRDefault="00476CF9" w:rsidP="00476CF9">
            <w:r>
              <w:t>6200</w:t>
            </w:r>
          </w:p>
        </w:tc>
        <w:tc>
          <w:tcPr>
            <w:tcW w:w="1080" w:type="dxa"/>
          </w:tcPr>
          <w:p w14:paraId="5727FC42" w14:textId="3870FEE4" w:rsidR="00476CF9" w:rsidRDefault="00476CF9" w:rsidP="00476CF9">
            <w:r>
              <w:t>405</w:t>
            </w:r>
          </w:p>
        </w:tc>
        <w:tc>
          <w:tcPr>
            <w:tcW w:w="1080" w:type="dxa"/>
            <w:vAlign w:val="center"/>
          </w:tcPr>
          <w:p w14:paraId="3405428C" w14:textId="27789AA3" w:rsidR="00476CF9" w:rsidRDefault="00476CF9" w:rsidP="00476CF9">
            <w:r>
              <w:rPr>
                <w:rFonts w:ascii="Calibri" w:hAnsi="Calibri" w:cs="Calibri"/>
                <w:color w:val="000000"/>
              </w:rPr>
              <w:t>0.0228</w:t>
            </w:r>
          </w:p>
        </w:tc>
        <w:tc>
          <w:tcPr>
            <w:tcW w:w="1080" w:type="dxa"/>
            <w:vAlign w:val="center"/>
          </w:tcPr>
          <w:p w14:paraId="48D6D524" w14:textId="689A4ADA" w:rsidR="00476CF9" w:rsidRDefault="00476CF9" w:rsidP="00476CF9">
            <w:r>
              <w:rPr>
                <w:rFonts w:ascii="Calibri" w:hAnsi="Calibri" w:cs="Calibri"/>
                <w:color w:val="000000"/>
              </w:rPr>
              <w:t>0.00074</w:t>
            </w:r>
          </w:p>
        </w:tc>
        <w:tc>
          <w:tcPr>
            <w:tcW w:w="1085" w:type="dxa"/>
            <w:gridSpan w:val="2"/>
            <w:vAlign w:val="center"/>
          </w:tcPr>
          <w:p w14:paraId="74BBAF93" w14:textId="018AD75A" w:rsidR="00476CF9" w:rsidRDefault="00476CF9" w:rsidP="00476CF9">
            <w:r>
              <w:rPr>
                <w:rFonts w:ascii="Calibri" w:hAnsi="Calibri" w:cs="Calibri"/>
                <w:color w:val="000000"/>
              </w:rPr>
              <w:t>117</w:t>
            </w:r>
          </w:p>
        </w:tc>
      </w:tr>
      <w:tr w:rsidR="00476CF9" w14:paraId="26E22049"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07AFABD3" w14:textId="075781F4" w:rsidR="00476CF9" w:rsidRDefault="00476CF9" w:rsidP="00476CF9">
            <w:r w:rsidRPr="00B7579C">
              <w:t>GE 207FA</w:t>
            </w:r>
            <w:r>
              <w:t>.04</w:t>
            </w:r>
          </w:p>
        </w:tc>
        <w:tc>
          <w:tcPr>
            <w:tcW w:w="996" w:type="dxa"/>
          </w:tcPr>
          <w:p w14:paraId="795F82BC" w14:textId="643BDFEF" w:rsidR="00476CF9" w:rsidRDefault="00476CF9" w:rsidP="00476CF9">
            <w:r>
              <w:t>San Antonio</w:t>
            </w:r>
          </w:p>
        </w:tc>
        <w:tc>
          <w:tcPr>
            <w:tcW w:w="1620" w:type="dxa"/>
          </w:tcPr>
          <w:p w14:paraId="60275244" w14:textId="7ACCF2FE" w:rsidR="00476CF9" w:rsidRDefault="00476CF9" w:rsidP="00476CF9">
            <w:r>
              <w:t>10.5%</w:t>
            </w:r>
          </w:p>
        </w:tc>
        <w:tc>
          <w:tcPr>
            <w:tcW w:w="1260" w:type="dxa"/>
          </w:tcPr>
          <w:p w14:paraId="323FC110" w14:textId="47AE6B28" w:rsidR="00476CF9" w:rsidRDefault="00476CF9" w:rsidP="00476CF9">
            <w:r>
              <w:t xml:space="preserve">8840 </w:t>
            </w:r>
            <w:r w:rsidRPr="00077CB0">
              <w:rPr>
                <w:vertAlign w:val="superscript"/>
              </w:rPr>
              <w:t>[2]</w:t>
            </w:r>
          </w:p>
        </w:tc>
        <w:tc>
          <w:tcPr>
            <w:tcW w:w="1080" w:type="dxa"/>
          </w:tcPr>
          <w:p w14:paraId="5F8BF12A" w14:textId="34FEE90F" w:rsidR="00476CF9" w:rsidRDefault="00476CF9" w:rsidP="00476CF9">
            <w:r>
              <w:t>942</w:t>
            </w:r>
          </w:p>
        </w:tc>
        <w:tc>
          <w:tcPr>
            <w:tcW w:w="1080" w:type="dxa"/>
            <w:vAlign w:val="center"/>
          </w:tcPr>
          <w:p w14:paraId="16AFB8C5" w14:textId="2C399B2E" w:rsidR="00476CF9" w:rsidRDefault="00476CF9" w:rsidP="00476CF9">
            <w:r>
              <w:rPr>
                <w:rFonts w:ascii="Calibri" w:hAnsi="Calibri" w:cs="Calibri"/>
                <w:color w:val="000000"/>
              </w:rPr>
              <w:t>0.15 / 0.0228*</w:t>
            </w:r>
          </w:p>
        </w:tc>
        <w:tc>
          <w:tcPr>
            <w:tcW w:w="1080" w:type="dxa"/>
            <w:vAlign w:val="center"/>
          </w:tcPr>
          <w:p w14:paraId="6E500F3E" w14:textId="45ACB2C1" w:rsidR="00476CF9" w:rsidRDefault="00476CF9" w:rsidP="00476CF9">
            <w:r>
              <w:rPr>
                <w:rFonts w:ascii="Calibri" w:hAnsi="Calibri" w:cs="Calibri"/>
                <w:color w:val="000000"/>
              </w:rPr>
              <w:t>0.00074</w:t>
            </w:r>
          </w:p>
        </w:tc>
        <w:tc>
          <w:tcPr>
            <w:tcW w:w="1085" w:type="dxa"/>
            <w:gridSpan w:val="2"/>
            <w:vAlign w:val="center"/>
          </w:tcPr>
          <w:p w14:paraId="1065A7C6" w14:textId="30D9BB94" w:rsidR="00476CF9" w:rsidRDefault="00476CF9" w:rsidP="00476CF9">
            <w:r>
              <w:rPr>
                <w:rFonts w:ascii="Calibri" w:hAnsi="Calibri" w:cs="Calibri"/>
                <w:color w:val="000000"/>
              </w:rPr>
              <w:t>117</w:t>
            </w:r>
          </w:p>
        </w:tc>
      </w:tr>
      <w:tr w:rsidR="00314549" w14:paraId="7ACEBEF7" w14:textId="77777777" w:rsidTr="00FE00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9"/>
          </w:tcPr>
          <w:p w14:paraId="24981E4A" w14:textId="792BBA20" w:rsidR="00314549" w:rsidRPr="00314549" w:rsidRDefault="00314549" w:rsidP="00314549">
            <w:pPr>
              <w:rPr>
                <w:rFonts w:ascii="Calibri" w:hAnsi="Calibri" w:cs="Calibri"/>
                <w:color w:val="000000"/>
              </w:rPr>
            </w:pPr>
            <w:r w:rsidRPr="00314549">
              <w:rPr>
                <w:rFonts w:ascii="Calibri" w:hAnsi="Calibri" w:cs="Calibri"/>
                <w:color w:val="000000"/>
              </w:rPr>
              <w:t>*</w:t>
            </w:r>
            <w:r>
              <w:rPr>
                <w:rFonts w:ascii="Calibri" w:hAnsi="Calibri" w:cs="Calibri"/>
                <w:color w:val="000000"/>
              </w:rPr>
              <w:t xml:space="preserve"> Emissions rates before and after the SCR is added in 2021 as required by the Clean Air Act</w:t>
            </w:r>
          </w:p>
        </w:tc>
      </w:tr>
    </w:tbl>
    <w:p w14:paraId="4F6DBD66" w14:textId="77777777" w:rsidR="00D1055C" w:rsidRPr="00CE69A0" w:rsidRDefault="00D1055C" w:rsidP="00CE69A0"/>
    <w:tbl>
      <w:tblPr>
        <w:tblStyle w:val="TableGrid"/>
        <w:tblW w:w="0" w:type="auto"/>
        <w:tblLook w:val="04A0" w:firstRow="1" w:lastRow="0" w:firstColumn="1" w:lastColumn="0" w:noHBand="0" w:noVBand="1"/>
      </w:tblPr>
      <w:tblGrid>
        <w:gridCol w:w="1159"/>
        <w:gridCol w:w="996"/>
        <w:gridCol w:w="1578"/>
        <w:gridCol w:w="1223"/>
        <w:gridCol w:w="1074"/>
        <w:gridCol w:w="1078"/>
        <w:gridCol w:w="1078"/>
        <w:gridCol w:w="1164"/>
      </w:tblGrid>
      <w:tr w:rsidR="00B65EE1" w14:paraId="490555FE" w14:textId="77777777" w:rsidTr="00F95899">
        <w:tc>
          <w:tcPr>
            <w:tcW w:w="9350" w:type="dxa"/>
            <w:gridSpan w:val="8"/>
          </w:tcPr>
          <w:p w14:paraId="2D37996B" w14:textId="7B76AC7B" w:rsidR="00B65EE1" w:rsidRDefault="00B65EE1" w:rsidP="00F95899">
            <w:r>
              <w:t>Table 2: CCGT Life Cycle Analysis Annual Emissions</w:t>
            </w:r>
          </w:p>
        </w:tc>
      </w:tr>
      <w:tr w:rsidR="00B65EE1" w:rsidRPr="006B3CD3" w14:paraId="4A004990" w14:textId="77777777" w:rsidTr="006E51E7">
        <w:tc>
          <w:tcPr>
            <w:tcW w:w="1159" w:type="dxa"/>
          </w:tcPr>
          <w:p w14:paraId="6CC0CCFC" w14:textId="77777777" w:rsidR="00B65EE1" w:rsidRPr="006B3CD3" w:rsidRDefault="00B65EE1" w:rsidP="00F95899">
            <w:pPr>
              <w:jc w:val="center"/>
              <w:rPr>
                <w:b/>
                <w:bCs/>
              </w:rPr>
            </w:pPr>
            <w:r w:rsidRPr="006B3CD3">
              <w:rPr>
                <w:b/>
                <w:bCs/>
              </w:rPr>
              <w:t>Turbine</w:t>
            </w:r>
          </w:p>
        </w:tc>
        <w:tc>
          <w:tcPr>
            <w:tcW w:w="996" w:type="dxa"/>
          </w:tcPr>
          <w:p w14:paraId="3B84C5F9" w14:textId="77777777" w:rsidR="00B65EE1" w:rsidRPr="006B3CD3" w:rsidRDefault="00B65EE1" w:rsidP="00F95899">
            <w:pPr>
              <w:jc w:val="center"/>
              <w:rPr>
                <w:b/>
                <w:bCs/>
              </w:rPr>
            </w:pPr>
            <w:r w:rsidRPr="006B3CD3">
              <w:rPr>
                <w:b/>
                <w:bCs/>
              </w:rPr>
              <w:t>Location</w:t>
            </w:r>
          </w:p>
        </w:tc>
        <w:tc>
          <w:tcPr>
            <w:tcW w:w="1578" w:type="dxa"/>
          </w:tcPr>
          <w:p w14:paraId="6FABC6FB" w14:textId="77777777" w:rsidR="00B65EE1" w:rsidRPr="006B3CD3" w:rsidRDefault="00B65EE1" w:rsidP="00F95899">
            <w:pPr>
              <w:jc w:val="center"/>
              <w:rPr>
                <w:b/>
                <w:bCs/>
              </w:rPr>
            </w:pPr>
            <w:r w:rsidRPr="006B3CD3">
              <w:rPr>
                <w:b/>
                <w:bCs/>
              </w:rPr>
              <w:t>Capacity Factor</w:t>
            </w:r>
          </w:p>
          <w:p w14:paraId="2BFD901C" w14:textId="77777777" w:rsidR="00B65EE1" w:rsidRPr="006B3CD3" w:rsidRDefault="00B65EE1" w:rsidP="00F95899">
            <w:pPr>
              <w:jc w:val="center"/>
              <w:rPr>
                <w:b/>
                <w:bCs/>
              </w:rPr>
            </w:pPr>
            <w:r w:rsidRPr="006B3CD3">
              <w:rPr>
                <w:b/>
                <w:bCs/>
              </w:rPr>
              <w:t>(2011-2019)</w:t>
            </w:r>
          </w:p>
        </w:tc>
        <w:tc>
          <w:tcPr>
            <w:tcW w:w="1223" w:type="dxa"/>
          </w:tcPr>
          <w:p w14:paraId="398E3EA4" w14:textId="77777777" w:rsidR="00B65EE1" w:rsidRPr="006B3CD3" w:rsidRDefault="00B65EE1" w:rsidP="00F95899">
            <w:pPr>
              <w:jc w:val="center"/>
              <w:rPr>
                <w:b/>
                <w:bCs/>
              </w:rPr>
            </w:pPr>
            <w:r w:rsidRPr="006B3CD3">
              <w:rPr>
                <w:b/>
                <w:bCs/>
              </w:rPr>
              <w:t xml:space="preserve">Heat Rate </w:t>
            </w:r>
            <w:r w:rsidRPr="006B3CD3">
              <w:rPr>
                <w:b/>
                <w:bCs/>
                <w:sz w:val="20"/>
                <w:szCs w:val="20"/>
              </w:rPr>
              <w:t>(BTU/ kWh)</w:t>
            </w:r>
          </w:p>
        </w:tc>
        <w:tc>
          <w:tcPr>
            <w:tcW w:w="1074" w:type="dxa"/>
          </w:tcPr>
          <w:p w14:paraId="2105E376" w14:textId="77777777" w:rsidR="00B65EE1" w:rsidRPr="006B3CD3" w:rsidRDefault="00B65EE1" w:rsidP="00F95899">
            <w:pPr>
              <w:jc w:val="center"/>
              <w:rPr>
                <w:b/>
                <w:bCs/>
              </w:rPr>
            </w:pPr>
            <w:r w:rsidRPr="006B3CD3">
              <w:rPr>
                <w:b/>
                <w:bCs/>
              </w:rPr>
              <w:t xml:space="preserve">Capacity </w:t>
            </w:r>
            <w:r w:rsidRPr="006B3CD3">
              <w:rPr>
                <w:b/>
                <w:bCs/>
                <w:sz w:val="20"/>
                <w:szCs w:val="20"/>
              </w:rPr>
              <w:t>(MW)</w:t>
            </w:r>
          </w:p>
        </w:tc>
        <w:tc>
          <w:tcPr>
            <w:tcW w:w="1078" w:type="dxa"/>
          </w:tcPr>
          <w:p w14:paraId="79F3DD16" w14:textId="77777777" w:rsidR="00B65EE1" w:rsidRPr="006B3CD3" w:rsidRDefault="00B65EE1" w:rsidP="00F95899">
            <w:pPr>
              <w:jc w:val="center"/>
              <w:rPr>
                <w:b/>
                <w:bCs/>
              </w:rPr>
            </w:pPr>
            <w:r w:rsidRPr="006B3CD3">
              <w:rPr>
                <w:b/>
                <w:bCs/>
              </w:rPr>
              <w:t>NO</w:t>
            </w:r>
            <w:r w:rsidRPr="006B3CD3">
              <w:rPr>
                <w:b/>
                <w:bCs/>
                <w:vertAlign w:val="subscript"/>
              </w:rPr>
              <w:t>x</w:t>
            </w:r>
          </w:p>
          <w:p w14:paraId="1B75902D" w14:textId="76ED515E" w:rsidR="00B65EE1" w:rsidRPr="006B3CD3" w:rsidRDefault="00B65EE1" w:rsidP="00F95899">
            <w:pPr>
              <w:jc w:val="center"/>
              <w:rPr>
                <w:b/>
                <w:bCs/>
                <w:sz w:val="20"/>
                <w:szCs w:val="20"/>
              </w:rPr>
            </w:pPr>
            <w:r w:rsidRPr="006B3CD3">
              <w:rPr>
                <w:b/>
                <w:bCs/>
                <w:sz w:val="20"/>
                <w:szCs w:val="20"/>
              </w:rPr>
              <w:t>(</w:t>
            </w:r>
            <w:r>
              <w:rPr>
                <w:b/>
                <w:bCs/>
                <w:sz w:val="20"/>
                <w:szCs w:val="20"/>
              </w:rPr>
              <w:t>s.t.</w:t>
            </w:r>
            <w:r w:rsidRPr="006B3CD3">
              <w:rPr>
                <w:b/>
                <w:bCs/>
                <w:sz w:val="20"/>
                <w:szCs w:val="20"/>
              </w:rPr>
              <w:t>/</w:t>
            </w:r>
            <w:r>
              <w:rPr>
                <w:b/>
                <w:bCs/>
                <w:sz w:val="20"/>
                <w:szCs w:val="20"/>
              </w:rPr>
              <w:t>year</w:t>
            </w:r>
            <w:r w:rsidRPr="006B3CD3">
              <w:rPr>
                <w:b/>
                <w:bCs/>
                <w:sz w:val="20"/>
                <w:szCs w:val="20"/>
              </w:rPr>
              <w:t>)</w:t>
            </w:r>
          </w:p>
        </w:tc>
        <w:tc>
          <w:tcPr>
            <w:tcW w:w="1078" w:type="dxa"/>
          </w:tcPr>
          <w:p w14:paraId="0828D981" w14:textId="77777777" w:rsidR="00B65EE1" w:rsidRPr="006B3CD3" w:rsidRDefault="00B65EE1" w:rsidP="00F95899">
            <w:pPr>
              <w:jc w:val="center"/>
              <w:rPr>
                <w:b/>
                <w:bCs/>
                <w:vertAlign w:val="subscript"/>
              </w:rPr>
            </w:pPr>
            <w:r w:rsidRPr="006B3CD3">
              <w:rPr>
                <w:b/>
                <w:bCs/>
              </w:rPr>
              <w:t>SO</w:t>
            </w:r>
            <w:r w:rsidRPr="006B3CD3">
              <w:rPr>
                <w:b/>
                <w:bCs/>
                <w:vertAlign w:val="subscript"/>
              </w:rPr>
              <w:t>2</w:t>
            </w:r>
          </w:p>
          <w:p w14:paraId="222CE476" w14:textId="1B85B3A1" w:rsidR="00B65EE1" w:rsidRPr="006B3CD3" w:rsidRDefault="00B65EE1" w:rsidP="00F95899">
            <w:pPr>
              <w:jc w:val="center"/>
              <w:rPr>
                <w:b/>
                <w:bCs/>
                <w:sz w:val="20"/>
                <w:szCs w:val="20"/>
              </w:rPr>
            </w:pPr>
            <w:r w:rsidRPr="006B3CD3">
              <w:rPr>
                <w:b/>
                <w:bCs/>
                <w:sz w:val="20"/>
                <w:szCs w:val="20"/>
              </w:rPr>
              <w:t>(</w:t>
            </w:r>
            <w:r>
              <w:rPr>
                <w:b/>
                <w:bCs/>
                <w:sz w:val="20"/>
                <w:szCs w:val="20"/>
              </w:rPr>
              <w:t>s.t.</w:t>
            </w:r>
            <w:r w:rsidRPr="006B3CD3">
              <w:rPr>
                <w:b/>
                <w:bCs/>
                <w:sz w:val="20"/>
                <w:szCs w:val="20"/>
              </w:rPr>
              <w:t>/</w:t>
            </w:r>
            <w:r>
              <w:rPr>
                <w:b/>
                <w:bCs/>
                <w:sz w:val="20"/>
                <w:szCs w:val="20"/>
              </w:rPr>
              <w:t>year</w:t>
            </w:r>
            <w:r w:rsidRPr="006B3CD3">
              <w:rPr>
                <w:b/>
                <w:bCs/>
                <w:sz w:val="20"/>
                <w:szCs w:val="20"/>
              </w:rPr>
              <w:t>)</w:t>
            </w:r>
          </w:p>
        </w:tc>
        <w:tc>
          <w:tcPr>
            <w:tcW w:w="1164" w:type="dxa"/>
          </w:tcPr>
          <w:p w14:paraId="2F4537FE" w14:textId="77777777" w:rsidR="00B65EE1" w:rsidRPr="00A0417B" w:rsidRDefault="00B65EE1" w:rsidP="00F95899">
            <w:pPr>
              <w:jc w:val="center"/>
              <w:rPr>
                <w:b/>
                <w:bCs/>
              </w:rPr>
            </w:pPr>
            <w:r w:rsidRPr="006B3CD3">
              <w:rPr>
                <w:b/>
                <w:bCs/>
              </w:rPr>
              <w:t>CO</w:t>
            </w:r>
            <w:r w:rsidRPr="006B3CD3">
              <w:rPr>
                <w:b/>
                <w:bCs/>
                <w:vertAlign w:val="subscript"/>
              </w:rPr>
              <w:t>2</w:t>
            </w:r>
            <w:r>
              <w:rPr>
                <w:b/>
                <w:bCs/>
              </w:rPr>
              <w:t>-eq</w:t>
            </w:r>
          </w:p>
          <w:p w14:paraId="0D81DCCC" w14:textId="45463F05" w:rsidR="00B65EE1" w:rsidRPr="006B3CD3" w:rsidRDefault="00B65EE1" w:rsidP="00F95899">
            <w:pPr>
              <w:jc w:val="center"/>
              <w:rPr>
                <w:b/>
                <w:bCs/>
                <w:sz w:val="20"/>
                <w:szCs w:val="20"/>
              </w:rPr>
            </w:pPr>
            <w:r w:rsidRPr="006B3CD3">
              <w:rPr>
                <w:b/>
                <w:bCs/>
                <w:sz w:val="20"/>
                <w:szCs w:val="20"/>
              </w:rPr>
              <w:t>(</w:t>
            </w:r>
            <w:r>
              <w:rPr>
                <w:b/>
                <w:bCs/>
                <w:sz w:val="20"/>
                <w:szCs w:val="20"/>
              </w:rPr>
              <w:t>s.t.</w:t>
            </w:r>
            <w:r w:rsidRPr="006B3CD3">
              <w:rPr>
                <w:b/>
                <w:bCs/>
                <w:sz w:val="20"/>
                <w:szCs w:val="20"/>
              </w:rPr>
              <w:t>/</w:t>
            </w:r>
            <w:r>
              <w:rPr>
                <w:b/>
                <w:bCs/>
                <w:sz w:val="20"/>
                <w:szCs w:val="20"/>
              </w:rPr>
              <w:t>year</w:t>
            </w:r>
            <w:r w:rsidRPr="006B3CD3">
              <w:rPr>
                <w:b/>
                <w:bCs/>
                <w:sz w:val="20"/>
                <w:szCs w:val="20"/>
              </w:rPr>
              <w:t>)</w:t>
            </w:r>
          </w:p>
        </w:tc>
      </w:tr>
      <w:tr w:rsidR="00476CF9" w14:paraId="02465AA0" w14:textId="77777777" w:rsidTr="006E51E7">
        <w:tc>
          <w:tcPr>
            <w:tcW w:w="1159" w:type="dxa"/>
          </w:tcPr>
          <w:p w14:paraId="0812EFC9" w14:textId="77777777" w:rsidR="00476CF9" w:rsidRDefault="00476CF9" w:rsidP="00476CF9">
            <w:r w:rsidRPr="00B7579C">
              <w:t>GE 7FA.05</w:t>
            </w:r>
          </w:p>
        </w:tc>
        <w:tc>
          <w:tcPr>
            <w:tcW w:w="996" w:type="dxa"/>
          </w:tcPr>
          <w:p w14:paraId="598596A9" w14:textId="77777777" w:rsidR="00476CF9" w:rsidRDefault="00476CF9" w:rsidP="00476CF9">
            <w:r>
              <w:t>Houston</w:t>
            </w:r>
          </w:p>
        </w:tc>
        <w:tc>
          <w:tcPr>
            <w:tcW w:w="1578" w:type="dxa"/>
          </w:tcPr>
          <w:p w14:paraId="74F1A46A" w14:textId="77777777" w:rsidR="00476CF9" w:rsidRDefault="00476CF9" w:rsidP="00476CF9">
            <w:r>
              <w:t>26.7%</w:t>
            </w:r>
          </w:p>
        </w:tc>
        <w:tc>
          <w:tcPr>
            <w:tcW w:w="1223" w:type="dxa"/>
          </w:tcPr>
          <w:p w14:paraId="753D5A3C" w14:textId="77777777" w:rsidR="00476CF9" w:rsidRDefault="00476CF9" w:rsidP="00476CF9">
            <w:r>
              <w:t>6800</w:t>
            </w:r>
          </w:p>
        </w:tc>
        <w:tc>
          <w:tcPr>
            <w:tcW w:w="1074" w:type="dxa"/>
          </w:tcPr>
          <w:p w14:paraId="4DBBA702" w14:textId="77777777" w:rsidR="00476CF9" w:rsidRDefault="00476CF9" w:rsidP="00476CF9">
            <w:r>
              <w:t>600</w:t>
            </w:r>
          </w:p>
        </w:tc>
        <w:tc>
          <w:tcPr>
            <w:tcW w:w="1078" w:type="dxa"/>
            <w:vAlign w:val="center"/>
          </w:tcPr>
          <w:p w14:paraId="3302D144" w14:textId="22CE0376" w:rsidR="00476CF9" w:rsidRDefault="00476CF9" w:rsidP="00476CF9">
            <w:r>
              <w:rPr>
                <w:rFonts w:ascii="Calibri" w:hAnsi="Calibri" w:cs="Calibri"/>
                <w:color w:val="000000"/>
              </w:rPr>
              <w:t>108.79</w:t>
            </w:r>
          </w:p>
        </w:tc>
        <w:tc>
          <w:tcPr>
            <w:tcW w:w="1078" w:type="dxa"/>
            <w:vAlign w:val="center"/>
          </w:tcPr>
          <w:p w14:paraId="0E22F9DE" w14:textId="3600D3B5" w:rsidR="00476CF9" w:rsidRDefault="00476CF9" w:rsidP="00476CF9">
            <w:r>
              <w:rPr>
                <w:rFonts w:ascii="Calibri" w:hAnsi="Calibri" w:cs="Calibri"/>
                <w:color w:val="000000"/>
              </w:rPr>
              <w:t>3.53</w:t>
            </w:r>
          </w:p>
        </w:tc>
        <w:tc>
          <w:tcPr>
            <w:tcW w:w="1164" w:type="dxa"/>
            <w:vAlign w:val="center"/>
          </w:tcPr>
          <w:p w14:paraId="6ED87D28" w14:textId="55F4E56F" w:rsidR="00476CF9" w:rsidRDefault="00476CF9" w:rsidP="00476CF9">
            <w:r>
              <w:rPr>
                <w:rFonts w:ascii="Calibri" w:hAnsi="Calibri" w:cs="Calibri"/>
                <w:color w:val="000000"/>
              </w:rPr>
              <w:t>558253.43</w:t>
            </w:r>
          </w:p>
        </w:tc>
      </w:tr>
      <w:tr w:rsidR="00476CF9" w14:paraId="536D1B10" w14:textId="77777777" w:rsidTr="006E51E7">
        <w:tc>
          <w:tcPr>
            <w:tcW w:w="1159" w:type="dxa"/>
          </w:tcPr>
          <w:p w14:paraId="600F5F99" w14:textId="77777777" w:rsidR="00476CF9" w:rsidRDefault="00476CF9" w:rsidP="00476CF9">
            <w:r w:rsidRPr="00B7579C">
              <w:t>Mitsubishi 501J</w:t>
            </w:r>
          </w:p>
        </w:tc>
        <w:tc>
          <w:tcPr>
            <w:tcW w:w="996" w:type="dxa"/>
          </w:tcPr>
          <w:p w14:paraId="48D3689F" w14:textId="77777777" w:rsidR="00476CF9" w:rsidRDefault="00476CF9" w:rsidP="00476CF9">
            <w:r>
              <w:t>Houston</w:t>
            </w:r>
          </w:p>
        </w:tc>
        <w:tc>
          <w:tcPr>
            <w:tcW w:w="1578" w:type="dxa"/>
          </w:tcPr>
          <w:p w14:paraId="716165CA" w14:textId="77777777" w:rsidR="00476CF9" w:rsidRDefault="00476CF9" w:rsidP="00476CF9">
            <w:r>
              <w:t>31.4%</w:t>
            </w:r>
          </w:p>
        </w:tc>
        <w:tc>
          <w:tcPr>
            <w:tcW w:w="1223" w:type="dxa"/>
          </w:tcPr>
          <w:p w14:paraId="408AE1E8" w14:textId="77777777" w:rsidR="00476CF9" w:rsidRDefault="00476CF9" w:rsidP="00476CF9">
            <w:r>
              <w:t>6400</w:t>
            </w:r>
          </w:p>
        </w:tc>
        <w:tc>
          <w:tcPr>
            <w:tcW w:w="1074" w:type="dxa"/>
          </w:tcPr>
          <w:p w14:paraId="2B094DEF" w14:textId="77777777" w:rsidR="00476CF9" w:rsidRDefault="00476CF9" w:rsidP="00476CF9">
            <w:r>
              <w:t>460</w:t>
            </w:r>
          </w:p>
        </w:tc>
        <w:tc>
          <w:tcPr>
            <w:tcW w:w="1078" w:type="dxa"/>
            <w:vAlign w:val="center"/>
          </w:tcPr>
          <w:p w14:paraId="1EFF9CB2" w14:textId="223684AB" w:rsidR="00476CF9" w:rsidRDefault="00476CF9" w:rsidP="00476CF9">
            <w:r>
              <w:rPr>
                <w:rFonts w:ascii="Calibri" w:hAnsi="Calibri" w:cs="Calibri"/>
                <w:color w:val="000000"/>
              </w:rPr>
              <w:t>92.32</w:t>
            </w:r>
          </w:p>
        </w:tc>
        <w:tc>
          <w:tcPr>
            <w:tcW w:w="1078" w:type="dxa"/>
            <w:vAlign w:val="center"/>
          </w:tcPr>
          <w:p w14:paraId="4F2B2E75" w14:textId="3BBEE7F3" w:rsidR="00476CF9" w:rsidRDefault="00476CF9" w:rsidP="00476CF9">
            <w:r>
              <w:rPr>
                <w:rFonts w:ascii="Calibri" w:hAnsi="Calibri" w:cs="Calibri"/>
                <w:color w:val="000000"/>
              </w:rPr>
              <w:t>3.00</w:t>
            </w:r>
          </w:p>
        </w:tc>
        <w:tc>
          <w:tcPr>
            <w:tcW w:w="1164" w:type="dxa"/>
            <w:vAlign w:val="center"/>
          </w:tcPr>
          <w:p w14:paraId="46A21785" w14:textId="7D66901D" w:rsidR="00476CF9" w:rsidRDefault="00476CF9" w:rsidP="00476CF9">
            <w:r>
              <w:rPr>
                <w:rFonts w:ascii="Calibri" w:hAnsi="Calibri" w:cs="Calibri"/>
                <w:color w:val="000000"/>
              </w:rPr>
              <w:t>473726.22</w:t>
            </w:r>
          </w:p>
        </w:tc>
      </w:tr>
      <w:tr w:rsidR="00476CF9" w14:paraId="5F45FBDC" w14:textId="77777777" w:rsidTr="006E51E7">
        <w:tc>
          <w:tcPr>
            <w:tcW w:w="1159" w:type="dxa"/>
          </w:tcPr>
          <w:p w14:paraId="1BB4152C" w14:textId="77777777" w:rsidR="00476CF9" w:rsidRDefault="00476CF9" w:rsidP="00476CF9">
            <w:r w:rsidRPr="00B7579C">
              <w:t>Mitsubishi 501GAC</w:t>
            </w:r>
          </w:p>
        </w:tc>
        <w:tc>
          <w:tcPr>
            <w:tcW w:w="996" w:type="dxa"/>
          </w:tcPr>
          <w:p w14:paraId="669D0316" w14:textId="77777777" w:rsidR="00476CF9" w:rsidRDefault="00476CF9" w:rsidP="00476CF9">
            <w:r>
              <w:t>Houston</w:t>
            </w:r>
          </w:p>
        </w:tc>
        <w:tc>
          <w:tcPr>
            <w:tcW w:w="1578" w:type="dxa"/>
          </w:tcPr>
          <w:p w14:paraId="308C557C" w14:textId="77777777" w:rsidR="00476CF9" w:rsidRDefault="00476CF9" w:rsidP="00476CF9">
            <w:r>
              <w:t>34.4%</w:t>
            </w:r>
          </w:p>
        </w:tc>
        <w:tc>
          <w:tcPr>
            <w:tcW w:w="1223" w:type="dxa"/>
          </w:tcPr>
          <w:p w14:paraId="12B83E81" w14:textId="77777777" w:rsidR="00476CF9" w:rsidRDefault="00476CF9" w:rsidP="00476CF9">
            <w:r>
              <w:t>6200</w:t>
            </w:r>
          </w:p>
        </w:tc>
        <w:tc>
          <w:tcPr>
            <w:tcW w:w="1074" w:type="dxa"/>
          </w:tcPr>
          <w:p w14:paraId="4142A724" w14:textId="77777777" w:rsidR="00476CF9" w:rsidRDefault="00476CF9" w:rsidP="00476CF9">
            <w:r>
              <w:t>405</w:t>
            </w:r>
          </w:p>
        </w:tc>
        <w:tc>
          <w:tcPr>
            <w:tcW w:w="1078" w:type="dxa"/>
            <w:vAlign w:val="center"/>
          </w:tcPr>
          <w:p w14:paraId="3512E679" w14:textId="40F6E681" w:rsidR="00476CF9" w:rsidRDefault="00476CF9" w:rsidP="00476CF9">
            <w:r>
              <w:rPr>
                <w:rFonts w:ascii="Calibri" w:hAnsi="Calibri" w:cs="Calibri"/>
                <w:color w:val="000000"/>
              </w:rPr>
              <w:t>86.26</w:t>
            </w:r>
          </w:p>
        </w:tc>
        <w:tc>
          <w:tcPr>
            <w:tcW w:w="1078" w:type="dxa"/>
            <w:vAlign w:val="center"/>
          </w:tcPr>
          <w:p w14:paraId="312073FE" w14:textId="27F741DB" w:rsidR="00476CF9" w:rsidRDefault="00476CF9" w:rsidP="00476CF9">
            <w:r>
              <w:rPr>
                <w:rFonts w:ascii="Calibri" w:hAnsi="Calibri" w:cs="Calibri"/>
                <w:color w:val="000000"/>
              </w:rPr>
              <w:t>2.80</w:t>
            </w:r>
          </w:p>
        </w:tc>
        <w:tc>
          <w:tcPr>
            <w:tcW w:w="1164" w:type="dxa"/>
            <w:vAlign w:val="center"/>
          </w:tcPr>
          <w:p w14:paraId="450EAE6A" w14:textId="2A06C754" w:rsidR="00476CF9" w:rsidRDefault="00476CF9" w:rsidP="00476CF9">
            <w:r>
              <w:rPr>
                <w:rFonts w:ascii="Calibri" w:hAnsi="Calibri" w:cs="Calibri"/>
                <w:color w:val="000000"/>
              </w:rPr>
              <w:t>442654.75</w:t>
            </w:r>
          </w:p>
        </w:tc>
      </w:tr>
      <w:tr w:rsidR="00476CF9" w14:paraId="02C7F284" w14:textId="77777777" w:rsidTr="006E51E7">
        <w:tc>
          <w:tcPr>
            <w:tcW w:w="1159" w:type="dxa"/>
          </w:tcPr>
          <w:p w14:paraId="1ADC2195" w14:textId="77777777" w:rsidR="00476CF9" w:rsidRDefault="00476CF9" w:rsidP="00476CF9">
            <w:r w:rsidRPr="00B7579C">
              <w:t>GE 207FA</w:t>
            </w:r>
            <w:r>
              <w:t>.04</w:t>
            </w:r>
          </w:p>
        </w:tc>
        <w:tc>
          <w:tcPr>
            <w:tcW w:w="996" w:type="dxa"/>
          </w:tcPr>
          <w:p w14:paraId="0A0111DF" w14:textId="77777777" w:rsidR="00476CF9" w:rsidRDefault="00476CF9" w:rsidP="00476CF9">
            <w:r>
              <w:t>San Antonio</w:t>
            </w:r>
          </w:p>
        </w:tc>
        <w:tc>
          <w:tcPr>
            <w:tcW w:w="1578" w:type="dxa"/>
          </w:tcPr>
          <w:p w14:paraId="66174916" w14:textId="77777777" w:rsidR="00476CF9" w:rsidRDefault="00476CF9" w:rsidP="00476CF9">
            <w:r>
              <w:t>10.5%</w:t>
            </w:r>
          </w:p>
        </w:tc>
        <w:tc>
          <w:tcPr>
            <w:tcW w:w="1223" w:type="dxa"/>
          </w:tcPr>
          <w:p w14:paraId="265BD039" w14:textId="77777777" w:rsidR="00476CF9" w:rsidRDefault="00476CF9" w:rsidP="00476CF9">
            <w:r>
              <w:t xml:space="preserve">8840 </w:t>
            </w:r>
            <w:r w:rsidRPr="00077CB0">
              <w:rPr>
                <w:vertAlign w:val="superscript"/>
              </w:rPr>
              <w:t>[2]</w:t>
            </w:r>
          </w:p>
        </w:tc>
        <w:tc>
          <w:tcPr>
            <w:tcW w:w="1074" w:type="dxa"/>
          </w:tcPr>
          <w:p w14:paraId="2B4FDE85" w14:textId="77777777" w:rsidR="00476CF9" w:rsidRDefault="00476CF9" w:rsidP="00476CF9">
            <w:r>
              <w:t>942</w:t>
            </w:r>
          </w:p>
        </w:tc>
        <w:tc>
          <w:tcPr>
            <w:tcW w:w="1078" w:type="dxa"/>
            <w:vAlign w:val="center"/>
          </w:tcPr>
          <w:p w14:paraId="3218568E" w14:textId="6479B092" w:rsidR="00476CF9" w:rsidRPr="00314549" w:rsidRDefault="00476CF9" w:rsidP="00476CF9">
            <w:pPr>
              <w:rPr>
                <w:rFonts w:ascii="Calibri" w:hAnsi="Calibri" w:cs="Calibri"/>
                <w:color w:val="000000"/>
              </w:rPr>
            </w:pPr>
            <w:r>
              <w:rPr>
                <w:rFonts w:ascii="Calibri" w:hAnsi="Calibri" w:cs="Calibri"/>
                <w:color w:val="000000"/>
              </w:rPr>
              <w:t>574.46/ 87.32*</w:t>
            </w:r>
          </w:p>
        </w:tc>
        <w:tc>
          <w:tcPr>
            <w:tcW w:w="1078" w:type="dxa"/>
            <w:vAlign w:val="center"/>
          </w:tcPr>
          <w:p w14:paraId="6ABD4EF0" w14:textId="7DBFECE8" w:rsidR="00476CF9" w:rsidRDefault="00476CF9" w:rsidP="00476CF9">
            <w:r>
              <w:rPr>
                <w:rFonts w:ascii="Calibri" w:hAnsi="Calibri" w:cs="Calibri"/>
                <w:color w:val="000000"/>
              </w:rPr>
              <w:t>2.83</w:t>
            </w:r>
          </w:p>
        </w:tc>
        <w:tc>
          <w:tcPr>
            <w:tcW w:w="1164" w:type="dxa"/>
            <w:vAlign w:val="center"/>
          </w:tcPr>
          <w:p w14:paraId="7B8A46B8" w14:textId="15976EB0" w:rsidR="00476CF9" w:rsidRDefault="00476CF9" w:rsidP="00476CF9">
            <w:r>
              <w:rPr>
                <w:rFonts w:ascii="Calibri" w:hAnsi="Calibri" w:cs="Calibri"/>
                <w:color w:val="000000"/>
              </w:rPr>
              <w:t>448076.78</w:t>
            </w:r>
          </w:p>
        </w:tc>
      </w:tr>
      <w:tr w:rsidR="00314549" w14:paraId="3B2DFC6B" w14:textId="77777777" w:rsidTr="00FE0095">
        <w:tc>
          <w:tcPr>
            <w:tcW w:w="9350" w:type="dxa"/>
            <w:gridSpan w:val="8"/>
          </w:tcPr>
          <w:p w14:paraId="44ACFB35" w14:textId="447F3961" w:rsidR="00314549" w:rsidRDefault="00314549" w:rsidP="00314549">
            <w:pPr>
              <w:rPr>
                <w:rFonts w:ascii="Calibri" w:hAnsi="Calibri" w:cs="Calibri"/>
                <w:color w:val="000000"/>
              </w:rPr>
            </w:pPr>
            <w:r w:rsidRPr="00314549">
              <w:rPr>
                <w:rFonts w:ascii="Calibri" w:hAnsi="Calibri" w:cs="Calibri"/>
                <w:color w:val="000000"/>
              </w:rPr>
              <w:t>*</w:t>
            </w:r>
            <w:r>
              <w:rPr>
                <w:rFonts w:ascii="Calibri" w:hAnsi="Calibri" w:cs="Calibri"/>
                <w:color w:val="000000"/>
              </w:rPr>
              <w:t xml:space="preserve"> Emissions before and after the SCR is added in 2021 as required by the Clean Air Act</w:t>
            </w:r>
          </w:p>
        </w:tc>
      </w:tr>
    </w:tbl>
    <w:p w14:paraId="5DF19E15" w14:textId="32864E64" w:rsidR="00D1055C" w:rsidRDefault="00D1055C" w:rsidP="00EE4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421ED4" w14:paraId="210A1928" w14:textId="77777777" w:rsidTr="00FE0095">
        <w:tc>
          <w:tcPr>
            <w:tcW w:w="8899" w:type="dxa"/>
          </w:tcPr>
          <w:p w14:paraId="64634F1F" w14:textId="299FF7A6" w:rsidR="00421ED4" w:rsidRDefault="00421ED4" w:rsidP="00FE0095">
            <w:pPr>
              <w:rPr>
                <w:rFonts w:eastAsiaTheme="minorEastAsia"/>
              </w:rPr>
            </w:pPr>
            <m:oMathPara>
              <m:oMath>
                <m:r>
                  <w:rPr>
                    <w:rFonts w:ascii="Cambria Math" w:hAnsi="Cambria Math"/>
                  </w:rPr>
                  <m:t>Annual Value=CF⋅8760⋅Capacity⋅  Rate</m:t>
                </m:r>
              </m:oMath>
            </m:oMathPara>
          </w:p>
        </w:tc>
        <w:tc>
          <w:tcPr>
            <w:tcW w:w="461" w:type="dxa"/>
          </w:tcPr>
          <w:p w14:paraId="50DF4941" w14:textId="77777777" w:rsidR="00421ED4" w:rsidRDefault="00421ED4" w:rsidP="00FE0095">
            <w:pPr>
              <w:rPr>
                <w:rFonts w:eastAsiaTheme="minorEastAsia"/>
              </w:rPr>
            </w:pPr>
            <w:r>
              <w:rPr>
                <w:rFonts w:eastAsiaTheme="minorEastAsia"/>
              </w:rPr>
              <w:t>(3)</w:t>
            </w:r>
          </w:p>
        </w:tc>
      </w:tr>
    </w:tbl>
    <w:p w14:paraId="657A2E30" w14:textId="77777777" w:rsidR="00421ED4" w:rsidRDefault="00421ED4" w:rsidP="00EE4485"/>
    <w:p w14:paraId="4F932838" w14:textId="21862404" w:rsidR="00046D44" w:rsidRDefault="00046D44" w:rsidP="00EE4485">
      <w:r>
        <w:t>Equation (</w:t>
      </w:r>
      <w:r w:rsidR="00421ED4">
        <w:t>3</w:t>
      </w:r>
      <w:r>
        <w:t>) can</w:t>
      </w:r>
      <w:r w:rsidR="00421ED4">
        <w:t xml:space="preserve"> </w:t>
      </w:r>
      <w:r>
        <w:t xml:space="preserve">be used to compute water consumption and withdrawal for the candidate CCGT. In this case, [3] as referenced for the consumption and withdrawal rates per MWh for our candidate turbines. [3] lists water rates for several CCGT configurations; the recirculating cooling rates were used in this analysis. Table 3 presents the annual water consumption and usage for the candidate turbines. </w:t>
      </w:r>
    </w:p>
    <w:p w14:paraId="32207B88" w14:textId="232FCE39" w:rsidR="00E22326" w:rsidRDefault="00E22326" w:rsidP="00EE4485"/>
    <w:p w14:paraId="7C0734EC" w14:textId="77777777" w:rsidR="00E22326" w:rsidRDefault="00E22326" w:rsidP="00EE4485"/>
    <w:tbl>
      <w:tblPr>
        <w:tblW w:w="8346" w:type="dxa"/>
        <w:tblLook w:val="04A0" w:firstRow="1" w:lastRow="0" w:firstColumn="1" w:lastColumn="0" w:noHBand="0" w:noVBand="1"/>
      </w:tblPr>
      <w:tblGrid>
        <w:gridCol w:w="1149"/>
        <w:gridCol w:w="995"/>
        <w:gridCol w:w="995"/>
        <w:gridCol w:w="995"/>
        <w:gridCol w:w="1133"/>
        <w:gridCol w:w="973"/>
        <w:gridCol w:w="1133"/>
        <w:gridCol w:w="973"/>
      </w:tblGrid>
      <w:tr w:rsidR="00EE4485" w:rsidRPr="00EE4485" w14:paraId="1377AAA9" w14:textId="77777777" w:rsidTr="00BB3FF8">
        <w:trPr>
          <w:trHeight w:val="315"/>
        </w:trPr>
        <w:tc>
          <w:tcPr>
            <w:tcW w:w="8346"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6BBED82A" w14:textId="3D7E0A78" w:rsidR="00EE4485" w:rsidRPr="00EE4485" w:rsidRDefault="00EE4485" w:rsidP="00EE4485">
            <w:pPr>
              <w:spacing w:after="0" w:line="240" w:lineRule="auto"/>
              <w:rPr>
                <w:rFonts w:ascii="Calibri" w:eastAsia="Times New Roman" w:hAnsi="Calibri" w:cs="Calibri"/>
                <w:color w:val="000000"/>
              </w:rPr>
            </w:pPr>
            <w:r w:rsidRPr="00EE4485">
              <w:rPr>
                <w:rFonts w:ascii="Calibri" w:eastAsia="Times New Roman" w:hAnsi="Calibri" w:cs="Calibri"/>
                <w:color w:val="000000"/>
              </w:rPr>
              <w:lastRenderedPageBreak/>
              <w:t xml:space="preserve">Table 3: CCGT Life Cycle Analysis Water Consumption and </w:t>
            </w:r>
            <w:r w:rsidR="00D42D31" w:rsidRPr="00EE4485">
              <w:rPr>
                <w:rFonts w:ascii="Calibri" w:eastAsia="Times New Roman" w:hAnsi="Calibri" w:cs="Calibri"/>
                <w:color w:val="000000"/>
              </w:rPr>
              <w:t>Withdrawal</w:t>
            </w:r>
            <w:r w:rsidR="00D42D31" w:rsidRPr="00EE4485">
              <w:rPr>
                <w:rFonts w:ascii="Calibri" w:eastAsia="Times New Roman" w:hAnsi="Calibri" w:cs="Calibri"/>
                <w:color w:val="000000"/>
                <w:vertAlign w:val="superscript"/>
              </w:rPr>
              <w:t xml:space="preserve"> [</w:t>
            </w:r>
            <w:r w:rsidRPr="00EE4485">
              <w:rPr>
                <w:rFonts w:ascii="Calibri" w:eastAsia="Times New Roman" w:hAnsi="Calibri" w:cs="Calibri"/>
                <w:color w:val="000000"/>
                <w:vertAlign w:val="superscript"/>
              </w:rPr>
              <w:t>3]</w:t>
            </w:r>
          </w:p>
        </w:tc>
      </w:tr>
      <w:tr w:rsidR="00EE4485" w:rsidRPr="00EE4485" w14:paraId="0911B948" w14:textId="77777777" w:rsidTr="00BB3FF8">
        <w:trPr>
          <w:trHeight w:val="900"/>
        </w:trPr>
        <w:tc>
          <w:tcPr>
            <w:tcW w:w="1149" w:type="dxa"/>
            <w:vMerge w:val="restart"/>
            <w:tcBorders>
              <w:top w:val="nil"/>
              <w:left w:val="single" w:sz="8" w:space="0" w:color="auto"/>
              <w:bottom w:val="single" w:sz="8" w:space="0" w:color="000000"/>
              <w:right w:val="single" w:sz="8" w:space="0" w:color="auto"/>
            </w:tcBorders>
            <w:shd w:val="clear" w:color="auto" w:fill="auto"/>
            <w:vAlign w:val="center"/>
            <w:hideMark/>
          </w:tcPr>
          <w:p w14:paraId="70DAE258"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Turbine</w:t>
            </w:r>
          </w:p>
        </w:tc>
        <w:tc>
          <w:tcPr>
            <w:tcW w:w="995" w:type="dxa"/>
            <w:vMerge w:val="restart"/>
            <w:tcBorders>
              <w:top w:val="nil"/>
              <w:left w:val="single" w:sz="8" w:space="0" w:color="auto"/>
              <w:bottom w:val="single" w:sz="8" w:space="0" w:color="000000"/>
              <w:right w:val="single" w:sz="8" w:space="0" w:color="auto"/>
            </w:tcBorders>
            <w:shd w:val="clear" w:color="auto" w:fill="auto"/>
            <w:vAlign w:val="center"/>
            <w:hideMark/>
          </w:tcPr>
          <w:p w14:paraId="182A38B7"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Location</w:t>
            </w:r>
          </w:p>
        </w:tc>
        <w:tc>
          <w:tcPr>
            <w:tcW w:w="995" w:type="dxa"/>
            <w:tcBorders>
              <w:top w:val="nil"/>
              <w:left w:val="nil"/>
              <w:bottom w:val="nil"/>
              <w:right w:val="single" w:sz="8" w:space="0" w:color="auto"/>
            </w:tcBorders>
            <w:shd w:val="clear" w:color="auto" w:fill="auto"/>
            <w:vAlign w:val="center"/>
            <w:hideMark/>
          </w:tcPr>
          <w:p w14:paraId="26CE89F1"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Capacity Factor</w:t>
            </w:r>
          </w:p>
        </w:tc>
        <w:tc>
          <w:tcPr>
            <w:tcW w:w="995" w:type="dxa"/>
            <w:vMerge w:val="restart"/>
            <w:tcBorders>
              <w:top w:val="nil"/>
              <w:left w:val="single" w:sz="8" w:space="0" w:color="auto"/>
              <w:bottom w:val="single" w:sz="8" w:space="0" w:color="000000"/>
              <w:right w:val="single" w:sz="8" w:space="0" w:color="auto"/>
            </w:tcBorders>
            <w:shd w:val="clear" w:color="auto" w:fill="auto"/>
            <w:vAlign w:val="center"/>
            <w:hideMark/>
          </w:tcPr>
          <w:p w14:paraId="5C8EA4A3"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 xml:space="preserve">Capacity </w:t>
            </w:r>
            <w:r w:rsidRPr="00EE4485">
              <w:rPr>
                <w:rFonts w:ascii="Calibri" w:eastAsia="Times New Roman" w:hAnsi="Calibri" w:cs="Calibri"/>
                <w:b/>
                <w:bCs/>
                <w:color w:val="000000"/>
                <w:sz w:val="20"/>
                <w:szCs w:val="20"/>
              </w:rPr>
              <w:t>(MW)</w:t>
            </w:r>
          </w:p>
        </w:tc>
        <w:tc>
          <w:tcPr>
            <w:tcW w:w="2106" w:type="dxa"/>
            <w:gridSpan w:val="2"/>
            <w:tcBorders>
              <w:top w:val="single" w:sz="8" w:space="0" w:color="auto"/>
              <w:left w:val="nil"/>
              <w:bottom w:val="single" w:sz="8" w:space="0" w:color="auto"/>
              <w:right w:val="single" w:sz="8" w:space="0" w:color="000000"/>
            </w:tcBorders>
            <w:shd w:val="clear" w:color="auto" w:fill="auto"/>
            <w:vAlign w:val="center"/>
            <w:hideMark/>
          </w:tcPr>
          <w:p w14:paraId="674EE2FF"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Water Consumption*</w:t>
            </w:r>
          </w:p>
        </w:tc>
        <w:tc>
          <w:tcPr>
            <w:tcW w:w="2106" w:type="dxa"/>
            <w:gridSpan w:val="2"/>
            <w:tcBorders>
              <w:top w:val="single" w:sz="8" w:space="0" w:color="auto"/>
              <w:left w:val="nil"/>
              <w:bottom w:val="single" w:sz="8" w:space="0" w:color="auto"/>
              <w:right w:val="single" w:sz="8" w:space="0" w:color="000000"/>
            </w:tcBorders>
            <w:shd w:val="clear" w:color="auto" w:fill="auto"/>
            <w:vAlign w:val="center"/>
            <w:hideMark/>
          </w:tcPr>
          <w:p w14:paraId="58672C0C" w14:textId="2F4A5BCB"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 xml:space="preserve">Water </w:t>
            </w:r>
            <w:r w:rsidR="00046D44" w:rsidRPr="00EE4485">
              <w:rPr>
                <w:rFonts w:ascii="Calibri" w:eastAsia="Times New Roman" w:hAnsi="Calibri" w:cs="Calibri"/>
                <w:b/>
                <w:bCs/>
                <w:color w:val="000000"/>
              </w:rPr>
              <w:t>Withdrawal</w:t>
            </w:r>
            <w:r w:rsidRPr="00EE4485">
              <w:rPr>
                <w:rFonts w:ascii="Calibri" w:eastAsia="Times New Roman" w:hAnsi="Calibri" w:cs="Calibri"/>
                <w:b/>
                <w:bCs/>
                <w:color w:val="000000"/>
              </w:rPr>
              <w:t>*</w:t>
            </w:r>
          </w:p>
        </w:tc>
      </w:tr>
      <w:tr w:rsidR="00EE4485" w:rsidRPr="00EE4485" w14:paraId="355E4A4D" w14:textId="77777777" w:rsidTr="00BB3FF8">
        <w:trPr>
          <w:trHeight w:val="615"/>
        </w:trPr>
        <w:tc>
          <w:tcPr>
            <w:tcW w:w="1149" w:type="dxa"/>
            <w:vMerge/>
            <w:tcBorders>
              <w:top w:val="nil"/>
              <w:left w:val="single" w:sz="8" w:space="0" w:color="auto"/>
              <w:bottom w:val="single" w:sz="8" w:space="0" w:color="000000"/>
              <w:right w:val="single" w:sz="8" w:space="0" w:color="auto"/>
            </w:tcBorders>
            <w:vAlign w:val="center"/>
            <w:hideMark/>
          </w:tcPr>
          <w:p w14:paraId="07FDA85F" w14:textId="77777777" w:rsidR="00EE4485" w:rsidRPr="00EE4485" w:rsidRDefault="00EE4485" w:rsidP="00EE4485">
            <w:pPr>
              <w:spacing w:after="0" w:line="240" w:lineRule="auto"/>
              <w:rPr>
                <w:rFonts w:ascii="Calibri" w:eastAsia="Times New Roman" w:hAnsi="Calibri" w:cs="Calibri"/>
                <w:b/>
                <w:bCs/>
                <w:color w:val="000000"/>
              </w:rPr>
            </w:pPr>
          </w:p>
        </w:tc>
        <w:tc>
          <w:tcPr>
            <w:tcW w:w="995" w:type="dxa"/>
            <w:vMerge/>
            <w:tcBorders>
              <w:top w:val="nil"/>
              <w:left w:val="single" w:sz="8" w:space="0" w:color="auto"/>
              <w:bottom w:val="single" w:sz="8" w:space="0" w:color="000000"/>
              <w:right w:val="single" w:sz="8" w:space="0" w:color="auto"/>
            </w:tcBorders>
            <w:vAlign w:val="center"/>
            <w:hideMark/>
          </w:tcPr>
          <w:p w14:paraId="2930F43E" w14:textId="77777777" w:rsidR="00EE4485" w:rsidRPr="00EE4485" w:rsidRDefault="00EE4485" w:rsidP="00EE4485">
            <w:pPr>
              <w:spacing w:after="0" w:line="240" w:lineRule="auto"/>
              <w:rPr>
                <w:rFonts w:ascii="Calibri" w:eastAsia="Times New Roman" w:hAnsi="Calibri" w:cs="Calibri"/>
                <w:b/>
                <w:bCs/>
                <w:color w:val="000000"/>
              </w:rPr>
            </w:pPr>
          </w:p>
        </w:tc>
        <w:tc>
          <w:tcPr>
            <w:tcW w:w="995" w:type="dxa"/>
            <w:tcBorders>
              <w:top w:val="nil"/>
              <w:left w:val="nil"/>
              <w:bottom w:val="single" w:sz="8" w:space="0" w:color="auto"/>
              <w:right w:val="single" w:sz="8" w:space="0" w:color="auto"/>
            </w:tcBorders>
            <w:shd w:val="clear" w:color="auto" w:fill="auto"/>
            <w:vAlign w:val="center"/>
            <w:hideMark/>
          </w:tcPr>
          <w:p w14:paraId="5616BD0C"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(2011-2019)</w:t>
            </w:r>
          </w:p>
        </w:tc>
        <w:tc>
          <w:tcPr>
            <w:tcW w:w="995" w:type="dxa"/>
            <w:vMerge/>
            <w:tcBorders>
              <w:top w:val="nil"/>
              <w:left w:val="single" w:sz="8" w:space="0" w:color="auto"/>
              <w:bottom w:val="single" w:sz="8" w:space="0" w:color="000000"/>
              <w:right w:val="single" w:sz="8" w:space="0" w:color="auto"/>
            </w:tcBorders>
            <w:vAlign w:val="center"/>
            <w:hideMark/>
          </w:tcPr>
          <w:p w14:paraId="415F5CFC" w14:textId="77777777" w:rsidR="00EE4485" w:rsidRPr="00EE4485" w:rsidRDefault="00EE4485" w:rsidP="00EE4485">
            <w:pPr>
              <w:spacing w:after="0" w:line="240" w:lineRule="auto"/>
              <w:rPr>
                <w:rFonts w:ascii="Calibri" w:eastAsia="Times New Roman" w:hAnsi="Calibri" w:cs="Calibri"/>
                <w:b/>
                <w:bCs/>
                <w:color w:val="000000"/>
              </w:rPr>
            </w:pPr>
          </w:p>
        </w:tc>
        <w:tc>
          <w:tcPr>
            <w:tcW w:w="1133" w:type="dxa"/>
            <w:tcBorders>
              <w:top w:val="nil"/>
              <w:left w:val="nil"/>
              <w:bottom w:val="single" w:sz="8" w:space="0" w:color="auto"/>
              <w:right w:val="single" w:sz="8" w:space="0" w:color="auto"/>
            </w:tcBorders>
            <w:shd w:val="clear" w:color="auto" w:fill="auto"/>
            <w:vAlign w:val="center"/>
            <w:hideMark/>
          </w:tcPr>
          <w:p w14:paraId="027F1168"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(gal/MWh)</w:t>
            </w:r>
          </w:p>
        </w:tc>
        <w:tc>
          <w:tcPr>
            <w:tcW w:w="973" w:type="dxa"/>
            <w:tcBorders>
              <w:top w:val="nil"/>
              <w:left w:val="nil"/>
              <w:bottom w:val="single" w:sz="8" w:space="0" w:color="auto"/>
              <w:right w:val="single" w:sz="8" w:space="0" w:color="auto"/>
            </w:tcBorders>
            <w:shd w:val="clear" w:color="auto" w:fill="auto"/>
            <w:vAlign w:val="center"/>
            <w:hideMark/>
          </w:tcPr>
          <w:p w14:paraId="5FCB7ECC"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(10^6 gal/year)</w:t>
            </w:r>
          </w:p>
        </w:tc>
        <w:tc>
          <w:tcPr>
            <w:tcW w:w="1133" w:type="dxa"/>
            <w:tcBorders>
              <w:top w:val="nil"/>
              <w:left w:val="nil"/>
              <w:bottom w:val="single" w:sz="8" w:space="0" w:color="auto"/>
              <w:right w:val="single" w:sz="8" w:space="0" w:color="auto"/>
            </w:tcBorders>
            <w:shd w:val="clear" w:color="auto" w:fill="auto"/>
            <w:vAlign w:val="center"/>
            <w:hideMark/>
          </w:tcPr>
          <w:p w14:paraId="1CCC44E9"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(gal/MWh)</w:t>
            </w:r>
          </w:p>
        </w:tc>
        <w:tc>
          <w:tcPr>
            <w:tcW w:w="973" w:type="dxa"/>
            <w:tcBorders>
              <w:top w:val="nil"/>
              <w:left w:val="nil"/>
              <w:bottom w:val="single" w:sz="8" w:space="0" w:color="auto"/>
              <w:right w:val="single" w:sz="8" w:space="0" w:color="auto"/>
            </w:tcBorders>
            <w:shd w:val="clear" w:color="auto" w:fill="auto"/>
            <w:vAlign w:val="center"/>
            <w:hideMark/>
          </w:tcPr>
          <w:p w14:paraId="637C5F3B"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(10^6 gal/year)</w:t>
            </w:r>
          </w:p>
        </w:tc>
      </w:tr>
      <w:tr w:rsidR="00BB3FF8" w:rsidRPr="00EE4485" w14:paraId="62774EFB"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7D554D14"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GE 7FA.05</w:t>
            </w:r>
          </w:p>
        </w:tc>
        <w:tc>
          <w:tcPr>
            <w:tcW w:w="995" w:type="dxa"/>
            <w:tcBorders>
              <w:top w:val="nil"/>
              <w:left w:val="nil"/>
              <w:bottom w:val="single" w:sz="8" w:space="0" w:color="auto"/>
              <w:right w:val="single" w:sz="8" w:space="0" w:color="auto"/>
            </w:tcBorders>
            <w:shd w:val="clear" w:color="auto" w:fill="auto"/>
            <w:vAlign w:val="center"/>
            <w:hideMark/>
          </w:tcPr>
          <w:p w14:paraId="4C7AE1B0"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21310CA8"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26.70%</w:t>
            </w:r>
          </w:p>
        </w:tc>
        <w:tc>
          <w:tcPr>
            <w:tcW w:w="995" w:type="dxa"/>
            <w:tcBorders>
              <w:top w:val="nil"/>
              <w:left w:val="nil"/>
              <w:bottom w:val="single" w:sz="8" w:space="0" w:color="auto"/>
              <w:right w:val="single" w:sz="8" w:space="0" w:color="auto"/>
            </w:tcBorders>
            <w:shd w:val="clear" w:color="auto" w:fill="auto"/>
            <w:vAlign w:val="center"/>
            <w:hideMark/>
          </w:tcPr>
          <w:p w14:paraId="71BF5C33"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600</w:t>
            </w:r>
          </w:p>
        </w:tc>
        <w:tc>
          <w:tcPr>
            <w:tcW w:w="1133" w:type="dxa"/>
            <w:tcBorders>
              <w:top w:val="nil"/>
              <w:left w:val="nil"/>
              <w:bottom w:val="single" w:sz="8" w:space="0" w:color="auto"/>
              <w:right w:val="single" w:sz="8" w:space="0" w:color="auto"/>
            </w:tcBorders>
            <w:shd w:val="clear" w:color="auto" w:fill="auto"/>
            <w:vAlign w:val="center"/>
            <w:hideMark/>
          </w:tcPr>
          <w:p w14:paraId="55410231" w14:textId="08204AE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39FE00C5" w14:textId="1FA24EB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280.67</w:t>
            </w:r>
          </w:p>
        </w:tc>
        <w:tc>
          <w:tcPr>
            <w:tcW w:w="1133" w:type="dxa"/>
            <w:tcBorders>
              <w:top w:val="nil"/>
              <w:left w:val="nil"/>
              <w:bottom w:val="single" w:sz="8" w:space="0" w:color="auto"/>
              <w:right w:val="single" w:sz="8" w:space="0" w:color="auto"/>
            </w:tcBorders>
            <w:shd w:val="clear" w:color="auto" w:fill="auto"/>
            <w:vAlign w:val="center"/>
            <w:hideMark/>
          </w:tcPr>
          <w:p w14:paraId="60705FC7" w14:textId="7B168D4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21749CE" w14:textId="702292E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350.84</w:t>
            </w:r>
          </w:p>
        </w:tc>
      </w:tr>
      <w:tr w:rsidR="00BB3FF8" w:rsidRPr="00EE4485" w14:paraId="577AABF8"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161DE9A6"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Mitsubishi 501J</w:t>
            </w:r>
          </w:p>
        </w:tc>
        <w:tc>
          <w:tcPr>
            <w:tcW w:w="995" w:type="dxa"/>
            <w:tcBorders>
              <w:top w:val="nil"/>
              <w:left w:val="nil"/>
              <w:bottom w:val="single" w:sz="8" w:space="0" w:color="auto"/>
              <w:right w:val="single" w:sz="8" w:space="0" w:color="auto"/>
            </w:tcBorders>
            <w:shd w:val="clear" w:color="auto" w:fill="auto"/>
            <w:vAlign w:val="center"/>
            <w:hideMark/>
          </w:tcPr>
          <w:p w14:paraId="14993F74"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5623F6D1"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31.40%</w:t>
            </w:r>
          </w:p>
        </w:tc>
        <w:tc>
          <w:tcPr>
            <w:tcW w:w="995" w:type="dxa"/>
            <w:tcBorders>
              <w:top w:val="nil"/>
              <w:left w:val="nil"/>
              <w:bottom w:val="single" w:sz="8" w:space="0" w:color="auto"/>
              <w:right w:val="single" w:sz="8" w:space="0" w:color="auto"/>
            </w:tcBorders>
            <w:shd w:val="clear" w:color="auto" w:fill="auto"/>
            <w:vAlign w:val="center"/>
            <w:hideMark/>
          </w:tcPr>
          <w:p w14:paraId="3CC09A2D"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460</w:t>
            </w:r>
          </w:p>
        </w:tc>
        <w:tc>
          <w:tcPr>
            <w:tcW w:w="1133" w:type="dxa"/>
            <w:tcBorders>
              <w:top w:val="nil"/>
              <w:left w:val="nil"/>
              <w:bottom w:val="single" w:sz="8" w:space="0" w:color="auto"/>
              <w:right w:val="single" w:sz="8" w:space="0" w:color="auto"/>
            </w:tcBorders>
            <w:shd w:val="clear" w:color="auto" w:fill="auto"/>
            <w:vAlign w:val="center"/>
            <w:hideMark/>
          </w:tcPr>
          <w:p w14:paraId="43E7798D" w14:textId="09003EC6"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222F01D2" w14:textId="42AEAE2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253.06</w:t>
            </w:r>
          </w:p>
        </w:tc>
        <w:tc>
          <w:tcPr>
            <w:tcW w:w="1133" w:type="dxa"/>
            <w:tcBorders>
              <w:top w:val="nil"/>
              <w:left w:val="nil"/>
              <w:bottom w:val="single" w:sz="8" w:space="0" w:color="auto"/>
              <w:right w:val="single" w:sz="8" w:space="0" w:color="auto"/>
            </w:tcBorders>
            <w:shd w:val="clear" w:color="auto" w:fill="auto"/>
            <w:vAlign w:val="center"/>
            <w:hideMark/>
          </w:tcPr>
          <w:p w14:paraId="0065A8D7" w14:textId="0352549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70AE186" w14:textId="28A0CE0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316.32</w:t>
            </w:r>
          </w:p>
        </w:tc>
      </w:tr>
      <w:tr w:rsidR="00BB3FF8" w:rsidRPr="00EE4485" w14:paraId="656B9A8B"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18242C9A"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Mitsubishi 501GAC</w:t>
            </w:r>
          </w:p>
        </w:tc>
        <w:tc>
          <w:tcPr>
            <w:tcW w:w="995" w:type="dxa"/>
            <w:tcBorders>
              <w:top w:val="nil"/>
              <w:left w:val="nil"/>
              <w:bottom w:val="single" w:sz="8" w:space="0" w:color="auto"/>
              <w:right w:val="single" w:sz="8" w:space="0" w:color="auto"/>
            </w:tcBorders>
            <w:shd w:val="clear" w:color="auto" w:fill="auto"/>
            <w:vAlign w:val="center"/>
            <w:hideMark/>
          </w:tcPr>
          <w:p w14:paraId="3ECFCBD0"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44CAC96C"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34.40%</w:t>
            </w:r>
          </w:p>
        </w:tc>
        <w:tc>
          <w:tcPr>
            <w:tcW w:w="995" w:type="dxa"/>
            <w:tcBorders>
              <w:top w:val="nil"/>
              <w:left w:val="nil"/>
              <w:bottom w:val="single" w:sz="8" w:space="0" w:color="auto"/>
              <w:right w:val="single" w:sz="8" w:space="0" w:color="auto"/>
            </w:tcBorders>
            <w:shd w:val="clear" w:color="auto" w:fill="auto"/>
            <w:vAlign w:val="center"/>
            <w:hideMark/>
          </w:tcPr>
          <w:p w14:paraId="329E0C6D"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405</w:t>
            </w:r>
          </w:p>
        </w:tc>
        <w:tc>
          <w:tcPr>
            <w:tcW w:w="1133" w:type="dxa"/>
            <w:tcBorders>
              <w:top w:val="nil"/>
              <w:left w:val="nil"/>
              <w:bottom w:val="single" w:sz="8" w:space="0" w:color="auto"/>
              <w:right w:val="single" w:sz="8" w:space="0" w:color="auto"/>
            </w:tcBorders>
            <w:shd w:val="clear" w:color="auto" w:fill="auto"/>
            <w:vAlign w:val="center"/>
            <w:hideMark/>
          </w:tcPr>
          <w:p w14:paraId="744F836B" w14:textId="307AB82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29718733" w14:textId="4F83EA1D"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244.09</w:t>
            </w:r>
          </w:p>
        </w:tc>
        <w:tc>
          <w:tcPr>
            <w:tcW w:w="1133" w:type="dxa"/>
            <w:tcBorders>
              <w:top w:val="nil"/>
              <w:left w:val="nil"/>
              <w:bottom w:val="single" w:sz="8" w:space="0" w:color="auto"/>
              <w:right w:val="single" w:sz="8" w:space="0" w:color="auto"/>
            </w:tcBorders>
            <w:shd w:val="clear" w:color="auto" w:fill="auto"/>
            <w:vAlign w:val="center"/>
            <w:hideMark/>
          </w:tcPr>
          <w:p w14:paraId="035C7597" w14:textId="65BF1CA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0D17CEF7" w14:textId="264C3AFD"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305.11</w:t>
            </w:r>
          </w:p>
        </w:tc>
      </w:tr>
      <w:tr w:rsidR="00BB3FF8" w:rsidRPr="00EE4485" w14:paraId="677BA532"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6C14A4E7"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GE 207FA.04</w:t>
            </w:r>
          </w:p>
        </w:tc>
        <w:tc>
          <w:tcPr>
            <w:tcW w:w="995" w:type="dxa"/>
            <w:tcBorders>
              <w:top w:val="nil"/>
              <w:left w:val="nil"/>
              <w:bottom w:val="single" w:sz="8" w:space="0" w:color="auto"/>
              <w:right w:val="single" w:sz="8" w:space="0" w:color="auto"/>
            </w:tcBorders>
            <w:shd w:val="clear" w:color="auto" w:fill="auto"/>
            <w:vAlign w:val="center"/>
            <w:hideMark/>
          </w:tcPr>
          <w:p w14:paraId="6F072D06"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San Antonio</w:t>
            </w:r>
          </w:p>
        </w:tc>
        <w:tc>
          <w:tcPr>
            <w:tcW w:w="995" w:type="dxa"/>
            <w:tcBorders>
              <w:top w:val="nil"/>
              <w:left w:val="nil"/>
              <w:bottom w:val="single" w:sz="8" w:space="0" w:color="auto"/>
              <w:right w:val="single" w:sz="8" w:space="0" w:color="auto"/>
            </w:tcBorders>
            <w:shd w:val="clear" w:color="auto" w:fill="auto"/>
            <w:vAlign w:val="center"/>
            <w:hideMark/>
          </w:tcPr>
          <w:p w14:paraId="015729CF"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10.50%</w:t>
            </w:r>
          </w:p>
        </w:tc>
        <w:tc>
          <w:tcPr>
            <w:tcW w:w="995" w:type="dxa"/>
            <w:tcBorders>
              <w:top w:val="nil"/>
              <w:left w:val="nil"/>
              <w:bottom w:val="single" w:sz="8" w:space="0" w:color="auto"/>
              <w:right w:val="single" w:sz="8" w:space="0" w:color="auto"/>
            </w:tcBorders>
            <w:shd w:val="clear" w:color="auto" w:fill="auto"/>
            <w:vAlign w:val="center"/>
            <w:hideMark/>
          </w:tcPr>
          <w:p w14:paraId="07EB8999"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942</w:t>
            </w:r>
          </w:p>
        </w:tc>
        <w:tc>
          <w:tcPr>
            <w:tcW w:w="1133" w:type="dxa"/>
            <w:tcBorders>
              <w:top w:val="nil"/>
              <w:left w:val="nil"/>
              <w:bottom w:val="single" w:sz="8" w:space="0" w:color="auto"/>
              <w:right w:val="single" w:sz="8" w:space="0" w:color="auto"/>
            </w:tcBorders>
            <w:shd w:val="clear" w:color="auto" w:fill="auto"/>
            <w:vAlign w:val="center"/>
            <w:hideMark/>
          </w:tcPr>
          <w:p w14:paraId="720A6A2D" w14:textId="21BF94E0"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14984383" w14:textId="38557BB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173.29</w:t>
            </w:r>
          </w:p>
        </w:tc>
        <w:tc>
          <w:tcPr>
            <w:tcW w:w="1133" w:type="dxa"/>
            <w:tcBorders>
              <w:top w:val="nil"/>
              <w:left w:val="nil"/>
              <w:bottom w:val="single" w:sz="8" w:space="0" w:color="auto"/>
              <w:right w:val="single" w:sz="8" w:space="0" w:color="auto"/>
            </w:tcBorders>
            <w:shd w:val="clear" w:color="auto" w:fill="auto"/>
            <w:vAlign w:val="center"/>
            <w:hideMark/>
          </w:tcPr>
          <w:p w14:paraId="3062BDE6" w14:textId="364C585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71BFB11" w14:textId="6EEA5B1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216.61</w:t>
            </w:r>
          </w:p>
        </w:tc>
      </w:tr>
      <w:tr w:rsidR="00EE4485" w:rsidRPr="00EE4485" w14:paraId="2045D966" w14:textId="77777777" w:rsidTr="00BB3FF8">
        <w:trPr>
          <w:trHeight w:val="330"/>
        </w:trPr>
        <w:tc>
          <w:tcPr>
            <w:tcW w:w="8346"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0D7D7032" w14:textId="77777777" w:rsidR="00EE4485" w:rsidRPr="00EE4485" w:rsidRDefault="00EE4485" w:rsidP="00EE4485">
            <w:pPr>
              <w:spacing w:after="0" w:line="240" w:lineRule="auto"/>
              <w:rPr>
                <w:rFonts w:ascii="Calibri" w:eastAsia="Times New Roman" w:hAnsi="Calibri" w:cs="Calibri"/>
                <w:color w:val="000000"/>
              </w:rPr>
            </w:pPr>
            <w:r w:rsidRPr="00EE4485">
              <w:rPr>
                <w:rFonts w:ascii="Calibri" w:eastAsia="Times New Roman" w:hAnsi="Calibri" w:cs="Calibri"/>
                <w:color w:val="000000"/>
              </w:rPr>
              <w:t>* Assumed recirculating cooling (cooling towers)</w:t>
            </w:r>
          </w:p>
        </w:tc>
      </w:tr>
    </w:tbl>
    <w:p w14:paraId="02702E42" w14:textId="5E581BC4" w:rsidR="00EE4485" w:rsidRDefault="00EE4485" w:rsidP="00EE4485"/>
    <w:p w14:paraId="1603C979" w14:textId="53294EFD" w:rsidR="00046D44" w:rsidRDefault="00046D44" w:rsidP="00046D44">
      <w:pPr>
        <w:pStyle w:val="Heading2"/>
      </w:pPr>
      <w:r>
        <w:t>Renewables Analysis</w:t>
      </w:r>
    </w:p>
    <w:p w14:paraId="752E04BE" w14:textId="4B994E8A" w:rsidR="00046D44" w:rsidRDefault="00F7037F" w:rsidP="00EE4485">
      <w:r>
        <w:t>The renewables Life Cycle Analysis is conducted similarly to the CCGT Life Cycle Analysis. Using the values provided in the case study for the seasonal capacity factors, the annual weighted capacity factor was calculated, presented in Table 4. Then, using the</w:t>
      </w:r>
      <w:r w:rsidRPr="00F7037F">
        <w:rPr>
          <w:rFonts w:ascii="Calibri" w:hAnsi="Calibri" w:cs="Calibri"/>
          <w:b/>
          <w:bCs/>
          <w:color w:val="000000"/>
        </w:rPr>
        <w:t xml:space="preserve"> </w:t>
      </w:r>
      <w:r w:rsidRPr="00F7037F">
        <w:rPr>
          <w:rFonts w:ascii="Calibri" w:hAnsi="Calibri" w:cs="Calibri"/>
          <w:color w:val="000000"/>
        </w:rPr>
        <w:t>CO</w:t>
      </w:r>
      <w:r w:rsidRPr="00F7037F">
        <w:rPr>
          <w:rFonts w:ascii="Calibri" w:hAnsi="Calibri" w:cs="Calibri"/>
          <w:color w:val="000000"/>
          <w:vertAlign w:val="subscript"/>
        </w:rPr>
        <w:t>2</w:t>
      </w:r>
      <w:r w:rsidRPr="00F7037F">
        <w:rPr>
          <w:rFonts w:ascii="Calibri" w:hAnsi="Calibri" w:cs="Calibri"/>
          <w:color w:val="000000"/>
        </w:rPr>
        <w:t>-eq</w:t>
      </w:r>
      <w:r>
        <w:t xml:space="preserve"> emissions rates for each source’s production provided in [4], the annual </w:t>
      </w:r>
      <w:r w:rsidRPr="00F7037F">
        <w:rPr>
          <w:rFonts w:ascii="Calibri" w:hAnsi="Calibri" w:cs="Calibri"/>
          <w:color w:val="000000"/>
        </w:rPr>
        <w:t>CO</w:t>
      </w:r>
      <w:r w:rsidRPr="00F7037F">
        <w:rPr>
          <w:rFonts w:ascii="Calibri" w:hAnsi="Calibri" w:cs="Calibri"/>
          <w:color w:val="000000"/>
          <w:vertAlign w:val="subscript"/>
        </w:rPr>
        <w:t>2</w:t>
      </w:r>
      <w:r w:rsidRPr="00F7037F">
        <w:rPr>
          <w:rFonts w:ascii="Calibri" w:hAnsi="Calibri" w:cs="Calibri"/>
          <w:color w:val="000000"/>
        </w:rPr>
        <w:t>-eq</w:t>
      </w:r>
      <w:r>
        <w:rPr>
          <w:rFonts w:ascii="Calibri" w:hAnsi="Calibri" w:cs="Calibri"/>
          <w:color w:val="000000"/>
        </w:rPr>
        <w:t xml:space="preserve"> emission rate was calculated using equation (</w:t>
      </w:r>
      <w:r w:rsidR="00421ED4">
        <w:rPr>
          <w:rFonts w:ascii="Calibri" w:hAnsi="Calibri" w:cs="Calibri"/>
          <w:color w:val="000000"/>
        </w:rPr>
        <w:t>3</w:t>
      </w:r>
      <w:r>
        <w:rPr>
          <w:rFonts w:ascii="Calibri" w:hAnsi="Calibri" w:cs="Calibri"/>
          <w:color w:val="000000"/>
        </w:rPr>
        <w:t xml:space="preserve">). </w:t>
      </w:r>
    </w:p>
    <w:tbl>
      <w:tblPr>
        <w:tblW w:w="9118" w:type="dxa"/>
        <w:tblCellMar>
          <w:left w:w="0" w:type="dxa"/>
          <w:right w:w="0" w:type="dxa"/>
        </w:tblCellMar>
        <w:tblLook w:val="04A0" w:firstRow="1" w:lastRow="0" w:firstColumn="1" w:lastColumn="0" w:noHBand="0" w:noVBand="1"/>
      </w:tblPr>
      <w:tblGrid>
        <w:gridCol w:w="1411"/>
        <w:gridCol w:w="1553"/>
        <w:gridCol w:w="1005"/>
        <w:gridCol w:w="1051"/>
        <w:gridCol w:w="1287"/>
        <w:gridCol w:w="1474"/>
        <w:gridCol w:w="1337"/>
      </w:tblGrid>
      <w:tr w:rsidR="00D1055C" w14:paraId="15C1DA1C" w14:textId="77777777" w:rsidTr="00D1055C">
        <w:trPr>
          <w:trHeight w:val="253"/>
        </w:trPr>
        <w:tc>
          <w:tcPr>
            <w:tcW w:w="9118" w:type="dxa"/>
            <w:gridSpan w:val="7"/>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center"/>
            <w:hideMark/>
          </w:tcPr>
          <w:p w14:paraId="2ED0A7CB" w14:textId="77777777" w:rsidR="00D1055C" w:rsidRDefault="00D1055C">
            <w:pPr>
              <w:rPr>
                <w:rFonts w:ascii="Calibri" w:hAnsi="Calibri" w:cs="Calibri"/>
                <w:color w:val="000000"/>
              </w:rPr>
            </w:pPr>
            <w:r>
              <w:rPr>
                <w:rFonts w:ascii="Calibri" w:hAnsi="Calibri" w:cs="Calibri"/>
                <w:color w:val="000000"/>
              </w:rPr>
              <w:t>Table 4: Renewables Life Cycle Analysis [4]</w:t>
            </w:r>
          </w:p>
        </w:tc>
      </w:tr>
      <w:tr w:rsidR="00D1055C" w14:paraId="56B88EC7" w14:textId="77777777" w:rsidTr="00BB3FF8">
        <w:trPr>
          <w:trHeight w:val="315"/>
        </w:trPr>
        <w:tc>
          <w:tcPr>
            <w:tcW w:w="1411" w:type="dxa"/>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bottom"/>
            <w:hideMark/>
          </w:tcPr>
          <w:p w14:paraId="48D922F6" w14:textId="77777777" w:rsidR="00D1055C" w:rsidRDefault="00D1055C" w:rsidP="00D1055C">
            <w:pPr>
              <w:jc w:val="center"/>
              <w:rPr>
                <w:rFonts w:ascii="Calibri" w:hAnsi="Calibri" w:cs="Calibri"/>
                <w:b/>
                <w:bCs/>
                <w:color w:val="000000"/>
              </w:rPr>
            </w:pPr>
            <w:r>
              <w:rPr>
                <w:rFonts w:ascii="Calibri" w:hAnsi="Calibri" w:cs="Calibri"/>
                <w:b/>
                <w:bCs/>
                <w:color w:val="000000"/>
              </w:rPr>
              <w:t>Development</w:t>
            </w:r>
          </w:p>
        </w:tc>
        <w:tc>
          <w:tcPr>
            <w:tcW w:w="1553" w:type="dxa"/>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bottom"/>
            <w:hideMark/>
          </w:tcPr>
          <w:p w14:paraId="4D1F1973" w14:textId="77777777" w:rsidR="00D1055C" w:rsidRDefault="00D1055C" w:rsidP="00D1055C">
            <w:pPr>
              <w:jc w:val="center"/>
              <w:rPr>
                <w:rFonts w:ascii="Calibri" w:hAnsi="Calibri" w:cs="Calibri"/>
                <w:b/>
                <w:bCs/>
                <w:color w:val="000000"/>
              </w:rPr>
            </w:pPr>
            <w:r>
              <w:rPr>
                <w:rFonts w:ascii="Calibri" w:hAnsi="Calibri" w:cs="Calibri"/>
                <w:b/>
                <w:bCs/>
                <w:color w:val="000000"/>
              </w:rPr>
              <w:t>Source</w:t>
            </w:r>
          </w:p>
        </w:tc>
        <w:tc>
          <w:tcPr>
            <w:tcW w:w="1005" w:type="dxa"/>
            <w:vMerge w:val="restart"/>
            <w:tcBorders>
              <w:top w:val="nil"/>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bottom"/>
            <w:hideMark/>
          </w:tcPr>
          <w:p w14:paraId="3D2021B3" w14:textId="77777777" w:rsidR="00D1055C" w:rsidRDefault="00D1055C" w:rsidP="00D1055C">
            <w:pPr>
              <w:jc w:val="center"/>
              <w:rPr>
                <w:rFonts w:ascii="Calibri" w:hAnsi="Calibri" w:cs="Calibri"/>
                <w:b/>
                <w:bCs/>
                <w:color w:val="000000"/>
              </w:rPr>
            </w:pPr>
            <w:r>
              <w:rPr>
                <w:rFonts w:ascii="Calibri" w:hAnsi="Calibri" w:cs="Calibri"/>
                <w:b/>
                <w:bCs/>
                <w:color w:val="000000"/>
              </w:rPr>
              <w:t>Capacity Factor</w:t>
            </w:r>
          </w:p>
        </w:tc>
        <w:tc>
          <w:tcPr>
            <w:tcW w:w="1051" w:type="dxa"/>
            <w:tcBorders>
              <w:top w:val="nil"/>
              <w:left w:val="single" w:sz="4" w:space="0" w:color="auto"/>
              <w:right w:val="single" w:sz="4" w:space="0" w:color="auto"/>
            </w:tcBorders>
            <w:shd w:val="clear" w:color="auto" w:fill="auto"/>
            <w:noWrap/>
            <w:tcMar>
              <w:top w:w="15" w:type="dxa"/>
              <w:left w:w="15" w:type="dxa"/>
              <w:bottom w:w="0" w:type="dxa"/>
              <w:right w:w="15" w:type="dxa"/>
            </w:tcMar>
            <w:vAlign w:val="bottom"/>
            <w:hideMark/>
          </w:tcPr>
          <w:p w14:paraId="14B9B077" w14:textId="77777777" w:rsidR="00D1055C" w:rsidRDefault="00D1055C" w:rsidP="00D1055C">
            <w:pPr>
              <w:jc w:val="center"/>
              <w:rPr>
                <w:rFonts w:ascii="Calibri" w:hAnsi="Calibri" w:cs="Calibri"/>
                <w:b/>
                <w:bCs/>
                <w:color w:val="000000"/>
              </w:rPr>
            </w:pPr>
            <w:r>
              <w:rPr>
                <w:rFonts w:ascii="Calibri" w:hAnsi="Calibri" w:cs="Calibri"/>
                <w:b/>
                <w:bCs/>
                <w:color w:val="000000"/>
              </w:rPr>
              <w:t>Capacity</w:t>
            </w:r>
          </w:p>
        </w:tc>
        <w:tc>
          <w:tcPr>
            <w:tcW w:w="1287"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vAlign w:val="bottom"/>
            <w:hideMark/>
          </w:tcPr>
          <w:p w14:paraId="32B36FF1" w14:textId="77777777" w:rsidR="00D1055C" w:rsidRDefault="00D1055C" w:rsidP="00D1055C">
            <w:pPr>
              <w:jc w:val="center"/>
              <w:rPr>
                <w:rFonts w:ascii="Calibri" w:hAnsi="Calibri" w:cs="Calibri"/>
                <w:b/>
                <w:bCs/>
                <w:color w:val="000000"/>
              </w:rPr>
            </w:pPr>
            <w:r>
              <w:rPr>
                <w:rFonts w:ascii="Calibri" w:hAnsi="Calibri" w:cs="Calibri"/>
                <w:b/>
                <w:bCs/>
                <w:color w:val="000000"/>
              </w:rPr>
              <w:t>Project Area</w:t>
            </w:r>
          </w:p>
        </w:tc>
        <w:tc>
          <w:tcPr>
            <w:tcW w:w="0" w:type="auto"/>
            <w:gridSpan w:val="2"/>
            <w:tcBorders>
              <w:top w:val="single" w:sz="8" w:space="0" w:color="auto"/>
              <w:left w:val="single" w:sz="4"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28DA388F" w14:textId="77777777" w:rsidR="00D1055C" w:rsidRDefault="00D1055C" w:rsidP="00D1055C">
            <w:pPr>
              <w:jc w:val="center"/>
              <w:rPr>
                <w:rFonts w:ascii="Calibri" w:hAnsi="Calibri" w:cs="Calibri"/>
                <w:b/>
                <w:bCs/>
                <w:color w:val="000000"/>
              </w:rPr>
            </w:pPr>
            <w:r>
              <w:rPr>
                <w:rFonts w:ascii="Calibri" w:hAnsi="Calibri" w:cs="Calibri"/>
                <w:b/>
                <w:bCs/>
                <w:color w:val="000000"/>
              </w:rPr>
              <w:t>CO</w:t>
            </w:r>
            <w:r w:rsidRPr="00F7037F">
              <w:rPr>
                <w:rFonts w:ascii="Calibri" w:hAnsi="Calibri" w:cs="Calibri"/>
                <w:b/>
                <w:bCs/>
                <w:color w:val="000000"/>
                <w:vertAlign w:val="subscript"/>
              </w:rPr>
              <w:t>2</w:t>
            </w:r>
            <w:r>
              <w:rPr>
                <w:rFonts w:ascii="Calibri" w:hAnsi="Calibri" w:cs="Calibri"/>
                <w:b/>
                <w:bCs/>
                <w:color w:val="000000"/>
              </w:rPr>
              <w:t>-eq</w:t>
            </w:r>
          </w:p>
        </w:tc>
      </w:tr>
      <w:tr w:rsidR="00D1055C" w14:paraId="2146816F" w14:textId="77777777" w:rsidTr="00BB3FF8">
        <w:trPr>
          <w:trHeight w:val="315"/>
        </w:trPr>
        <w:tc>
          <w:tcPr>
            <w:tcW w:w="1411" w:type="dxa"/>
            <w:vMerge/>
            <w:tcBorders>
              <w:top w:val="nil"/>
              <w:left w:val="single" w:sz="8" w:space="0" w:color="auto"/>
              <w:bottom w:val="single" w:sz="8" w:space="0" w:color="000000"/>
              <w:right w:val="single" w:sz="8" w:space="0" w:color="auto"/>
            </w:tcBorders>
            <w:vAlign w:val="center"/>
            <w:hideMark/>
          </w:tcPr>
          <w:p w14:paraId="014A576A" w14:textId="77777777" w:rsidR="00D1055C" w:rsidRDefault="00D1055C" w:rsidP="00D1055C">
            <w:pPr>
              <w:jc w:val="center"/>
              <w:rPr>
                <w:rFonts w:ascii="Calibri" w:hAnsi="Calibri" w:cs="Calibri"/>
                <w:b/>
                <w:bCs/>
                <w:color w:val="000000"/>
              </w:rPr>
            </w:pPr>
          </w:p>
        </w:tc>
        <w:tc>
          <w:tcPr>
            <w:tcW w:w="1553" w:type="dxa"/>
            <w:vMerge/>
            <w:tcBorders>
              <w:top w:val="nil"/>
              <w:left w:val="single" w:sz="8" w:space="0" w:color="auto"/>
              <w:bottom w:val="single" w:sz="8" w:space="0" w:color="000000"/>
              <w:right w:val="single" w:sz="8" w:space="0" w:color="auto"/>
            </w:tcBorders>
            <w:vAlign w:val="center"/>
            <w:hideMark/>
          </w:tcPr>
          <w:p w14:paraId="1C083F4C" w14:textId="77777777" w:rsidR="00D1055C" w:rsidRDefault="00D1055C" w:rsidP="00D1055C">
            <w:pPr>
              <w:jc w:val="center"/>
              <w:rPr>
                <w:rFonts w:ascii="Calibri" w:hAnsi="Calibri" w:cs="Calibri"/>
                <w:b/>
                <w:bCs/>
                <w:color w:val="000000"/>
              </w:rPr>
            </w:pPr>
          </w:p>
        </w:tc>
        <w:tc>
          <w:tcPr>
            <w:tcW w:w="1005" w:type="dxa"/>
            <w:vMerge/>
            <w:tcBorders>
              <w:top w:val="nil"/>
              <w:left w:val="single" w:sz="8" w:space="0" w:color="auto"/>
              <w:bottom w:val="single" w:sz="8" w:space="0" w:color="000000"/>
              <w:right w:val="single" w:sz="8" w:space="0" w:color="auto"/>
            </w:tcBorders>
            <w:vAlign w:val="center"/>
            <w:hideMark/>
          </w:tcPr>
          <w:p w14:paraId="03710C86" w14:textId="77777777" w:rsidR="00D1055C" w:rsidRDefault="00D1055C" w:rsidP="00D1055C">
            <w:pPr>
              <w:jc w:val="center"/>
              <w:rPr>
                <w:rFonts w:ascii="Calibri" w:hAnsi="Calibri" w:cs="Calibri"/>
                <w:b/>
                <w:bCs/>
                <w:color w:val="000000"/>
              </w:rPr>
            </w:pPr>
          </w:p>
        </w:tc>
        <w:tc>
          <w:tcPr>
            <w:tcW w:w="1051"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2FA1B5A" w14:textId="77777777" w:rsidR="00D1055C" w:rsidRDefault="00D1055C" w:rsidP="00D1055C">
            <w:pPr>
              <w:jc w:val="center"/>
              <w:rPr>
                <w:rFonts w:ascii="Calibri" w:hAnsi="Calibri" w:cs="Calibri"/>
                <w:b/>
                <w:bCs/>
                <w:color w:val="000000"/>
              </w:rPr>
            </w:pPr>
            <w:r>
              <w:rPr>
                <w:rFonts w:ascii="Calibri" w:hAnsi="Calibri" w:cs="Calibri"/>
                <w:b/>
                <w:bCs/>
                <w:color w:val="000000"/>
              </w:rPr>
              <w:t>(MW)</w:t>
            </w:r>
          </w:p>
        </w:tc>
        <w:tc>
          <w:tcPr>
            <w:tcW w:w="12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82365" w14:textId="77777777" w:rsidR="00D1055C" w:rsidRDefault="00D1055C" w:rsidP="00D1055C">
            <w:pPr>
              <w:jc w:val="center"/>
              <w:rPr>
                <w:rFonts w:ascii="Calibri" w:hAnsi="Calibri" w:cs="Calibri"/>
                <w:b/>
                <w:bCs/>
                <w:color w:val="000000"/>
              </w:rPr>
            </w:pPr>
            <w:r>
              <w:rPr>
                <w:rFonts w:ascii="Calibri" w:hAnsi="Calibri" w:cs="Calibri"/>
                <w:b/>
                <w:bCs/>
                <w:color w:val="000000"/>
              </w:rPr>
              <w:t>(acres)</w:t>
            </w:r>
          </w:p>
        </w:tc>
        <w:tc>
          <w:tcPr>
            <w:tcW w:w="0" w:type="auto"/>
            <w:tcBorders>
              <w:top w:val="nil"/>
              <w:left w:val="single" w:sz="4"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1D72DE21" w14:textId="7BC41477" w:rsidR="00D1055C" w:rsidRDefault="00D1055C" w:rsidP="00D1055C">
            <w:pPr>
              <w:jc w:val="center"/>
              <w:rPr>
                <w:rFonts w:ascii="Calibri" w:hAnsi="Calibri" w:cs="Calibri"/>
                <w:b/>
                <w:bCs/>
                <w:color w:val="000000"/>
              </w:rPr>
            </w:pPr>
            <w:r>
              <w:rPr>
                <w:rFonts w:ascii="Calibri" w:hAnsi="Calibri" w:cs="Calibri"/>
                <w:b/>
                <w:bCs/>
                <w:color w:val="000000"/>
              </w:rPr>
              <w:t>(g CO</w:t>
            </w:r>
            <w:r w:rsidRPr="00D1055C">
              <w:rPr>
                <w:rFonts w:ascii="Calibri" w:hAnsi="Calibri" w:cs="Calibri"/>
                <w:b/>
                <w:bCs/>
                <w:color w:val="000000"/>
                <w:vertAlign w:val="subscript"/>
              </w:rPr>
              <w:t>2</w:t>
            </w:r>
            <w:r>
              <w:rPr>
                <w:rFonts w:ascii="Calibri" w:hAnsi="Calibri" w:cs="Calibri"/>
                <w:b/>
                <w:bCs/>
                <w:color w:val="000000"/>
              </w:rPr>
              <w:t>-eq/kWh)</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5AC06098" w14:textId="656556E9" w:rsidR="00D1055C" w:rsidRDefault="00D1055C" w:rsidP="00D1055C">
            <w:pPr>
              <w:jc w:val="center"/>
              <w:rPr>
                <w:rFonts w:ascii="Calibri" w:hAnsi="Calibri" w:cs="Calibri"/>
                <w:b/>
                <w:bCs/>
                <w:color w:val="000000"/>
              </w:rPr>
            </w:pPr>
            <w:r>
              <w:rPr>
                <w:rFonts w:ascii="Calibri" w:hAnsi="Calibri" w:cs="Calibri"/>
                <w:b/>
                <w:bCs/>
                <w:color w:val="000000"/>
              </w:rPr>
              <w:t>(kg CO</w:t>
            </w:r>
            <w:r w:rsidRPr="00D1055C">
              <w:rPr>
                <w:rFonts w:ascii="Calibri" w:hAnsi="Calibri" w:cs="Calibri"/>
                <w:b/>
                <w:bCs/>
                <w:color w:val="000000"/>
                <w:vertAlign w:val="subscript"/>
              </w:rPr>
              <w:t>2</w:t>
            </w:r>
            <w:r>
              <w:rPr>
                <w:rFonts w:ascii="Calibri" w:hAnsi="Calibri" w:cs="Calibri"/>
                <w:b/>
                <w:bCs/>
                <w:color w:val="000000"/>
              </w:rPr>
              <w:t>-eq/yr)</w:t>
            </w:r>
          </w:p>
        </w:tc>
      </w:tr>
      <w:tr w:rsidR="00BB3FF8" w14:paraId="014E13DA"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8E04D7A" w14:textId="77777777" w:rsidR="00BB3FF8" w:rsidRDefault="00BB3FF8" w:rsidP="00BB3FF8">
            <w:pPr>
              <w:rPr>
                <w:rFonts w:ascii="Calibri" w:hAnsi="Calibri" w:cs="Calibri"/>
                <w:color w:val="000000"/>
              </w:rPr>
            </w:pPr>
            <w:r>
              <w:rPr>
                <w:rFonts w:ascii="Calibri" w:hAnsi="Calibri" w:cs="Calibri"/>
                <w:color w:val="000000"/>
              </w:rPr>
              <w:t>Big Sky</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009061B" w14:textId="77777777" w:rsidR="00BB3FF8" w:rsidRDefault="00BB3FF8" w:rsidP="00BB3FF8">
            <w:pPr>
              <w:rPr>
                <w:rFonts w:ascii="Calibri" w:hAnsi="Calibri" w:cs="Calibri"/>
                <w:color w:val="000000"/>
              </w:rPr>
            </w:pPr>
            <w:r>
              <w:rPr>
                <w:rFonts w:ascii="Calibri" w:hAnsi="Calibri" w:cs="Calibri"/>
                <w:color w:val="000000"/>
              </w:rPr>
              <w:t>Solar</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353C09E8" w14:textId="0A9C6F3A" w:rsidR="00BB3FF8" w:rsidRDefault="00BB3FF8" w:rsidP="00BB3FF8">
            <w:pPr>
              <w:jc w:val="right"/>
              <w:rPr>
                <w:rFonts w:ascii="Calibri" w:hAnsi="Calibri" w:cs="Calibri"/>
                <w:color w:val="000000"/>
              </w:rPr>
            </w:pPr>
            <w:r>
              <w:rPr>
                <w:rFonts w:ascii="Calibri" w:hAnsi="Calibri" w:cs="Calibri"/>
                <w:color w:val="000000"/>
              </w:rPr>
              <w:t>0.328</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5B54E9CA" w14:textId="77777777" w:rsidR="00BB3FF8" w:rsidRDefault="00BB3FF8" w:rsidP="00BB3FF8">
            <w:pPr>
              <w:jc w:val="right"/>
              <w:rPr>
                <w:rFonts w:ascii="Calibri" w:hAnsi="Calibri" w:cs="Calibri"/>
                <w:color w:val="000000"/>
              </w:rPr>
            </w:pPr>
            <w:r>
              <w:rPr>
                <w:rFonts w:ascii="Calibri" w:hAnsi="Calibri" w:cs="Calibri"/>
                <w:color w:val="000000"/>
              </w:rPr>
              <w:t>250</w:t>
            </w:r>
          </w:p>
        </w:tc>
        <w:tc>
          <w:tcPr>
            <w:tcW w:w="1287" w:type="dxa"/>
            <w:tcBorders>
              <w:top w:val="single" w:sz="4" w:space="0" w:color="auto"/>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399C26C" w14:textId="77777777" w:rsidR="00BB3FF8" w:rsidRDefault="00BB3FF8" w:rsidP="00BB3FF8">
            <w:pPr>
              <w:jc w:val="right"/>
              <w:rPr>
                <w:rFonts w:ascii="Calibri" w:hAnsi="Calibri" w:cs="Calibri"/>
                <w:color w:val="000000"/>
              </w:rPr>
            </w:pPr>
            <w:r>
              <w:rPr>
                <w:rFonts w:ascii="Calibri" w:hAnsi="Calibri" w:cs="Calibri"/>
                <w:color w:val="000000"/>
              </w:rPr>
              <w:t>8000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CC4937C" w14:textId="77777777" w:rsidR="00BB3FF8" w:rsidRDefault="00BB3FF8" w:rsidP="00BB3FF8">
            <w:pPr>
              <w:jc w:val="right"/>
              <w:rPr>
                <w:rFonts w:ascii="Calibri" w:hAnsi="Calibri" w:cs="Calibri"/>
                <w:color w:val="000000"/>
              </w:rPr>
            </w:pPr>
            <w:r>
              <w:rPr>
                <w:rFonts w:ascii="Calibri" w:hAnsi="Calibri" w:cs="Calibri"/>
                <w:color w:val="000000"/>
              </w:rPr>
              <w:t>55</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C5AC541" w14:textId="39F911EB" w:rsidR="00BB3FF8" w:rsidRDefault="00BB3FF8" w:rsidP="00BB3FF8">
            <w:pPr>
              <w:jc w:val="right"/>
              <w:rPr>
                <w:rFonts w:ascii="Calibri" w:hAnsi="Calibri" w:cs="Calibri"/>
                <w:color w:val="000000"/>
              </w:rPr>
            </w:pPr>
            <w:r>
              <w:rPr>
                <w:rFonts w:ascii="Calibri" w:hAnsi="Calibri" w:cs="Calibri"/>
                <w:color w:val="000000"/>
              </w:rPr>
              <w:t>39.48</w:t>
            </w:r>
          </w:p>
        </w:tc>
      </w:tr>
      <w:tr w:rsidR="00BB3FF8" w14:paraId="0C2CE92E"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B5C3F61" w14:textId="77777777" w:rsidR="00BB3FF8" w:rsidRDefault="00BB3FF8" w:rsidP="00BB3FF8">
            <w:pPr>
              <w:rPr>
                <w:rFonts w:ascii="Calibri" w:hAnsi="Calibri" w:cs="Calibri"/>
                <w:color w:val="000000"/>
              </w:rPr>
            </w:pPr>
            <w:r>
              <w:rPr>
                <w:rFonts w:ascii="Calibri" w:hAnsi="Calibri" w:cs="Calibri"/>
                <w:color w:val="000000"/>
              </w:rPr>
              <w:t>XIT Ranch</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0CF83406" w14:textId="77777777" w:rsidR="00BB3FF8" w:rsidRDefault="00BB3FF8" w:rsidP="00BB3FF8">
            <w:pPr>
              <w:rPr>
                <w:rFonts w:ascii="Calibri" w:hAnsi="Calibri" w:cs="Calibri"/>
                <w:color w:val="000000"/>
              </w:rPr>
            </w:pPr>
            <w:r>
              <w:rPr>
                <w:rFonts w:ascii="Calibri" w:hAnsi="Calibri" w:cs="Calibri"/>
                <w:color w:val="000000"/>
              </w:rPr>
              <w:t>Onshore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28F0899C" w14:textId="446551EF" w:rsidR="00BB3FF8" w:rsidRDefault="00BB3FF8" w:rsidP="00BB3FF8">
            <w:pPr>
              <w:jc w:val="right"/>
              <w:rPr>
                <w:rFonts w:ascii="Calibri" w:hAnsi="Calibri" w:cs="Calibri"/>
                <w:color w:val="000000"/>
              </w:rPr>
            </w:pPr>
            <w:r>
              <w:rPr>
                <w:rFonts w:ascii="Calibri" w:hAnsi="Calibri" w:cs="Calibri"/>
                <w:color w:val="000000"/>
              </w:rPr>
              <w:t>0.495</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2EDBE314" w14:textId="77777777" w:rsidR="00BB3FF8" w:rsidRDefault="00BB3FF8" w:rsidP="00BB3FF8">
            <w:pPr>
              <w:jc w:val="right"/>
              <w:rPr>
                <w:rFonts w:ascii="Calibri" w:hAnsi="Calibri" w:cs="Calibri"/>
                <w:color w:val="000000"/>
              </w:rPr>
            </w:pPr>
            <w:r>
              <w:rPr>
                <w:rFonts w:ascii="Calibri" w:hAnsi="Calibri" w:cs="Calibri"/>
                <w:color w:val="000000"/>
              </w:rPr>
              <w:t>250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A33757" w14:textId="77777777" w:rsidR="00BB3FF8" w:rsidRDefault="00BB3FF8" w:rsidP="00BB3FF8">
            <w:pPr>
              <w:jc w:val="right"/>
              <w:rPr>
                <w:rFonts w:ascii="Calibri" w:hAnsi="Calibri" w:cs="Calibri"/>
                <w:color w:val="000000"/>
              </w:rPr>
            </w:pPr>
            <w:r>
              <w:rPr>
                <w:rFonts w:ascii="Calibri" w:hAnsi="Calibri" w:cs="Calibri"/>
                <w:color w:val="000000"/>
              </w:rPr>
              <w:t>38000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8EE839"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96FAC2C" w14:textId="33578D5A" w:rsidR="00BB3FF8" w:rsidRDefault="00BB3FF8" w:rsidP="00BB3FF8">
            <w:pPr>
              <w:jc w:val="right"/>
              <w:rPr>
                <w:rFonts w:ascii="Calibri" w:hAnsi="Calibri" w:cs="Calibri"/>
                <w:color w:val="000000"/>
              </w:rPr>
            </w:pPr>
            <w:r>
              <w:rPr>
                <w:rFonts w:ascii="Calibri" w:hAnsi="Calibri" w:cs="Calibri"/>
                <w:color w:val="000000"/>
              </w:rPr>
              <w:t>14.10</w:t>
            </w:r>
          </w:p>
        </w:tc>
      </w:tr>
      <w:tr w:rsidR="00BB3FF8" w14:paraId="3DA0392E"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1FA5158" w14:textId="77777777" w:rsidR="00BB3FF8" w:rsidRDefault="00BB3FF8" w:rsidP="00BB3FF8">
            <w:pPr>
              <w:rPr>
                <w:rFonts w:ascii="Calibri" w:hAnsi="Calibri" w:cs="Calibri"/>
                <w:color w:val="000000"/>
              </w:rPr>
            </w:pPr>
            <w:r>
              <w:rPr>
                <w:rFonts w:ascii="Calibri" w:hAnsi="Calibri" w:cs="Calibri"/>
                <w:color w:val="000000"/>
              </w:rPr>
              <w:t>Lavaca</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B0F6952" w14:textId="77777777" w:rsidR="00BB3FF8" w:rsidRDefault="00BB3FF8" w:rsidP="00BB3FF8">
            <w:pPr>
              <w:rPr>
                <w:rFonts w:ascii="Calibri" w:hAnsi="Calibri" w:cs="Calibri"/>
                <w:color w:val="000000"/>
              </w:rPr>
            </w:pPr>
            <w:r>
              <w:rPr>
                <w:rFonts w:ascii="Calibri" w:hAnsi="Calibri" w:cs="Calibri"/>
                <w:color w:val="000000"/>
              </w:rPr>
              <w:t>Coastal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49484C26" w14:textId="24B18333" w:rsidR="00BB3FF8" w:rsidRDefault="00BB3FF8" w:rsidP="00BB3FF8">
            <w:pPr>
              <w:jc w:val="right"/>
              <w:rPr>
                <w:rFonts w:ascii="Calibri" w:hAnsi="Calibri" w:cs="Calibri"/>
                <w:color w:val="000000"/>
              </w:rPr>
            </w:pPr>
            <w:r>
              <w:rPr>
                <w:rFonts w:ascii="Calibri" w:hAnsi="Calibri" w:cs="Calibri"/>
                <w:color w:val="000000"/>
              </w:rPr>
              <w:t>0.484</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759E343B" w14:textId="77777777" w:rsidR="00BB3FF8" w:rsidRDefault="00BB3FF8" w:rsidP="00BB3FF8">
            <w:pPr>
              <w:jc w:val="right"/>
              <w:rPr>
                <w:rFonts w:ascii="Calibri" w:hAnsi="Calibri" w:cs="Calibri"/>
                <w:color w:val="000000"/>
              </w:rPr>
            </w:pPr>
            <w:r>
              <w:rPr>
                <w:rFonts w:ascii="Calibri" w:hAnsi="Calibri" w:cs="Calibri"/>
                <w:color w:val="000000"/>
              </w:rPr>
              <w:t>200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5146A0E3" w14:textId="77777777" w:rsidR="00BB3FF8" w:rsidRDefault="00BB3FF8" w:rsidP="00BB3FF8">
            <w:pPr>
              <w:jc w:val="right"/>
              <w:rPr>
                <w:rFonts w:ascii="Calibri" w:hAnsi="Calibri" w:cs="Calibri"/>
                <w:color w:val="000000"/>
              </w:rPr>
            </w:pPr>
            <w:r>
              <w:rPr>
                <w:rFonts w:ascii="Calibri" w:hAnsi="Calibri" w:cs="Calibri"/>
                <w:color w:val="000000"/>
              </w:rPr>
              <w:t>20000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D96FC35"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564BA1" w14:textId="7EB855B1" w:rsidR="00BB3FF8" w:rsidRDefault="00BB3FF8" w:rsidP="00BB3FF8">
            <w:pPr>
              <w:jc w:val="right"/>
              <w:rPr>
                <w:rFonts w:ascii="Calibri" w:hAnsi="Calibri" w:cs="Calibri"/>
                <w:color w:val="000000"/>
              </w:rPr>
            </w:pPr>
            <w:r>
              <w:rPr>
                <w:rFonts w:ascii="Calibri" w:hAnsi="Calibri" w:cs="Calibri"/>
                <w:color w:val="000000"/>
              </w:rPr>
              <w:t>11.02</w:t>
            </w:r>
          </w:p>
        </w:tc>
      </w:tr>
      <w:tr w:rsidR="00BB3FF8" w14:paraId="49A7E6A8"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6BE5D72" w14:textId="77777777" w:rsidR="00BB3FF8" w:rsidRDefault="00BB3FF8" w:rsidP="00BB3FF8">
            <w:pPr>
              <w:rPr>
                <w:rFonts w:ascii="Calibri" w:hAnsi="Calibri" w:cs="Calibri"/>
                <w:color w:val="000000"/>
              </w:rPr>
            </w:pPr>
            <w:r>
              <w:rPr>
                <w:rFonts w:ascii="Calibri" w:hAnsi="Calibri" w:cs="Calibri"/>
                <w:color w:val="000000"/>
              </w:rPr>
              <w:t>Lavaca</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013C00D" w14:textId="77777777" w:rsidR="00BB3FF8" w:rsidRDefault="00BB3FF8" w:rsidP="00BB3FF8">
            <w:pPr>
              <w:rPr>
                <w:rFonts w:ascii="Calibri" w:hAnsi="Calibri" w:cs="Calibri"/>
                <w:color w:val="000000"/>
              </w:rPr>
            </w:pPr>
            <w:r>
              <w:rPr>
                <w:rFonts w:ascii="Calibri" w:hAnsi="Calibri" w:cs="Calibri"/>
                <w:color w:val="000000"/>
              </w:rPr>
              <w:t>Coastal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60BB59D5" w14:textId="125836DD" w:rsidR="00BB3FF8" w:rsidRDefault="00BB3FF8" w:rsidP="00BB3FF8">
            <w:pPr>
              <w:jc w:val="right"/>
              <w:rPr>
                <w:rFonts w:ascii="Calibri" w:hAnsi="Calibri" w:cs="Calibri"/>
                <w:color w:val="000000"/>
              </w:rPr>
            </w:pPr>
            <w:r>
              <w:rPr>
                <w:rFonts w:ascii="Calibri" w:hAnsi="Calibri" w:cs="Calibri"/>
                <w:color w:val="000000"/>
              </w:rPr>
              <w:t>0.446</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0E72398B" w14:textId="366D6284" w:rsidR="00BB3FF8" w:rsidRDefault="00F7037F" w:rsidP="00BB3FF8">
            <w:pPr>
              <w:jc w:val="right"/>
              <w:rPr>
                <w:rFonts w:ascii="Calibri" w:hAnsi="Calibri" w:cs="Calibri"/>
                <w:color w:val="000000"/>
              </w:rPr>
            </w:pPr>
            <w:r>
              <w:rPr>
                <w:rFonts w:ascii="Calibri" w:hAnsi="Calibri" w:cs="Calibri"/>
                <w:color w:val="000000"/>
              </w:rPr>
              <w:t>150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F1631F5" w14:textId="77777777" w:rsidR="00BB3FF8" w:rsidRDefault="00BB3FF8" w:rsidP="00BB3FF8">
            <w:pPr>
              <w:jc w:val="right"/>
              <w:rPr>
                <w:rFonts w:ascii="Calibri" w:hAnsi="Calibri" w:cs="Calibri"/>
                <w:color w:val="000000"/>
              </w:rPr>
            </w:pPr>
            <w:r>
              <w:rPr>
                <w:rFonts w:ascii="Calibri" w:hAnsi="Calibri" w:cs="Calibri"/>
                <w:color w:val="000000"/>
              </w:rPr>
              <w:t>20000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1876124"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1A67373" w14:textId="57C93DCE" w:rsidR="00F7037F" w:rsidRDefault="00F7037F" w:rsidP="00F7037F">
            <w:pPr>
              <w:jc w:val="right"/>
              <w:rPr>
                <w:rFonts w:ascii="Calibri" w:hAnsi="Calibri" w:cs="Calibri"/>
                <w:color w:val="000000"/>
              </w:rPr>
            </w:pPr>
            <w:r>
              <w:rPr>
                <w:rFonts w:ascii="Calibri" w:hAnsi="Calibri" w:cs="Calibri"/>
                <w:color w:val="000000"/>
              </w:rPr>
              <w:t>7.62</w:t>
            </w:r>
          </w:p>
        </w:tc>
      </w:tr>
    </w:tbl>
    <w:p w14:paraId="17B7F03B" w14:textId="494899BE" w:rsidR="00C60C5D" w:rsidRDefault="00D1055C">
      <w:pPr>
        <w:rPr>
          <w:rFonts w:asciiTheme="majorHAnsi" w:eastAsiaTheme="majorEastAsia" w:hAnsiTheme="majorHAnsi" w:cstheme="majorBidi"/>
          <w:color w:val="2F5496" w:themeColor="accent1" w:themeShade="BF"/>
          <w:sz w:val="32"/>
          <w:szCs w:val="32"/>
        </w:rPr>
      </w:pPr>
      <w:r>
        <w:t xml:space="preserve"> </w:t>
      </w:r>
      <w:r w:rsidR="00C60C5D">
        <w:br w:type="page"/>
      </w:r>
    </w:p>
    <w:p w14:paraId="06210A25" w14:textId="0C7FA3B4" w:rsidR="00B7579C" w:rsidRDefault="00B7579C" w:rsidP="00E312B4">
      <w:pPr>
        <w:pStyle w:val="Heading1"/>
      </w:pPr>
      <w:r>
        <w:lastRenderedPageBreak/>
        <w:t>References</w:t>
      </w:r>
    </w:p>
    <w:p w14:paraId="7BCD35FE" w14:textId="2AB56B2E" w:rsidR="00B7579C" w:rsidRDefault="00B7579C" w:rsidP="00B7579C">
      <w:pPr>
        <w:pStyle w:val="ListParagraph"/>
        <w:numPr>
          <w:ilvl w:val="0"/>
          <w:numId w:val="2"/>
        </w:numPr>
      </w:pPr>
      <w:r w:rsidRPr="00B7579C">
        <w:t>7F.04 Gas Turbine. (2020). Retrieved 26 October 2020, from</w:t>
      </w:r>
      <w:r>
        <w:t xml:space="preserve"> </w:t>
      </w:r>
      <w:hyperlink r:id="rId14" w:history="1">
        <w:r w:rsidR="00077CB0" w:rsidRPr="00150AAE">
          <w:rPr>
            <w:rStyle w:val="Hyperlink"/>
          </w:rPr>
          <w:t>https://www.ge.com/power/gas/gas-turbines/7f-04</w:t>
        </w:r>
      </w:hyperlink>
    </w:p>
    <w:p w14:paraId="790A6C49" w14:textId="0765BEAD" w:rsidR="00077CB0" w:rsidRPr="00EE4485" w:rsidRDefault="00077CB0" w:rsidP="00B7579C">
      <w:pPr>
        <w:pStyle w:val="ListParagraph"/>
        <w:numPr>
          <w:ilvl w:val="0"/>
          <w:numId w:val="2"/>
        </w:numPr>
      </w:pPr>
      <w:r>
        <w:rPr>
          <w:rFonts w:ascii="Arial" w:hAnsi="Arial" w:cs="Arial"/>
          <w:color w:val="000000"/>
          <w:sz w:val="20"/>
          <w:szCs w:val="20"/>
          <w:shd w:val="clear" w:color="auto" w:fill="FFFFFF"/>
        </w:rPr>
        <w:t xml:space="preserve">eGrid. (2018). Retrieved 26 October 2020, from </w:t>
      </w:r>
      <w:hyperlink r:id="rId15" w:history="1">
        <w:r w:rsidRPr="00150AAE">
          <w:rPr>
            <w:rStyle w:val="Hyperlink"/>
            <w:rFonts w:ascii="Arial" w:hAnsi="Arial" w:cs="Arial"/>
            <w:sz w:val="20"/>
            <w:szCs w:val="20"/>
            <w:shd w:val="clear" w:color="auto" w:fill="FFFFFF"/>
          </w:rPr>
          <w:t>https://www.epa.gov/egrid/download-data</w:t>
        </w:r>
      </w:hyperlink>
    </w:p>
    <w:p w14:paraId="6550A832" w14:textId="468A3230" w:rsidR="00EE4485" w:rsidRDefault="00EE4485" w:rsidP="00B7579C">
      <w:pPr>
        <w:pStyle w:val="ListParagraph"/>
        <w:numPr>
          <w:ilvl w:val="0"/>
          <w:numId w:val="2"/>
        </w:numPr>
      </w:pPr>
      <w:r>
        <w:t>Macknick, et al. (2012). Environ. Res. Lett</w:t>
      </w:r>
    </w:p>
    <w:p w14:paraId="3EB426AA" w14:textId="2779A3D4" w:rsidR="00D1055C" w:rsidRPr="00866484" w:rsidRDefault="00D1055C" w:rsidP="00B7579C">
      <w:pPr>
        <w:pStyle w:val="ListParagraph"/>
        <w:numPr>
          <w:ilvl w:val="0"/>
          <w:numId w:val="2"/>
        </w:numPr>
      </w:pPr>
      <w:r>
        <w:rPr>
          <w:rFonts w:ascii="Arial" w:hAnsi="Arial" w:cs="Arial"/>
          <w:color w:val="000000"/>
          <w:sz w:val="20"/>
          <w:szCs w:val="20"/>
          <w:shd w:val="clear" w:color="auto" w:fill="FFFFFF"/>
        </w:rPr>
        <w:t>National Renewable Energy Laboratory. (2013). </w:t>
      </w:r>
      <w:r>
        <w:rPr>
          <w:rFonts w:ascii="Arial" w:hAnsi="Arial" w:cs="Arial"/>
          <w:i/>
          <w:iCs/>
          <w:color w:val="000000"/>
          <w:sz w:val="20"/>
          <w:szCs w:val="20"/>
          <w:shd w:val="clear" w:color="auto" w:fill="FFFFFF"/>
        </w:rPr>
        <w:t>Life Cycle Greenhouse Gas Emissions from Electricity Generation</w:t>
      </w:r>
      <w:r>
        <w:rPr>
          <w:rFonts w:ascii="Arial" w:hAnsi="Arial" w:cs="Arial"/>
          <w:color w:val="000000"/>
          <w:sz w:val="20"/>
          <w:szCs w:val="20"/>
          <w:shd w:val="clear" w:color="auto" w:fill="FFFFFF"/>
        </w:rPr>
        <w:t xml:space="preserve">. Retrieved from </w:t>
      </w:r>
      <w:hyperlink r:id="rId16" w:history="1">
        <w:r w:rsidR="00866484" w:rsidRPr="000E420F">
          <w:rPr>
            <w:rStyle w:val="Hyperlink"/>
            <w:rFonts w:ascii="Arial" w:hAnsi="Arial" w:cs="Arial"/>
            <w:sz w:val="20"/>
            <w:szCs w:val="20"/>
            <w:shd w:val="clear" w:color="auto" w:fill="FFFFFF"/>
          </w:rPr>
          <w:t>https://www.nrel.gov/docs/fy13osti/57187.pdf</w:t>
        </w:r>
      </w:hyperlink>
    </w:p>
    <w:p w14:paraId="03FB351B" w14:textId="56615959" w:rsidR="00866484" w:rsidRPr="00077CB0" w:rsidRDefault="00866484" w:rsidP="00B7579C">
      <w:pPr>
        <w:pStyle w:val="ListParagraph"/>
        <w:numPr>
          <w:ilvl w:val="0"/>
          <w:numId w:val="2"/>
        </w:numPr>
      </w:pPr>
      <w:r>
        <w:rPr>
          <w:rFonts w:ascii="Arial" w:hAnsi="Arial" w:cs="Arial"/>
          <w:color w:val="000000"/>
          <w:sz w:val="20"/>
          <w:szCs w:val="20"/>
          <w:shd w:val="clear" w:color="auto" w:fill="FFFFFF"/>
        </w:rPr>
        <w:t>ERCOT Public. (2018). </w:t>
      </w:r>
      <w:r>
        <w:rPr>
          <w:rFonts w:ascii="Arial" w:hAnsi="Arial" w:cs="Arial"/>
          <w:i/>
          <w:iCs/>
          <w:color w:val="000000"/>
          <w:sz w:val="20"/>
          <w:szCs w:val="20"/>
          <w:shd w:val="clear" w:color="auto" w:fill="FFFFFF"/>
        </w:rPr>
        <w:t>2018 Long-term System Assessment for the ERCOT Region</w:t>
      </w:r>
      <w:r>
        <w:rPr>
          <w:rFonts w:ascii="Arial" w:hAnsi="Arial" w:cs="Arial"/>
          <w:color w:val="000000"/>
          <w:sz w:val="20"/>
          <w:szCs w:val="20"/>
          <w:shd w:val="clear" w:color="auto" w:fill="FFFFFF"/>
        </w:rPr>
        <w:t>. Retrieved from http://www.ercot.com/content/wcm/lists/144927/2018_LTSA_Report.pdf</w:t>
      </w:r>
    </w:p>
    <w:p w14:paraId="2B71489B" w14:textId="77777777" w:rsidR="00077CB0" w:rsidRPr="00B7579C" w:rsidRDefault="00077CB0" w:rsidP="00C60C5D">
      <w:pPr>
        <w:pStyle w:val="ListParagraph"/>
      </w:pPr>
    </w:p>
    <w:p w14:paraId="00864945"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72677FA3" w14:textId="5F595106" w:rsidR="00E312B4" w:rsidRPr="00E312B4" w:rsidRDefault="00E312B4" w:rsidP="00E312B4">
      <w:pPr>
        <w:pStyle w:val="Heading1"/>
      </w:pPr>
      <w:r>
        <w:lastRenderedPageBreak/>
        <w:t>Appendix A: Data Sources</w:t>
      </w:r>
    </w:p>
    <w:p w14:paraId="7D44E973" w14:textId="7A63AC28" w:rsidR="00976A3C" w:rsidRDefault="00976A3C" w:rsidP="008B4143"/>
    <w:tbl>
      <w:tblPr>
        <w:tblStyle w:val="TableGrid"/>
        <w:tblW w:w="0" w:type="auto"/>
        <w:tblLook w:val="04A0" w:firstRow="1" w:lastRow="0" w:firstColumn="1" w:lastColumn="0" w:noHBand="0" w:noVBand="1"/>
      </w:tblPr>
      <w:tblGrid>
        <w:gridCol w:w="2576"/>
        <w:gridCol w:w="1739"/>
        <w:gridCol w:w="1890"/>
        <w:gridCol w:w="1260"/>
        <w:gridCol w:w="1885"/>
      </w:tblGrid>
      <w:tr w:rsidR="00BC78BE" w14:paraId="3F0D4992" w14:textId="77777777" w:rsidTr="00F95899">
        <w:tc>
          <w:tcPr>
            <w:tcW w:w="9350" w:type="dxa"/>
            <w:gridSpan w:val="5"/>
          </w:tcPr>
          <w:p w14:paraId="01D0B71B" w14:textId="2E833AC8" w:rsidR="00BC78BE" w:rsidRDefault="00BC78BE" w:rsidP="00F95899">
            <w:r>
              <w:t xml:space="preserve">Table </w:t>
            </w:r>
            <w:r w:rsidR="002A3665">
              <w:t>A</w:t>
            </w:r>
            <w:r>
              <w:t>: Data Sources</w:t>
            </w:r>
          </w:p>
        </w:tc>
      </w:tr>
      <w:tr w:rsidR="00BC78BE" w14:paraId="0ED17AA2" w14:textId="77777777" w:rsidTr="00DC017A">
        <w:tc>
          <w:tcPr>
            <w:tcW w:w="2576" w:type="dxa"/>
          </w:tcPr>
          <w:p w14:paraId="7BCC39CF" w14:textId="77777777" w:rsidR="00BC78BE" w:rsidRPr="00876EA4" w:rsidRDefault="00BC78BE" w:rsidP="00F95899">
            <w:pPr>
              <w:rPr>
                <w:b/>
                <w:bCs/>
              </w:rPr>
            </w:pPr>
            <w:r w:rsidRPr="00876EA4">
              <w:rPr>
                <w:b/>
                <w:bCs/>
              </w:rPr>
              <w:t>Name</w:t>
            </w:r>
          </w:p>
        </w:tc>
        <w:tc>
          <w:tcPr>
            <w:tcW w:w="1739" w:type="dxa"/>
          </w:tcPr>
          <w:p w14:paraId="64D2ADE3" w14:textId="77777777" w:rsidR="00BC78BE" w:rsidRPr="00876EA4" w:rsidRDefault="00BC78BE" w:rsidP="00F95899">
            <w:pPr>
              <w:rPr>
                <w:b/>
                <w:bCs/>
              </w:rPr>
            </w:pPr>
            <w:r w:rsidRPr="00876EA4">
              <w:rPr>
                <w:b/>
                <w:bCs/>
              </w:rPr>
              <w:t>Source</w:t>
            </w:r>
          </w:p>
        </w:tc>
        <w:tc>
          <w:tcPr>
            <w:tcW w:w="1890" w:type="dxa"/>
          </w:tcPr>
          <w:p w14:paraId="0165C8B1" w14:textId="77777777" w:rsidR="00BC78BE" w:rsidRPr="00876EA4" w:rsidRDefault="00BC78BE" w:rsidP="00F95899">
            <w:pPr>
              <w:rPr>
                <w:b/>
                <w:bCs/>
              </w:rPr>
            </w:pPr>
            <w:r w:rsidRPr="00876EA4">
              <w:rPr>
                <w:b/>
                <w:bCs/>
              </w:rPr>
              <w:t>Notes</w:t>
            </w:r>
          </w:p>
        </w:tc>
        <w:tc>
          <w:tcPr>
            <w:tcW w:w="1260" w:type="dxa"/>
          </w:tcPr>
          <w:p w14:paraId="38D0DF01" w14:textId="77777777" w:rsidR="00BC78BE" w:rsidRPr="00876EA4" w:rsidRDefault="00BC78BE" w:rsidP="00F95899">
            <w:pPr>
              <w:rPr>
                <w:b/>
                <w:bCs/>
              </w:rPr>
            </w:pPr>
            <w:r w:rsidRPr="00876EA4">
              <w:rPr>
                <w:b/>
                <w:bCs/>
              </w:rPr>
              <w:t>Date Range</w:t>
            </w:r>
          </w:p>
        </w:tc>
        <w:tc>
          <w:tcPr>
            <w:tcW w:w="1885" w:type="dxa"/>
          </w:tcPr>
          <w:p w14:paraId="400805C0" w14:textId="3EC8D8ED" w:rsidR="00BC78BE" w:rsidRPr="00876EA4" w:rsidRDefault="00BC78BE" w:rsidP="00F95899">
            <w:pPr>
              <w:rPr>
                <w:b/>
                <w:bCs/>
              </w:rPr>
            </w:pPr>
            <w:r w:rsidRPr="00876EA4">
              <w:rPr>
                <w:b/>
                <w:bCs/>
              </w:rPr>
              <w:t>Time Resolution</w:t>
            </w:r>
            <w:r w:rsidR="00AA0977">
              <w:rPr>
                <w:b/>
                <w:bCs/>
              </w:rPr>
              <w:t xml:space="preserve"> Downloaded</w:t>
            </w:r>
          </w:p>
        </w:tc>
      </w:tr>
      <w:tr w:rsidR="00BC78BE" w14:paraId="09114BB1" w14:textId="77777777" w:rsidTr="00DC017A">
        <w:tc>
          <w:tcPr>
            <w:tcW w:w="2576" w:type="dxa"/>
          </w:tcPr>
          <w:p w14:paraId="155A5133" w14:textId="402F4013" w:rsidR="00BC78BE" w:rsidRDefault="00BC78BE" w:rsidP="00F95899">
            <w:r>
              <w:t>Historic</w:t>
            </w:r>
            <w:r w:rsidR="002B649F">
              <w:t>al</w:t>
            </w:r>
            <w:r>
              <w:t xml:space="preserve"> SPP</w:t>
            </w:r>
          </w:p>
        </w:tc>
        <w:tc>
          <w:tcPr>
            <w:tcW w:w="1739" w:type="dxa"/>
          </w:tcPr>
          <w:p w14:paraId="44E9DBC8" w14:textId="77777777" w:rsidR="00BC78BE" w:rsidRDefault="00563CAE" w:rsidP="00F95899">
            <w:hyperlink r:id="rId17" w:history="1">
              <w:r w:rsidR="00BC78BE" w:rsidRPr="00876EA4">
                <w:rPr>
                  <w:rStyle w:val="Hyperlink"/>
                </w:rPr>
                <w:t>ERCOT</w:t>
              </w:r>
            </w:hyperlink>
          </w:p>
        </w:tc>
        <w:tc>
          <w:tcPr>
            <w:tcW w:w="1890" w:type="dxa"/>
          </w:tcPr>
          <w:p w14:paraId="5AA161B8" w14:textId="77777777" w:rsidR="00BC78BE" w:rsidRDefault="00BC78BE" w:rsidP="00F95899"/>
        </w:tc>
        <w:tc>
          <w:tcPr>
            <w:tcW w:w="1260" w:type="dxa"/>
          </w:tcPr>
          <w:p w14:paraId="7C2EB66B" w14:textId="77777777" w:rsidR="00BC78BE" w:rsidRDefault="00BC78BE" w:rsidP="00F95899">
            <w:r>
              <w:t>2011-2019</w:t>
            </w:r>
          </w:p>
        </w:tc>
        <w:tc>
          <w:tcPr>
            <w:tcW w:w="1885" w:type="dxa"/>
          </w:tcPr>
          <w:p w14:paraId="27191A43" w14:textId="77777777" w:rsidR="00BC78BE" w:rsidRDefault="00BC78BE" w:rsidP="00F95899">
            <w:r>
              <w:t>15 minutes</w:t>
            </w:r>
          </w:p>
        </w:tc>
      </w:tr>
      <w:tr w:rsidR="00BC78BE" w14:paraId="46630D51" w14:textId="77777777" w:rsidTr="00DC017A">
        <w:tc>
          <w:tcPr>
            <w:tcW w:w="2576" w:type="dxa"/>
          </w:tcPr>
          <w:p w14:paraId="7791867C" w14:textId="09A22835" w:rsidR="00BC78BE" w:rsidRDefault="00DB6AEF" w:rsidP="00F95899">
            <w:r>
              <w:t>Historical Temperature</w:t>
            </w:r>
          </w:p>
        </w:tc>
        <w:tc>
          <w:tcPr>
            <w:tcW w:w="1739" w:type="dxa"/>
          </w:tcPr>
          <w:p w14:paraId="24E1444D" w14:textId="0EC77820" w:rsidR="00BC78BE" w:rsidRDefault="00563CAE" w:rsidP="00F95899">
            <w:hyperlink r:id="rId18" w:history="1">
              <w:r w:rsidR="003E6FE0" w:rsidRPr="003E6FE0">
                <w:rPr>
                  <w:rStyle w:val="Hyperlink"/>
                </w:rPr>
                <w:t>NOAA</w:t>
              </w:r>
            </w:hyperlink>
          </w:p>
        </w:tc>
        <w:tc>
          <w:tcPr>
            <w:tcW w:w="1890" w:type="dxa"/>
          </w:tcPr>
          <w:p w14:paraId="7105FE2F" w14:textId="525BAE06" w:rsidR="00BC78BE" w:rsidRDefault="00A13C77" w:rsidP="00F95899">
            <w:r>
              <w:t>Houston Airport</w:t>
            </w:r>
          </w:p>
        </w:tc>
        <w:tc>
          <w:tcPr>
            <w:tcW w:w="1260" w:type="dxa"/>
          </w:tcPr>
          <w:p w14:paraId="0DF54478" w14:textId="6377149B" w:rsidR="00BC78BE" w:rsidRDefault="002442D3" w:rsidP="00F95899">
            <w:r>
              <w:t>2011-2020</w:t>
            </w:r>
          </w:p>
        </w:tc>
        <w:tc>
          <w:tcPr>
            <w:tcW w:w="1885" w:type="dxa"/>
          </w:tcPr>
          <w:p w14:paraId="15505895" w14:textId="477EF576" w:rsidR="00BC78BE" w:rsidRDefault="002442D3" w:rsidP="00F95899">
            <w:r>
              <w:t>1 hour</w:t>
            </w:r>
          </w:p>
        </w:tc>
      </w:tr>
      <w:tr w:rsidR="00EA218C" w14:paraId="56B2E397" w14:textId="77777777" w:rsidTr="00DC017A">
        <w:tc>
          <w:tcPr>
            <w:tcW w:w="2576" w:type="dxa"/>
          </w:tcPr>
          <w:p w14:paraId="38D1A87E" w14:textId="149493F1" w:rsidR="00EA218C" w:rsidRDefault="00EA218C" w:rsidP="00F95899">
            <w:r>
              <w:t>Temperature Forecasts</w:t>
            </w:r>
          </w:p>
        </w:tc>
        <w:tc>
          <w:tcPr>
            <w:tcW w:w="1739" w:type="dxa"/>
          </w:tcPr>
          <w:p w14:paraId="5E39C0EA" w14:textId="65F8D9B5" w:rsidR="00EA218C" w:rsidRDefault="00563CAE" w:rsidP="00F95899">
            <w:hyperlink r:id="rId19" w:history="1">
              <w:r w:rsidR="00EA218C" w:rsidRPr="00EA218C">
                <w:rPr>
                  <w:rStyle w:val="Hyperlink"/>
                </w:rPr>
                <w:t>USGS</w:t>
              </w:r>
            </w:hyperlink>
          </w:p>
        </w:tc>
        <w:tc>
          <w:tcPr>
            <w:tcW w:w="1890" w:type="dxa"/>
          </w:tcPr>
          <w:p w14:paraId="68AAB45C" w14:textId="071F3F7A" w:rsidR="00EA218C" w:rsidRDefault="00EA218C" w:rsidP="00F95899">
            <w:r>
              <w:t xml:space="preserve">Texas-wide </w:t>
            </w:r>
            <w:r w:rsidR="005741AD">
              <w:t>U</w:t>
            </w:r>
            <w:r>
              <w:t>sed, Mean Model Used</w:t>
            </w:r>
          </w:p>
        </w:tc>
        <w:tc>
          <w:tcPr>
            <w:tcW w:w="1260" w:type="dxa"/>
          </w:tcPr>
          <w:p w14:paraId="77D62814" w14:textId="37ECCCD9" w:rsidR="00EA218C" w:rsidRDefault="00EA218C" w:rsidP="00F95899">
            <w:r>
              <w:t>2020-2099</w:t>
            </w:r>
          </w:p>
        </w:tc>
        <w:tc>
          <w:tcPr>
            <w:tcW w:w="1885" w:type="dxa"/>
          </w:tcPr>
          <w:p w14:paraId="6DCC6E5D" w14:textId="1BC663BC" w:rsidR="00EA218C" w:rsidRDefault="00EA218C" w:rsidP="00F95899">
            <w:r>
              <w:t>10 years</w:t>
            </w:r>
          </w:p>
        </w:tc>
      </w:tr>
      <w:tr w:rsidR="00BC78BE" w14:paraId="46884AB9" w14:textId="77777777" w:rsidTr="00DC017A">
        <w:tc>
          <w:tcPr>
            <w:tcW w:w="2576" w:type="dxa"/>
          </w:tcPr>
          <w:p w14:paraId="6102B750" w14:textId="647D102B" w:rsidR="00BC78BE" w:rsidRDefault="007B71B3" w:rsidP="00F95899">
            <w:r>
              <w:t xml:space="preserve">US </w:t>
            </w:r>
            <w:r w:rsidR="00745A48">
              <w:t xml:space="preserve">Natural Gas </w:t>
            </w:r>
            <w:r>
              <w:t>Price Forecasts</w:t>
            </w:r>
          </w:p>
        </w:tc>
        <w:tc>
          <w:tcPr>
            <w:tcW w:w="1739" w:type="dxa"/>
          </w:tcPr>
          <w:p w14:paraId="658ADFA8" w14:textId="71644AB7" w:rsidR="00BC78BE" w:rsidRDefault="00563CAE" w:rsidP="00F95899">
            <w:hyperlink r:id="rId20" w:anchor="/?id=13-AEO2018&amp;cases=ref2018&amp;sourcekey=0" w:history="1">
              <w:r w:rsidR="00745A48" w:rsidRPr="00745A48">
                <w:rPr>
                  <w:rStyle w:val="Hyperlink"/>
                </w:rPr>
                <w:t>EIA</w:t>
              </w:r>
            </w:hyperlink>
            <w:r w:rsidR="00DA016C">
              <w:t xml:space="preserve"> </w:t>
            </w:r>
          </w:p>
          <w:p w14:paraId="403F5E91" w14:textId="11D3FBEE" w:rsidR="00DA016C" w:rsidRDefault="00DA016C" w:rsidP="00F95899"/>
        </w:tc>
        <w:tc>
          <w:tcPr>
            <w:tcW w:w="1890" w:type="dxa"/>
          </w:tcPr>
          <w:p w14:paraId="5A1BA6BC" w14:textId="46FE902D" w:rsidR="00BC78BE" w:rsidRDefault="002B649F" w:rsidP="00F95899">
            <w:r>
              <w:t>Industrial Used</w:t>
            </w:r>
          </w:p>
        </w:tc>
        <w:tc>
          <w:tcPr>
            <w:tcW w:w="1260" w:type="dxa"/>
          </w:tcPr>
          <w:p w14:paraId="71D84DC4" w14:textId="5BBED65B" w:rsidR="00BC78BE" w:rsidRDefault="00745A48" w:rsidP="00F95899">
            <w:r>
              <w:t>2016-2050</w:t>
            </w:r>
          </w:p>
        </w:tc>
        <w:tc>
          <w:tcPr>
            <w:tcW w:w="1885" w:type="dxa"/>
          </w:tcPr>
          <w:p w14:paraId="122C3F62" w14:textId="7E6D5BC4" w:rsidR="00BC78BE" w:rsidRDefault="00745A48" w:rsidP="00F95899">
            <w:r>
              <w:t>1 year</w:t>
            </w:r>
          </w:p>
        </w:tc>
      </w:tr>
      <w:tr w:rsidR="007B71B3" w14:paraId="6EFA6745" w14:textId="77777777" w:rsidTr="00DC017A">
        <w:tc>
          <w:tcPr>
            <w:tcW w:w="2576" w:type="dxa"/>
          </w:tcPr>
          <w:p w14:paraId="7427311C" w14:textId="5B213D05" w:rsidR="007B71B3" w:rsidRDefault="002B649F" w:rsidP="00F95899">
            <w:r>
              <w:t xml:space="preserve">Historical </w:t>
            </w:r>
            <w:r w:rsidR="007B71B3">
              <w:t xml:space="preserve">US Natural Gas Price </w:t>
            </w:r>
          </w:p>
        </w:tc>
        <w:tc>
          <w:tcPr>
            <w:tcW w:w="1739" w:type="dxa"/>
          </w:tcPr>
          <w:p w14:paraId="1E9405AC" w14:textId="6CD591C5" w:rsidR="007B71B3" w:rsidRDefault="00563CAE" w:rsidP="00F95899">
            <w:hyperlink r:id="rId21" w:history="1">
              <w:r w:rsidR="00AA0977" w:rsidRPr="00AA0977">
                <w:rPr>
                  <w:rStyle w:val="Hyperlink"/>
                </w:rPr>
                <w:t>EIA</w:t>
              </w:r>
            </w:hyperlink>
          </w:p>
        </w:tc>
        <w:tc>
          <w:tcPr>
            <w:tcW w:w="1890" w:type="dxa"/>
          </w:tcPr>
          <w:p w14:paraId="2FAA4CC2" w14:textId="60AC0C6F" w:rsidR="007B71B3" w:rsidRDefault="00AA0977" w:rsidP="00F95899">
            <w:r>
              <w:t>Monthly available</w:t>
            </w:r>
            <w:r w:rsidR="002B649F">
              <w:t>, Industrial Used</w:t>
            </w:r>
          </w:p>
        </w:tc>
        <w:tc>
          <w:tcPr>
            <w:tcW w:w="1260" w:type="dxa"/>
          </w:tcPr>
          <w:p w14:paraId="334F8DF0" w14:textId="64ED0EF6" w:rsidR="007B71B3" w:rsidRDefault="00AA0977" w:rsidP="00F95899">
            <w:r>
              <w:t>1997-2019</w:t>
            </w:r>
          </w:p>
        </w:tc>
        <w:tc>
          <w:tcPr>
            <w:tcW w:w="1885" w:type="dxa"/>
          </w:tcPr>
          <w:p w14:paraId="0E04F367" w14:textId="09E16CB9" w:rsidR="007B71B3" w:rsidRDefault="00170CC3" w:rsidP="00F95899">
            <w:r>
              <w:t>Monthly</w:t>
            </w:r>
          </w:p>
        </w:tc>
      </w:tr>
      <w:tr w:rsidR="00976A3C" w14:paraId="36C7DFAC" w14:textId="77777777" w:rsidTr="00DC017A">
        <w:tc>
          <w:tcPr>
            <w:tcW w:w="2576" w:type="dxa"/>
          </w:tcPr>
          <w:p w14:paraId="2FB51E5F" w14:textId="693F271C" w:rsidR="00976A3C" w:rsidRDefault="005A4C3D" w:rsidP="00F95899">
            <w:r>
              <w:t>Historical and Forecasted Peak and Annual Demand</w:t>
            </w:r>
          </w:p>
        </w:tc>
        <w:tc>
          <w:tcPr>
            <w:tcW w:w="1739" w:type="dxa"/>
          </w:tcPr>
          <w:p w14:paraId="525AFF7F" w14:textId="44E4C917" w:rsidR="00976A3C" w:rsidRDefault="00563CAE" w:rsidP="00F95899">
            <w:hyperlink r:id="rId22" w:history="1">
              <w:r w:rsidR="005A4C3D" w:rsidRPr="005A4C3D">
                <w:rPr>
                  <w:rStyle w:val="Hyperlink"/>
                </w:rPr>
                <w:t>ERCOT</w:t>
              </w:r>
            </w:hyperlink>
          </w:p>
        </w:tc>
        <w:tc>
          <w:tcPr>
            <w:tcW w:w="1890" w:type="dxa"/>
          </w:tcPr>
          <w:p w14:paraId="080894F0" w14:textId="210C9444" w:rsidR="00976A3C" w:rsidRDefault="005A4C3D" w:rsidP="00F95899">
            <w:r>
              <w:t>Extrapolate for 2027-2039</w:t>
            </w:r>
            <w:r w:rsidR="008E126C">
              <w:t>, not yet included in model</w:t>
            </w:r>
          </w:p>
        </w:tc>
        <w:tc>
          <w:tcPr>
            <w:tcW w:w="1260" w:type="dxa"/>
          </w:tcPr>
          <w:p w14:paraId="4C4680F2" w14:textId="02E9BCE5" w:rsidR="00976A3C" w:rsidRDefault="005A4C3D" w:rsidP="00F95899">
            <w:r>
              <w:t>2007-2026</w:t>
            </w:r>
          </w:p>
        </w:tc>
        <w:tc>
          <w:tcPr>
            <w:tcW w:w="1885" w:type="dxa"/>
          </w:tcPr>
          <w:p w14:paraId="47CDA1E0" w14:textId="3EA615EA" w:rsidR="00976A3C" w:rsidRDefault="005A4C3D" w:rsidP="00F95899">
            <w:r>
              <w:t>1 year</w:t>
            </w:r>
          </w:p>
        </w:tc>
      </w:tr>
      <w:tr w:rsidR="008C407B" w14:paraId="310DBEE1" w14:textId="77777777" w:rsidTr="00DC017A">
        <w:tc>
          <w:tcPr>
            <w:tcW w:w="2576" w:type="dxa"/>
          </w:tcPr>
          <w:p w14:paraId="0E01DF65" w14:textId="2F394735" w:rsidR="008C407B" w:rsidRDefault="008C407B" w:rsidP="00F95899">
            <w:r>
              <w:t>Historical Texas GDP</w:t>
            </w:r>
          </w:p>
        </w:tc>
        <w:tc>
          <w:tcPr>
            <w:tcW w:w="1739" w:type="dxa"/>
          </w:tcPr>
          <w:p w14:paraId="78E3CF0C" w14:textId="745A2172" w:rsidR="007973CD" w:rsidRDefault="00563CAE" w:rsidP="00F95899">
            <w:hyperlink r:id="rId23" w:history="1">
              <w:r w:rsidR="00DC017A" w:rsidRPr="00DC017A">
                <w:rPr>
                  <w:rStyle w:val="Hyperlink"/>
                </w:rPr>
                <w:t>US Bureau of Economic Development</w:t>
              </w:r>
            </w:hyperlink>
          </w:p>
        </w:tc>
        <w:tc>
          <w:tcPr>
            <w:tcW w:w="1890" w:type="dxa"/>
          </w:tcPr>
          <w:p w14:paraId="568B09C0" w14:textId="77777777" w:rsidR="008C407B" w:rsidRDefault="008C407B" w:rsidP="00F95899"/>
        </w:tc>
        <w:tc>
          <w:tcPr>
            <w:tcW w:w="1260" w:type="dxa"/>
          </w:tcPr>
          <w:p w14:paraId="2F01F779" w14:textId="103998A2" w:rsidR="008C407B" w:rsidRDefault="00DC017A" w:rsidP="00F95899">
            <w:r>
              <w:t>1997-2019</w:t>
            </w:r>
          </w:p>
        </w:tc>
        <w:tc>
          <w:tcPr>
            <w:tcW w:w="1885" w:type="dxa"/>
          </w:tcPr>
          <w:p w14:paraId="797FA5EF" w14:textId="23BD1944" w:rsidR="008C407B" w:rsidRDefault="00DC017A" w:rsidP="00F95899">
            <w:r>
              <w:t>1 year</w:t>
            </w:r>
          </w:p>
        </w:tc>
      </w:tr>
      <w:tr w:rsidR="00DC017A" w14:paraId="193F30D8" w14:textId="77777777" w:rsidTr="00DC017A">
        <w:tc>
          <w:tcPr>
            <w:tcW w:w="2576" w:type="dxa"/>
          </w:tcPr>
          <w:p w14:paraId="40757437" w14:textId="533D918C" w:rsidR="00DC017A" w:rsidRDefault="00DC017A" w:rsidP="00F95899">
            <w:r>
              <w:t>Texas GDP Forecasts</w:t>
            </w:r>
          </w:p>
        </w:tc>
        <w:tc>
          <w:tcPr>
            <w:tcW w:w="1739" w:type="dxa"/>
          </w:tcPr>
          <w:p w14:paraId="74F82916" w14:textId="17C6CA1E" w:rsidR="00DC017A" w:rsidRDefault="00563CAE" w:rsidP="00F95899">
            <w:hyperlink r:id="rId24" w:history="1">
              <w:r w:rsidR="00DC017A" w:rsidRPr="00DC017A">
                <w:rPr>
                  <w:rStyle w:val="Hyperlink"/>
                </w:rPr>
                <w:t>ERCOT</w:t>
              </w:r>
            </w:hyperlink>
          </w:p>
        </w:tc>
        <w:tc>
          <w:tcPr>
            <w:tcW w:w="1890" w:type="dxa"/>
          </w:tcPr>
          <w:p w14:paraId="6F4D194A" w14:textId="36B77C11" w:rsidR="00DC017A" w:rsidRDefault="00DC017A" w:rsidP="00F95899">
            <w:r>
              <w:t>Growth rate applied to 2019 GDP</w:t>
            </w:r>
          </w:p>
        </w:tc>
        <w:tc>
          <w:tcPr>
            <w:tcW w:w="1260" w:type="dxa"/>
          </w:tcPr>
          <w:p w14:paraId="7BD02616" w14:textId="6E4907AB" w:rsidR="00DC017A" w:rsidRDefault="00DC017A" w:rsidP="00F95899">
            <w:r>
              <w:t>1.4% growth (normal), 2.2% (high)</w:t>
            </w:r>
          </w:p>
        </w:tc>
        <w:tc>
          <w:tcPr>
            <w:tcW w:w="1885" w:type="dxa"/>
          </w:tcPr>
          <w:p w14:paraId="7B522415" w14:textId="7389BE2E" w:rsidR="00DC017A" w:rsidRDefault="00DC017A" w:rsidP="00F95899">
            <w:r>
              <w:t>1 year</w:t>
            </w:r>
          </w:p>
        </w:tc>
      </w:tr>
      <w:tr w:rsidR="00D32B45" w14:paraId="19819E7F" w14:textId="77777777" w:rsidTr="00DC017A">
        <w:tc>
          <w:tcPr>
            <w:tcW w:w="2576" w:type="dxa"/>
          </w:tcPr>
          <w:p w14:paraId="114EB87A" w14:textId="4768EF3D" w:rsidR="00D32B45" w:rsidRDefault="00D32B45" w:rsidP="00F95899">
            <w:r>
              <w:t>Capacity-Weighted Average Renewable Costs</w:t>
            </w:r>
          </w:p>
        </w:tc>
        <w:tc>
          <w:tcPr>
            <w:tcW w:w="1739" w:type="dxa"/>
          </w:tcPr>
          <w:p w14:paraId="1407E688" w14:textId="2CE42A4D" w:rsidR="00D32B45" w:rsidRDefault="00563CAE" w:rsidP="00F95899">
            <w:hyperlink r:id="rId25" w:history="1">
              <w:r w:rsidR="00D32B45" w:rsidRPr="00D32B45">
                <w:rPr>
                  <w:rStyle w:val="Hyperlink"/>
                </w:rPr>
                <w:t>EIA</w:t>
              </w:r>
            </w:hyperlink>
          </w:p>
        </w:tc>
        <w:tc>
          <w:tcPr>
            <w:tcW w:w="1890" w:type="dxa"/>
          </w:tcPr>
          <w:p w14:paraId="0E23AA74" w14:textId="7B0250D5" w:rsidR="00D32B45" w:rsidRDefault="00D32B45" w:rsidP="00F95899">
            <w:r>
              <w:t>Extrapolate</w:t>
            </w:r>
            <w:r w:rsidR="00712C8E">
              <w:t xml:space="preserve"> exponentially</w:t>
            </w:r>
            <w:r>
              <w:t xml:space="preserve"> for years outside range, past and future</w:t>
            </w:r>
          </w:p>
        </w:tc>
        <w:tc>
          <w:tcPr>
            <w:tcW w:w="1260" w:type="dxa"/>
          </w:tcPr>
          <w:p w14:paraId="094EDCB7" w14:textId="281AD5E3" w:rsidR="00D32B45" w:rsidRDefault="00D32B45" w:rsidP="00F95899">
            <w:r>
              <w:t>2013-2018</w:t>
            </w:r>
          </w:p>
        </w:tc>
        <w:tc>
          <w:tcPr>
            <w:tcW w:w="1885" w:type="dxa"/>
          </w:tcPr>
          <w:p w14:paraId="31761147" w14:textId="55992926" w:rsidR="00D32B45" w:rsidRDefault="00D32B45" w:rsidP="00F95899">
            <w:r>
              <w:t>1 year</w:t>
            </w:r>
          </w:p>
        </w:tc>
      </w:tr>
    </w:tbl>
    <w:p w14:paraId="1F942EF3" w14:textId="4C2147D1" w:rsidR="00747D25" w:rsidRDefault="00747D25" w:rsidP="00747D25"/>
    <w:p w14:paraId="63D78794"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026EF755" w14:textId="3AB599BC" w:rsidR="009C022E" w:rsidRDefault="009541E9" w:rsidP="009541E9">
      <w:pPr>
        <w:pStyle w:val="Heading1"/>
      </w:pPr>
      <w:r>
        <w:lastRenderedPageBreak/>
        <w:t>Appendix B: LMP Model Summary</w:t>
      </w:r>
    </w:p>
    <w:p w14:paraId="24E9B17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Call:</w:t>
      </w:r>
    </w:p>
    <w:p w14:paraId="34490FAC"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lm(formula = Price ~ Year + category + Zone + NG_Price + GDP + </w:t>
      </w:r>
    </w:p>
    <w:p w14:paraId="71EB083B"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    Solar_PV_Cost + Onshore_Wind_Cost, data = training_data)</w:t>
      </w:r>
    </w:p>
    <w:p w14:paraId="60A7BBF6"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DE2C860"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Residuals:</w:t>
      </w:r>
    </w:p>
    <w:p w14:paraId="202DD5F5"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    Min      1Q  Median      3Q     Max </w:t>
      </w:r>
    </w:p>
    <w:p w14:paraId="1975CBA2"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-4.1783 -0.7047 -0.1300  0.6750  8.3850 </w:t>
      </w:r>
    </w:p>
    <w:p w14:paraId="5711BF18"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EDCF33A"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Coefficients:</w:t>
      </w:r>
    </w:p>
    <w:p w14:paraId="5D6BED68"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                          Estimate Std. Error t value Pr(&gt;|t|)    </w:t>
      </w:r>
    </w:p>
    <w:p w14:paraId="107F99DB"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(Intercept)              3.103e+03  3.747e+02   8.281 1.20e-15 ***</w:t>
      </w:r>
    </w:p>
    <w:p w14:paraId="0A3E2FB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Year                    -1.550e+00  1.866e-01  -8.308 9.79e-16 ***</w:t>
      </w:r>
    </w:p>
    <w:p w14:paraId="0EB85792"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categorynon-summer peak -2.368e+00  1.632e-01 -14.510  &lt; 2e-16 ***</w:t>
      </w:r>
    </w:p>
    <w:p w14:paraId="51042D57"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categorysummer off-peak -1.913e+00  1.632e-01 -11.723  &lt; 2e-16 ***</w:t>
      </w:r>
    </w:p>
    <w:p w14:paraId="284C506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categorysummer peak      5.843e+00  1.632e-01  35.808  &lt; 2e-16 ***</w:t>
      </w:r>
    </w:p>
    <w:p w14:paraId="12B450B0"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ZoneHB_HOUSTON           5.061e-01  3.065e-01   1.651 0.099325 .  </w:t>
      </w:r>
    </w:p>
    <w:p w14:paraId="2A88334D"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ZoneHB_HUBAVG           -5.944e-02  3.065e-01  -0.194 0.846296    </w:t>
      </w:r>
    </w:p>
    <w:p w14:paraId="4624CFC3"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ZoneHB_NORTH             4.819e-02  3.065e-01   0.157 0.875117    </w:t>
      </w:r>
    </w:p>
    <w:p w14:paraId="0D434DED"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ZoneHB_PAN              -2.310e+00  6.970e-01  -3.314 0.000988 ***</w:t>
      </w:r>
    </w:p>
    <w:p w14:paraId="6A1127A8"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ZoneHB_SOUTH             2.040e-01  3.065e-01   0.666 0.505928    </w:t>
      </w:r>
    </w:p>
    <w:p w14:paraId="2F2B3877"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ZoneHB_WEST             -4.525e-01  3.065e-01  -1.476 0.140490    </w:t>
      </w:r>
    </w:p>
    <w:p w14:paraId="2821FE4E"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ZoneLZ_AEN               2.593e-01  3.065e-01   0.846 0.397947    </w:t>
      </w:r>
    </w:p>
    <w:p w14:paraId="3B25BE58"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ZoneLZ_CPS               4.303e-01  3.065e-01   1.404 0.160996    </w:t>
      </w:r>
    </w:p>
    <w:p w14:paraId="3203FECD"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ZoneLZ_HOUSTON           5.972e-01  3.065e-01   1.949 0.051923 .  </w:t>
      </w:r>
    </w:p>
    <w:p w14:paraId="5E52C73A"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ZoneLZ_LCRA              2.594e-01  3.065e-01   0.846 0.397694    </w:t>
      </w:r>
    </w:p>
    <w:p w14:paraId="28B1E439"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ZoneLZ_NORTH             1.503e-01  3.065e-01   0.490 0.624133    </w:t>
      </w:r>
    </w:p>
    <w:p w14:paraId="4B8D249D"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ZoneLZ_RAYBN             2.969e-01  3.065e-01   0.969 0.333104    </w:t>
      </w:r>
    </w:p>
    <w:p w14:paraId="00C286F0"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ZoneLZ_SOUTH             3.749e-01  3.065e-01   1.223 0.221898    </w:t>
      </w:r>
    </w:p>
    <w:p w14:paraId="41BF47E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ZoneLZ_WEST              5.083e-01  3.065e-01   1.659 0.097853 .  </w:t>
      </w:r>
    </w:p>
    <w:p w14:paraId="62356066"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NG_Price                 4.700e+00  1.332e-01  35.297  &lt; 2e-16 ***</w:t>
      </w:r>
    </w:p>
    <w:p w14:paraId="34C0104F"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GDP                      1.360e-05  2.199e-06   6.187 1.31e-09 ***</w:t>
      </w:r>
    </w:p>
    <w:p w14:paraId="473E65B7"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Solar_PV_Cost           -1.857e-03  3.694e-04  -5.028 6.99e-07 ***</w:t>
      </w:r>
    </w:p>
    <w:p w14:paraId="3FD0EE1B"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Onshore_Wind_Cost        3.491e-03  1.456e-03   2.397 0.016901 *  </w:t>
      </w:r>
    </w:p>
    <w:p w14:paraId="4D4B465E"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w:t>
      </w:r>
    </w:p>
    <w:p w14:paraId="5BD765B4"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Signif. codes:  0 ‘***’ 0.001 ‘**’ 0.01 ‘*’ 0.05 ‘.’ 0.1 ‘ ’ 1</w:t>
      </w:r>
    </w:p>
    <w:p w14:paraId="71659742"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168BC4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Residual standard error: 1.3 on 485 degrees of freedom</w:t>
      </w:r>
    </w:p>
    <w:p w14:paraId="0A0AFE6E"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Multiple R-squared:  0.9364,</w:t>
      </w:r>
      <w:r w:rsidRPr="00DA71FC">
        <w:rPr>
          <w:rFonts w:ascii="Lucida Console" w:eastAsia="Times New Roman" w:hAnsi="Lucida Console" w:cs="Courier New"/>
          <w:color w:val="000000"/>
          <w:sz w:val="20"/>
          <w:szCs w:val="20"/>
          <w:bdr w:val="none" w:sz="0" w:space="0" w:color="auto" w:frame="1"/>
        </w:rPr>
        <w:tab/>
        <w:t xml:space="preserve">Adjusted R-squared:  0.9335 </w:t>
      </w:r>
    </w:p>
    <w:p w14:paraId="62CF7C4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A71FC">
        <w:rPr>
          <w:rFonts w:ascii="Lucida Console" w:eastAsia="Times New Roman" w:hAnsi="Lucida Console" w:cs="Courier New"/>
          <w:color w:val="000000"/>
          <w:sz w:val="20"/>
          <w:szCs w:val="20"/>
          <w:bdr w:val="none" w:sz="0" w:space="0" w:color="auto" w:frame="1"/>
        </w:rPr>
        <w:t>F-statistic: 324.5 on 22 and 485 DF,  p-value: &lt; 2.2e-16</w:t>
      </w:r>
    </w:p>
    <w:p w14:paraId="64FB2431" w14:textId="77777777" w:rsidR="009541E9" w:rsidRPr="009541E9" w:rsidRDefault="009541E9" w:rsidP="009541E9"/>
    <w:p w14:paraId="6366A3DC" w14:textId="71942855" w:rsidR="00420D9C" w:rsidRDefault="00420D9C" w:rsidP="00420D9C"/>
    <w:p w14:paraId="5BDC301A" w14:textId="292E2C97" w:rsidR="00866484" w:rsidRDefault="00866484">
      <w:r>
        <w:br w:type="page"/>
      </w:r>
    </w:p>
    <w:p w14:paraId="6B7159D8" w14:textId="58AE767A" w:rsidR="00866484" w:rsidRDefault="00866484" w:rsidP="00866484">
      <w:pPr>
        <w:pStyle w:val="Heading1"/>
      </w:pPr>
      <w:r>
        <w:lastRenderedPageBreak/>
        <w:t xml:space="preserve">Appendix C: </w:t>
      </w:r>
      <w:r w:rsidR="00647046">
        <w:t>ERCOT Key Drivers</w:t>
      </w:r>
    </w:p>
    <w:p w14:paraId="3E318296" w14:textId="0C6B7981" w:rsidR="00866484" w:rsidRDefault="00866484" w:rsidP="008664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66484" w14:paraId="0C4F0EE5" w14:textId="77777777" w:rsidTr="00866484">
        <w:tc>
          <w:tcPr>
            <w:tcW w:w="9350" w:type="dxa"/>
          </w:tcPr>
          <w:p w14:paraId="667AB3C2" w14:textId="57458ECD" w:rsidR="00866484" w:rsidRDefault="00866484" w:rsidP="00866484">
            <w:pPr>
              <w:jc w:val="center"/>
            </w:pPr>
            <w:r>
              <w:rPr>
                <w:noProof/>
              </w:rPr>
              <w:drawing>
                <wp:inline distT="0" distB="0" distL="0" distR="0" wp14:anchorId="2284229F" wp14:editId="670014BE">
                  <wp:extent cx="49720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8184"/>
                          <a:stretch/>
                        </pic:blipFill>
                        <pic:spPr bwMode="auto">
                          <a:xfrm>
                            <a:off x="0" y="0"/>
                            <a:ext cx="4972050" cy="3419475"/>
                          </a:xfrm>
                          <a:prstGeom prst="rect">
                            <a:avLst/>
                          </a:prstGeom>
                          <a:ln>
                            <a:noFill/>
                          </a:ln>
                          <a:extLst>
                            <a:ext uri="{53640926-AAD7-44D8-BBD7-CCE9431645EC}">
                              <a14:shadowObscured xmlns:a14="http://schemas.microsoft.com/office/drawing/2010/main"/>
                            </a:ext>
                          </a:extLst>
                        </pic:spPr>
                      </pic:pic>
                    </a:graphicData>
                  </a:graphic>
                </wp:inline>
              </w:drawing>
            </w:r>
          </w:p>
        </w:tc>
      </w:tr>
      <w:tr w:rsidR="00866484" w14:paraId="6D1B9C3C" w14:textId="77777777" w:rsidTr="00866484">
        <w:tc>
          <w:tcPr>
            <w:tcW w:w="9350" w:type="dxa"/>
          </w:tcPr>
          <w:p w14:paraId="4FFB0C81" w14:textId="537A5139" w:rsidR="00866484" w:rsidRDefault="00866484" w:rsidP="00866484">
            <w:pPr>
              <w:jc w:val="center"/>
            </w:pPr>
            <w:r>
              <w:t>Figure I.1: Summary of Survey Results, Key Drivers [5]</w:t>
            </w:r>
          </w:p>
        </w:tc>
      </w:tr>
    </w:tbl>
    <w:p w14:paraId="12210882" w14:textId="7401E452" w:rsidR="00866484" w:rsidRPr="00866484" w:rsidRDefault="00866484" w:rsidP="00866484"/>
    <w:sectPr w:rsidR="00866484" w:rsidRPr="00866484">
      <w:head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chel Moglen" w:date="2020-11-05T14:29:00Z" w:initials="RM">
    <w:p w14:paraId="1DA6BD9F" w14:textId="39DA3160" w:rsidR="000404A7" w:rsidRDefault="000404A7">
      <w:pPr>
        <w:pStyle w:val="CommentText"/>
      </w:pPr>
      <w:r>
        <w:rPr>
          <w:rStyle w:val="CommentReference"/>
        </w:rPr>
        <w:annotationRef/>
      </w:r>
      <w:r>
        <w:t>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A6BD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8ADA" w16cex:dateUtc="2020-11-05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A6BD9F" w16cid:durableId="234E8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C95E6" w14:textId="77777777" w:rsidR="00563CAE" w:rsidRDefault="00563CAE" w:rsidP="00062E87">
      <w:pPr>
        <w:spacing w:after="0" w:line="240" w:lineRule="auto"/>
      </w:pPr>
      <w:r>
        <w:separator/>
      </w:r>
    </w:p>
  </w:endnote>
  <w:endnote w:type="continuationSeparator" w:id="0">
    <w:p w14:paraId="68FF2126" w14:textId="77777777" w:rsidR="00563CAE" w:rsidRDefault="00563CAE" w:rsidP="000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B3872" w14:textId="77777777" w:rsidR="00563CAE" w:rsidRDefault="00563CAE" w:rsidP="00062E87">
      <w:pPr>
        <w:spacing w:after="0" w:line="240" w:lineRule="auto"/>
      </w:pPr>
      <w:r>
        <w:separator/>
      </w:r>
    </w:p>
  </w:footnote>
  <w:footnote w:type="continuationSeparator" w:id="0">
    <w:p w14:paraId="47E4CD2F" w14:textId="77777777" w:rsidR="00563CAE" w:rsidRDefault="00563CAE" w:rsidP="0006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AD44" w14:textId="10163B83" w:rsidR="00F95899" w:rsidRDefault="00F95899">
    <w:pPr>
      <w:pStyle w:val="Header"/>
    </w:pPr>
    <w:r>
      <w:t>Rachel Moglen</w:t>
    </w:r>
  </w:p>
  <w:p w14:paraId="3FF5D992" w14:textId="4CD3D8EB" w:rsidR="00F95899" w:rsidRDefault="00F95899">
    <w:pPr>
      <w:pStyle w:val="Header"/>
    </w:pPr>
    <w:r>
      <w:t>Oct 30, 2020</w:t>
    </w:r>
  </w:p>
  <w:p w14:paraId="73639107" w14:textId="25B83C82" w:rsidR="00F95899" w:rsidRDefault="00F95899">
    <w:pPr>
      <w:pStyle w:val="Header"/>
    </w:pPr>
    <w:r>
      <w:t>Environmental Development and Policy (</w:t>
    </w:r>
    <w:hyperlink r:id="rId1" w:history="1">
      <w:r w:rsidRPr="00BC400D">
        <w:rPr>
          <w:rStyle w:val="Hyperlink"/>
        </w:rPr>
        <w:t>Github</w:t>
      </w:r>
    </w:hyperlink>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D4DBB"/>
    <w:multiLevelType w:val="hybridMultilevel"/>
    <w:tmpl w:val="8BA4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84E30"/>
    <w:multiLevelType w:val="hybridMultilevel"/>
    <w:tmpl w:val="2DE4E71A"/>
    <w:lvl w:ilvl="0" w:tplc="B4BAF2E8">
      <w:start w:val="2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A14BF"/>
    <w:multiLevelType w:val="hybridMultilevel"/>
    <w:tmpl w:val="7C06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14516"/>
    <w:multiLevelType w:val="hybridMultilevel"/>
    <w:tmpl w:val="0386835C"/>
    <w:lvl w:ilvl="0" w:tplc="64E2872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E5971"/>
    <w:multiLevelType w:val="hybridMultilevel"/>
    <w:tmpl w:val="8362B4DC"/>
    <w:lvl w:ilvl="0" w:tplc="2246563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chel Moglen">
    <w15:presenceInfo w15:providerId="Windows Live" w15:userId="a8c23b07e5c00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4"/>
    <w:rsid w:val="000072DB"/>
    <w:rsid w:val="00013688"/>
    <w:rsid w:val="000269B8"/>
    <w:rsid w:val="00033D0E"/>
    <w:rsid w:val="000404A7"/>
    <w:rsid w:val="00046D44"/>
    <w:rsid w:val="00062E87"/>
    <w:rsid w:val="00077CB0"/>
    <w:rsid w:val="000963AA"/>
    <w:rsid w:val="000A541D"/>
    <w:rsid w:val="000F215A"/>
    <w:rsid w:val="00107336"/>
    <w:rsid w:val="001151D7"/>
    <w:rsid w:val="00127218"/>
    <w:rsid w:val="00137740"/>
    <w:rsid w:val="00170CC3"/>
    <w:rsid w:val="001C4D89"/>
    <w:rsid w:val="002442D3"/>
    <w:rsid w:val="002A3665"/>
    <w:rsid w:val="002B649F"/>
    <w:rsid w:val="00314549"/>
    <w:rsid w:val="00336789"/>
    <w:rsid w:val="003640B1"/>
    <w:rsid w:val="003E4340"/>
    <w:rsid w:val="003E6FE0"/>
    <w:rsid w:val="00420D9C"/>
    <w:rsid w:val="00421ED4"/>
    <w:rsid w:val="00451B99"/>
    <w:rsid w:val="00464957"/>
    <w:rsid w:val="00476CF9"/>
    <w:rsid w:val="00492C60"/>
    <w:rsid w:val="004C25BD"/>
    <w:rsid w:val="00530040"/>
    <w:rsid w:val="0054480B"/>
    <w:rsid w:val="00563CAE"/>
    <w:rsid w:val="005644A6"/>
    <w:rsid w:val="00570ED9"/>
    <w:rsid w:val="00573FB1"/>
    <w:rsid w:val="005741AD"/>
    <w:rsid w:val="005A4C3D"/>
    <w:rsid w:val="005A701F"/>
    <w:rsid w:val="005D3F20"/>
    <w:rsid w:val="006268EE"/>
    <w:rsid w:val="00647046"/>
    <w:rsid w:val="00647CE2"/>
    <w:rsid w:val="006606A0"/>
    <w:rsid w:val="00670903"/>
    <w:rsid w:val="0068409C"/>
    <w:rsid w:val="006861B4"/>
    <w:rsid w:val="006B3CD3"/>
    <w:rsid w:val="006C02FF"/>
    <w:rsid w:val="006C139B"/>
    <w:rsid w:val="006E51E7"/>
    <w:rsid w:val="00712C8E"/>
    <w:rsid w:val="00715650"/>
    <w:rsid w:val="00745A48"/>
    <w:rsid w:val="00747D25"/>
    <w:rsid w:val="00787648"/>
    <w:rsid w:val="007973CD"/>
    <w:rsid w:val="007B63B2"/>
    <w:rsid w:val="007B71B3"/>
    <w:rsid w:val="008535AE"/>
    <w:rsid w:val="00866484"/>
    <w:rsid w:val="00876EA4"/>
    <w:rsid w:val="0089082A"/>
    <w:rsid w:val="00892288"/>
    <w:rsid w:val="008957EB"/>
    <w:rsid w:val="008B4143"/>
    <w:rsid w:val="008C407B"/>
    <w:rsid w:val="008D5D81"/>
    <w:rsid w:val="008E126C"/>
    <w:rsid w:val="008F2ABF"/>
    <w:rsid w:val="009038AF"/>
    <w:rsid w:val="00921E7C"/>
    <w:rsid w:val="00930F5F"/>
    <w:rsid w:val="009458B8"/>
    <w:rsid w:val="009541E9"/>
    <w:rsid w:val="00976A3C"/>
    <w:rsid w:val="009822B0"/>
    <w:rsid w:val="009C022E"/>
    <w:rsid w:val="009C163F"/>
    <w:rsid w:val="009F36B4"/>
    <w:rsid w:val="00A0417B"/>
    <w:rsid w:val="00A13C77"/>
    <w:rsid w:val="00A25741"/>
    <w:rsid w:val="00AA0977"/>
    <w:rsid w:val="00AC65C6"/>
    <w:rsid w:val="00B65EE1"/>
    <w:rsid w:val="00B7579C"/>
    <w:rsid w:val="00BA2C88"/>
    <w:rsid w:val="00BB3FF8"/>
    <w:rsid w:val="00BC400D"/>
    <w:rsid w:val="00BC78BE"/>
    <w:rsid w:val="00BE4B3D"/>
    <w:rsid w:val="00BF54D2"/>
    <w:rsid w:val="00C2411A"/>
    <w:rsid w:val="00C416E9"/>
    <w:rsid w:val="00C60C5D"/>
    <w:rsid w:val="00CE1D29"/>
    <w:rsid w:val="00CE69A0"/>
    <w:rsid w:val="00D1055C"/>
    <w:rsid w:val="00D32B45"/>
    <w:rsid w:val="00D42D31"/>
    <w:rsid w:val="00D45043"/>
    <w:rsid w:val="00D92AB4"/>
    <w:rsid w:val="00DA016C"/>
    <w:rsid w:val="00DA71FC"/>
    <w:rsid w:val="00DB6AEF"/>
    <w:rsid w:val="00DC017A"/>
    <w:rsid w:val="00DC566D"/>
    <w:rsid w:val="00DE0231"/>
    <w:rsid w:val="00DF7CC8"/>
    <w:rsid w:val="00E22326"/>
    <w:rsid w:val="00E312B4"/>
    <w:rsid w:val="00E431CC"/>
    <w:rsid w:val="00E66834"/>
    <w:rsid w:val="00E93978"/>
    <w:rsid w:val="00EA218C"/>
    <w:rsid w:val="00ED4A04"/>
    <w:rsid w:val="00EE25AE"/>
    <w:rsid w:val="00EE4485"/>
    <w:rsid w:val="00EF7572"/>
    <w:rsid w:val="00F111E9"/>
    <w:rsid w:val="00F305AE"/>
    <w:rsid w:val="00F349C8"/>
    <w:rsid w:val="00F45B89"/>
    <w:rsid w:val="00F7037F"/>
    <w:rsid w:val="00F75BE5"/>
    <w:rsid w:val="00F8656D"/>
    <w:rsid w:val="00F95899"/>
    <w:rsid w:val="00FC516F"/>
    <w:rsid w:val="00FE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EA4F"/>
  <w15:chartTrackingRefBased/>
  <w15:docId w15:val="{9768CDBD-47B6-4E7A-8E9B-566E4CFF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character" w:customStyle="1" w:styleId="Heading1Char">
    <w:name w:val="Heading 1 Char"/>
    <w:basedOn w:val="DefaultParagraphFont"/>
    <w:link w:val="Heading1"/>
    <w:uiPriority w:val="9"/>
    <w:rsid w:val="00BC78B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45A48"/>
    <w:rPr>
      <w:color w:val="954F72" w:themeColor="followedHyperlink"/>
      <w:u w:val="single"/>
    </w:rPr>
  </w:style>
  <w:style w:type="paragraph" w:styleId="ListParagraph">
    <w:name w:val="List Paragraph"/>
    <w:basedOn w:val="Normal"/>
    <w:uiPriority w:val="34"/>
    <w:qFormat/>
    <w:rsid w:val="00013688"/>
    <w:pPr>
      <w:ind w:left="720"/>
      <w:contextualSpacing/>
    </w:pPr>
  </w:style>
  <w:style w:type="paragraph" w:styleId="Title">
    <w:name w:val="Title"/>
    <w:basedOn w:val="Normal"/>
    <w:next w:val="Normal"/>
    <w:link w:val="TitleChar"/>
    <w:uiPriority w:val="10"/>
    <w:qFormat/>
    <w:rsid w:val="00062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E87"/>
  </w:style>
  <w:style w:type="paragraph" w:styleId="Footer">
    <w:name w:val="footer"/>
    <w:basedOn w:val="Normal"/>
    <w:link w:val="FooterChar"/>
    <w:uiPriority w:val="99"/>
    <w:unhideWhenUsed/>
    <w:rsid w:val="000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E87"/>
  </w:style>
  <w:style w:type="character" w:styleId="PlaceholderText">
    <w:name w:val="Placeholder Text"/>
    <w:basedOn w:val="DefaultParagraphFont"/>
    <w:uiPriority w:val="99"/>
    <w:semiHidden/>
    <w:rsid w:val="00420D9C"/>
    <w:rPr>
      <w:color w:val="808080"/>
    </w:rPr>
  </w:style>
  <w:style w:type="paragraph" w:styleId="HTMLPreformatted">
    <w:name w:val="HTML Preformatted"/>
    <w:basedOn w:val="Normal"/>
    <w:link w:val="HTMLPreformattedChar"/>
    <w:uiPriority w:val="99"/>
    <w:semiHidden/>
    <w:unhideWhenUsed/>
    <w:rsid w:val="009C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22E"/>
    <w:rPr>
      <w:rFonts w:ascii="Courier New" w:eastAsia="Times New Roman" w:hAnsi="Courier New" w:cs="Courier New"/>
      <w:sz w:val="20"/>
      <w:szCs w:val="20"/>
    </w:rPr>
  </w:style>
  <w:style w:type="character" w:customStyle="1" w:styleId="gnkrckgcgsb">
    <w:name w:val="gnkrckgcgsb"/>
    <w:basedOn w:val="DefaultParagraphFont"/>
    <w:rsid w:val="009C022E"/>
  </w:style>
  <w:style w:type="character" w:customStyle="1" w:styleId="Heading2Char">
    <w:name w:val="Heading 2 Char"/>
    <w:basedOn w:val="DefaultParagraphFont"/>
    <w:link w:val="Heading2"/>
    <w:uiPriority w:val="9"/>
    <w:rsid w:val="00CE69A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404A7"/>
    <w:rPr>
      <w:sz w:val="16"/>
      <w:szCs w:val="16"/>
    </w:rPr>
  </w:style>
  <w:style w:type="paragraph" w:styleId="CommentText">
    <w:name w:val="annotation text"/>
    <w:basedOn w:val="Normal"/>
    <w:link w:val="CommentTextChar"/>
    <w:uiPriority w:val="99"/>
    <w:semiHidden/>
    <w:unhideWhenUsed/>
    <w:rsid w:val="000404A7"/>
    <w:pPr>
      <w:spacing w:line="240" w:lineRule="auto"/>
    </w:pPr>
    <w:rPr>
      <w:sz w:val="20"/>
      <w:szCs w:val="20"/>
    </w:rPr>
  </w:style>
  <w:style w:type="character" w:customStyle="1" w:styleId="CommentTextChar">
    <w:name w:val="Comment Text Char"/>
    <w:basedOn w:val="DefaultParagraphFont"/>
    <w:link w:val="CommentText"/>
    <w:uiPriority w:val="99"/>
    <w:semiHidden/>
    <w:rsid w:val="000404A7"/>
    <w:rPr>
      <w:sz w:val="20"/>
      <w:szCs w:val="20"/>
    </w:rPr>
  </w:style>
  <w:style w:type="paragraph" w:styleId="CommentSubject">
    <w:name w:val="annotation subject"/>
    <w:basedOn w:val="CommentText"/>
    <w:next w:val="CommentText"/>
    <w:link w:val="CommentSubjectChar"/>
    <w:uiPriority w:val="99"/>
    <w:semiHidden/>
    <w:unhideWhenUsed/>
    <w:rsid w:val="000404A7"/>
    <w:rPr>
      <w:b/>
      <w:bCs/>
    </w:rPr>
  </w:style>
  <w:style w:type="character" w:customStyle="1" w:styleId="CommentSubjectChar">
    <w:name w:val="Comment Subject Char"/>
    <w:basedOn w:val="CommentTextChar"/>
    <w:link w:val="CommentSubject"/>
    <w:uiPriority w:val="99"/>
    <w:semiHidden/>
    <w:rsid w:val="000404A7"/>
    <w:rPr>
      <w:b/>
      <w:bCs/>
      <w:sz w:val="20"/>
      <w:szCs w:val="20"/>
    </w:rPr>
  </w:style>
  <w:style w:type="paragraph" w:styleId="BalloonText">
    <w:name w:val="Balloon Text"/>
    <w:basedOn w:val="Normal"/>
    <w:link w:val="BalloonTextChar"/>
    <w:uiPriority w:val="99"/>
    <w:semiHidden/>
    <w:unhideWhenUsed/>
    <w:rsid w:val="0004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5881">
      <w:bodyDiv w:val="1"/>
      <w:marLeft w:val="0"/>
      <w:marRight w:val="0"/>
      <w:marTop w:val="0"/>
      <w:marBottom w:val="0"/>
      <w:divBdr>
        <w:top w:val="none" w:sz="0" w:space="0" w:color="auto"/>
        <w:left w:val="none" w:sz="0" w:space="0" w:color="auto"/>
        <w:bottom w:val="none" w:sz="0" w:space="0" w:color="auto"/>
        <w:right w:val="none" w:sz="0" w:space="0" w:color="auto"/>
      </w:divBdr>
    </w:div>
    <w:div w:id="223958146">
      <w:bodyDiv w:val="1"/>
      <w:marLeft w:val="0"/>
      <w:marRight w:val="0"/>
      <w:marTop w:val="0"/>
      <w:marBottom w:val="0"/>
      <w:divBdr>
        <w:top w:val="none" w:sz="0" w:space="0" w:color="auto"/>
        <w:left w:val="none" w:sz="0" w:space="0" w:color="auto"/>
        <w:bottom w:val="none" w:sz="0" w:space="0" w:color="auto"/>
        <w:right w:val="none" w:sz="0" w:space="0" w:color="auto"/>
      </w:divBdr>
    </w:div>
    <w:div w:id="1027021174">
      <w:bodyDiv w:val="1"/>
      <w:marLeft w:val="0"/>
      <w:marRight w:val="0"/>
      <w:marTop w:val="0"/>
      <w:marBottom w:val="0"/>
      <w:divBdr>
        <w:top w:val="none" w:sz="0" w:space="0" w:color="auto"/>
        <w:left w:val="none" w:sz="0" w:space="0" w:color="auto"/>
        <w:bottom w:val="none" w:sz="0" w:space="0" w:color="auto"/>
        <w:right w:val="none" w:sz="0" w:space="0" w:color="auto"/>
      </w:divBdr>
    </w:div>
    <w:div w:id="1078818923">
      <w:bodyDiv w:val="1"/>
      <w:marLeft w:val="0"/>
      <w:marRight w:val="0"/>
      <w:marTop w:val="0"/>
      <w:marBottom w:val="0"/>
      <w:divBdr>
        <w:top w:val="none" w:sz="0" w:space="0" w:color="auto"/>
        <w:left w:val="none" w:sz="0" w:space="0" w:color="auto"/>
        <w:bottom w:val="none" w:sz="0" w:space="0" w:color="auto"/>
        <w:right w:val="none" w:sz="0" w:space="0" w:color="auto"/>
      </w:divBdr>
    </w:div>
    <w:div w:id="1113935373">
      <w:bodyDiv w:val="1"/>
      <w:marLeft w:val="0"/>
      <w:marRight w:val="0"/>
      <w:marTop w:val="0"/>
      <w:marBottom w:val="0"/>
      <w:divBdr>
        <w:top w:val="none" w:sz="0" w:space="0" w:color="auto"/>
        <w:left w:val="none" w:sz="0" w:space="0" w:color="auto"/>
        <w:bottom w:val="none" w:sz="0" w:space="0" w:color="auto"/>
        <w:right w:val="none" w:sz="0" w:space="0" w:color="auto"/>
      </w:divBdr>
    </w:div>
    <w:div w:id="1161311660">
      <w:bodyDiv w:val="1"/>
      <w:marLeft w:val="0"/>
      <w:marRight w:val="0"/>
      <w:marTop w:val="0"/>
      <w:marBottom w:val="0"/>
      <w:divBdr>
        <w:top w:val="none" w:sz="0" w:space="0" w:color="auto"/>
        <w:left w:val="none" w:sz="0" w:space="0" w:color="auto"/>
        <w:bottom w:val="none" w:sz="0" w:space="0" w:color="auto"/>
        <w:right w:val="none" w:sz="0" w:space="0" w:color="auto"/>
      </w:divBdr>
    </w:div>
    <w:div w:id="1871331786">
      <w:bodyDiv w:val="1"/>
      <w:marLeft w:val="0"/>
      <w:marRight w:val="0"/>
      <w:marTop w:val="0"/>
      <w:marBottom w:val="0"/>
      <w:divBdr>
        <w:top w:val="none" w:sz="0" w:space="0" w:color="auto"/>
        <w:left w:val="none" w:sz="0" w:space="0" w:color="auto"/>
        <w:bottom w:val="none" w:sz="0" w:space="0" w:color="auto"/>
        <w:right w:val="none" w:sz="0" w:space="0" w:color="auto"/>
      </w:divBdr>
    </w:div>
    <w:div w:id="20359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s://www.ncdc.noaa.gov/cdo-web/datatools/lcd"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eia.gov/dnav/ng/hist/n3035us3A.htm" TargetMode="External"/><Relationship Id="rId7" Type="http://schemas.openxmlformats.org/officeDocument/2006/relationships/hyperlink" Target="https://github.com/rmoglen/EnergyDevelopment_Policy" TargetMode="External"/><Relationship Id="rId12" Type="http://schemas.openxmlformats.org/officeDocument/2006/relationships/image" Target="media/image1.png"/><Relationship Id="rId17" Type="http://schemas.openxmlformats.org/officeDocument/2006/relationships/hyperlink" Target="http://mis.ercot.com/misapp/GetReports.do?reportTypeId=13061&amp;reportTitle=Historical%20RTM%20Load%20Zone%20and%20Hub%20Prices&amp;showHTMLView=&amp;mimicKey" TargetMode="External"/><Relationship Id="rId25" Type="http://schemas.openxmlformats.org/officeDocument/2006/relationships/hyperlink" Target="https://www.eia.gov/electricity/generatorcosts/" TargetMode="External"/><Relationship Id="rId2" Type="http://schemas.openxmlformats.org/officeDocument/2006/relationships/styles" Target="styles.xml"/><Relationship Id="rId16" Type="http://schemas.openxmlformats.org/officeDocument/2006/relationships/hyperlink" Target="https://www.nrel.gov/docs/fy13osti/57187.pdf" TargetMode="External"/><Relationship Id="rId20" Type="http://schemas.openxmlformats.org/officeDocument/2006/relationships/hyperlink" Target="https://www.eia.gov/outlooks/aeo/data/browser/"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www.ercot.com/content/wcm/lists/144927/2018_LTSA_Report.pdf" TargetMode="External"/><Relationship Id="rId5" Type="http://schemas.openxmlformats.org/officeDocument/2006/relationships/footnotes" Target="footnotes.xml"/><Relationship Id="rId15" Type="http://schemas.openxmlformats.org/officeDocument/2006/relationships/hyperlink" Target="https://www.epa.gov/egrid/download-data" TargetMode="External"/><Relationship Id="rId23" Type="http://schemas.openxmlformats.org/officeDocument/2006/relationships/hyperlink" Target="https://fred.stlouisfed.org/series/TXNGSP"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regclim.coas.oregonstate.edu/visualization/rccv/states-countie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ge.com/power/gas/gas-turbines/7f-04" TargetMode="External"/><Relationship Id="rId22" Type="http://schemas.openxmlformats.org/officeDocument/2006/relationships/hyperlink" Target="http://www.ercot.com/content/wcm/lists/114580/2017_Long-Term_Hourly_Peak_Demand_and_Energy_Forecast.pd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rmoglen/EnergyDevelopment_Polic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chel\Documents\UT_Grad\EDP_LAW379M\EnergyDevelopment_Policy\data\ERCOT_PriceModel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ERCOT Price Model LMP Predictions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Base</c:v>
          </c:tx>
          <c:spPr>
            <a:ln w="28575" cap="rnd">
              <a:solidFill>
                <a:schemeClr val="accent1"/>
              </a:solidFill>
              <a:round/>
            </a:ln>
            <a:effectLst/>
          </c:spPr>
          <c:marker>
            <c:symbol val="none"/>
          </c:marker>
          <c:xVal>
            <c:numRef>
              <c:f>Sheet1!$B$8:$B$23</c:f>
              <c:numCache>
                <c:formatCode>General</c:formatCode>
                <c:ptCount val="16"/>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numCache>
            </c:numRef>
          </c:xVal>
          <c:yVal>
            <c:numRef>
              <c:f>Sheet1!$C$8:$C$23</c:f>
              <c:numCache>
                <c:formatCode>"$"#,##0.00_);\("$"#,##0.00\)</c:formatCode>
                <c:ptCount val="16"/>
                <c:pt idx="0">
                  <c:v>38.1</c:v>
                </c:pt>
                <c:pt idx="1">
                  <c:v>33.58</c:v>
                </c:pt>
                <c:pt idx="2">
                  <c:v>39.24</c:v>
                </c:pt>
                <c:pt idx="3">
                  <c:v>44.01</c:v>
                </c:pt>
                <c:pt idx="4">
                  <c:v>44.01</c:v>
                </c:pt>
                <c:pt idx="5">
                  <c:v>44.01</c:v>
                </c:pt>
                <c:pt idx="6">
                  <c:v>44.01</c:v>
                </c:pt>
                <c:pt idx="7">
                  <c:v>44.01</c:v>
                </c:pt>
                <c:pt idx="8">
                  <c:v>44.01</c:v>
                </c:pt>
                <c:pt idx="9">
                  <c:v>44.01</c:v>
                </c:pt>
                <c:pt idx="10">
                  <c:v>44.01</c:v>
                </c:pt>
                <c:pt idx="11">
                  <c:v>44.01</c:v>
                </c:pt>
                <c:pt idx="12">
                  <c:v>44.01</c:v>
                </c:pt>
                <c:pt idx="13">
                  <c:v>44.01</c:v>
                </c:pt>
                <c:pt idx="14">
                  <c:v>44.01</c:v>
                </c:pt>
                <c:pt idx="15">
                  <c:v>44.01</c:v>
                </c:pt>
              </c:numCache>
            </c:numRef>
          </c:yVal>
          <c:smooth val="1"/>
          <c:extLst>
            <c:ext xmlns:c16="http://schemas.microsoft.com/office/drawing/2014/chart" uri="{C3380CC4-5D6E-409C-BE32-E72D297353CC}">
              <c16:uniqueId val="{00000000-505A-4C4A-8706-D28533640CA9}"/>
            </c:ext>
          </c:extLst>
        </c:ser>
        <c:ser>
          <c:idx val="1"/>
          <c:order val="1"/>
          <c:tx>
            <c:v>High Econ. Growth</c:v>
          </c:tx>
          <c:spPr>
            <a:ln w="28575" cap="rnd">
              <a:solidFill>
                <a:schemeClr val="accent2"/>
              </a:solidFill>
              <a:round/>
            </a:ln>
            <a:effectLst/>
          </c:spPr>
          <c:marker>
            <c:symbol val="none"/>
          </c:marker>
          <c:xVal>
            <c:numRef>
              <c:f>Sheet1!$B$8:$B$23</c:f>
              <c:numCache>
                <c:formatCode>General</c:formatCode>
                <c:ptCount val="16"/>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numCache>
            </c:numRef>
          </c:xVal>
          <c:yVal>
            <c:numRef>
              <c:f>Sheet1!$E$8:$E$23</c:f>
              <c:numCache>
                <c:formatCode>"$"#,##0.00_);\("$"#,##0.00\)</c:formatCode>
                <c:ptCount val="16"/>
                <c:pt idx="0">
                  <c:v>38.1</c:v>
                </c:pt>
                <c:pt idx="1">
                  <c:v>35.909999999999997</c:v>
                </c:pt>
                <c:pt idx="2">
                  <c:v>43.9</c:v>
                </c:pt>
                <c:pt idx="3">
                  <c:v>41.76</c:v>
                </c:pt>
                <c:pt idx="4">
                  <c:v>36.270000000000003</c:v>
                </c:pt>
                <c:pt idx="5">
                  <c:v>39.619999999999997</c:v>
                </c:pt>
                <c:pt idx="6">
                  <c:v>40.270000000000003</c:v>
                </c:pt>
                <c:pt idx="7">
                  <c:v>43.03</c:v>
                </c:pt>
                <c:pt idx="8">
                  <c:v>43.39</c:v>
                </c:pt>
                <c:pt idx="9">
                  <c:v>44.64</c:v>
                </c:pt>
                <c:pt idx="10">
                  <c:v>45.51</c:v>
                </c:pt>
                <c:pt idx="11">
                  <c:v>45.21</c:v>
                </c:pt>
                <c:pt idx="12">
                  <c:v>47.61</c:v>
                </c:pt>
                <c:pt idx="13">
                  <c:v>47.16</c:v>
                </c:pt>
                <c:pt idx="14">
                  <c:v>47.85</c:v>
                </c:pt>
                <c:pt idx="15">
                  <c:v>49.31</c:v>
                </c:pt>
              </c:numCache>
            </c:numRef>
          </c:yVal>
          <c:smooth val="1"/>
          <c:extLst>
            <c:ext xmlns:c16="http://schemas.microsoft.com/office/drawing/2014/chart" uri="{C3380CC4-5D6E-409C-BE32-E72D297353CC}">
              <c16:uniqueId val="{00000001-505A-4C4A-8706-D28533640CA9}"/>
            </c:ext>
          </c:extLst>
        </c:ser>
        <c:ser>
          <c:idx val="2"/>
          <c:order val="2"/>
          <c:tx>
            <c:v>Low Cost Renewables</c:v>
          </c:tx>
          <c:spPr>
            <a:ln w="28575" cap="rnd">
              <a:solidFill>
                <a:schemeClr val="accent3"/>
              </a:solidFill>
              <a:round/>
            </a:ln>
            <a:effectLst/>
          </c:spPr>
          <c:marker>
            <c:symbol val="none"/>
          </c:marker>
          <c:xVal>
            <c:numRef>
              <c:f>Sheet1!$B$8:$B$23</c:f>
              <c:numCache>
                <c:formatCode>General</c:formatCode>
                <c:ptCount val="16"/>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numCache>
            </c:numRef>
          </c:xVal>
          <c:yVal>
            <c:numRef>
              <c:f>Sheet1!$G$8:$G$23</c:f>
              <c:numCache>
                <c:formatCode>"$"#,##0.00_);\("$"#,##0.00\)</c:formatCode>
                <c:ptCount val="16"/>
                <c:pt idx="0">
                  <c:v>40.5</c:v>
                </c:pt>
                <c:pt idx="1">
                  <c:v>40.14</c:v>
                </c:pt>
                <c:pt idx="2">
                  <c:v>40.25</c:v>
                </c:pt>
                <c:pt idx="3">
                  <c:v>36.31</c:v>
                </c:pt>
                <c:pt idx="4">
                  <c:v>38.909999999999997</c:v>
                </c:pt>
                <c:pt idx="5">
                  <c:v>38.479999999999997</c:v>
                </c:pt>
                <c:pt idx="6">
                  <c:v>37.049999999999997</c:v>
                </c:pt>
                <c:pt idx="7">
                  <c:v>38.380000000000003</c:v>
                </c:pt>
                <c:pt idx="8">
                  <c:v>39.71</c:v>
                </c:pt>
                <c:pt idx="9">
                  <c:v>39.159999999999997</c:v>
                </c:pt>
                <c:pt idx="10">
                  <c:v>36</c:v>
                </c:pt>
                <c:pt idx="11">
                  <c:v>37.42</c:v>
                </c:pt>
                <c:pt idx="12">
                  <c:v>39.03</c:v>
                </c:pt>
                <c:pt idx="13">
                  <c:v>38.5</c:v>
                </c:pt>
                <c:pt idx="14">
                  <c:v>37.369999999999997</c:v>
                </c:pt>
                <c:pt idx="15">
                  <c:v>37.06</c:v>
                </c:pt>
              </c:numCache>
            </c:numRef>
          </c:yVal>
          <c:smooth val="1"/>
          <c:extLst>
            <c:ext xmlns:c16="http://schemas.microsoft.com/office/drawing/2014/chart" uri="{C3380CC4-5D6E-409C-BE32-E72D297353CC}">
              <c16:uniqueId val="{00000002-505A-4C4A-8706-D28533640CA9}"/>
            </c:ext>
          </c:extLst>
        </c:ser>
        <c:dLbls>
          <c:showLegendKey val="0"/>
          <c:showVal val="0"/>
          <c:showCatName val="0"/>
          <c:showSerName val="0"/>
          <c:showPercent val="0"/>
          <c:showBubbleSize val="0"/>
        </c:dLbls>
        <c:axId val="157682432"/>
        <c:axId val="204436448"/>
      </c:scatterChart>
      <c:valAx>
        <c:axId val="15768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6448"/>
        <c:crosses val="autoZero"/>
        <c:crossBetween val="midCat"/>
      </c:valAx>
      <c:valAx>
        <c:axId val="20443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LMP ($/MWh)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_);\(&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82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9279</TotalTime>
  <Pages>10</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Moglen</dc:creator>
  <cp:keywords/>
  <dc:description/>
  <cp:lastModifiedBy>Rachel Moglen</cp:lastModifiedBy>
  <cp:revision>3</cp:revision>
  <dcterms:created xsi:type="dcterms:W3CDTF">2020-10-24T03:23:00Z</dcterms:created>
  <dcterms:modified xsi:type="dcterms:W3CDTF">2020-11-08T14:54:00Z</dcterms:modified>
</cp:coreProperties>
</file>