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color w:val="555555"/>
          <w:sz w:val="20"/>
          <w:szCs w:val="20"/>
        </w:rPr>
        <w:t xml:space="preserve">Universidad Nacional de San Juan</w:t>
      </w:r>
    </w:p>
    <w:p>
      <w:pPr>
        <w:spacing w:after="200"/>
        <w:jc w:val="center"/>
      </w:pPr>
      <w:r>
        <w:rPr>
          <w:rFonts w:ascii="Calibri" w:cs="Calibri" w:eastAsia="Calibri" w:hAnsi="Calibri"/>
          <w:color w:val="555555"/>
          <w:sz w:val="20"/>
          <w:szCs w:val="20"/>
        </w:rPr>
        <w:t xml:space="preserve">Maestría en Informática</w:t>
      </w:r>
    </w:p>
    <w:p>
      <w:pPr>
        <w:spacing w:after="80"/>
        <w:jc w:val="center"/>
      </w:pPr>
      <w:r>
        <w:rPr>
          <w:rFonts w:ascii="Calibri" w:cs="Calibri" w:eastAsia="Calibri" w:hAnsi="Calibri"/>
          <w:b/>
          <w:bCs/>
          <w:sz w:val="34"/>
          <w:szCs w:val="34"/>
        </w:rPr>
        <w:t xml:space="preserve">Informe de Avance de Desarrollo</w:t>
      </w:r>
    </w:p>
    <w:p>
      <w:pPr>
        <w:spacing w:after="300"/>
        <w:jc w:val="center"/>
      </w:pPr>
      <w:r>
        <w:rPr>
          <w:rFonts w:ascii="Calibri" w:cs="Calibri" w:eastAsia="Calibri" w:hAnsi="Calibri"/>
          <w:i/>
          <w:iCs/>
          <w:sz w:val="22"/>
          <w:szCs w:val="22"/>
        </w:rPr>
        <w:t xml:space="preserve">Asimilación de observaciones de la red PGICH en el modelo WRF — Valle de Tulum, San Juan</w:t>
      </w:r>
    </w:p>
    <w:p>
      <w:pPr>
        <w:spacing w:after="60"/>
      </w:pPr>
      <w:r>
        <w:rPr>
          <w:rFonts w:ascii="Calibri" w:cs="Calibri" w:eastAsia="Calibri" w:hAnsi="Calibri"/>
          <w:b/>
          <w:bCs/>
        </w:rPr>
        <w:t xml:space="preserve">Tesista: </w:t>
      </w:r>
      <w:r>
        <w:rPr>
          <w:rFonts w:ascii="Calibri" w:cs="Calibri" w:eastAsia="Calibri" w:hAnsi="Calibri"/>
        </w:rPr>
        <w:t xml:space="preserve">Roberto Nicolás Molina</w:t>
      </w:r>
    </w:p>
    <w:p>
      <w:pPr>
        <w:spacing w:after="60"/>
      </w:pPr>
      <w:r>
        <w:rPr>
          <w:rFonts w:ascii="Calibri" w:cs="Calibri" w:eastAsia="Calibri" w:hAnsi="Calibri"/>
          <w:b/>
          <w:bCs/>
        </w:rPr>
        <w:t xml:space="preserve">Director: </w:t>
      </w:r>
      <w:r>
        <w:rPr>
          <w:rFonts w:ascii="Calibri" w:cs="Calibri" w:eastAsia="Calibri" w:hAnsi="Calibri"/>
        </w:rPr>
        <w:t xml:space="preserve">Dr. Oscar Raúl Dölling</w:t>
      </w:r>
    </w:p>
    <w:p>
      <w:pPr>
        <w:spacing w:after="60"/>
      </w:pPr>
      <w:r>
        <w:rPr>
          <w:rFonts w:ascii="Calibri" w:cs="Calibri" w:eastAsia="Calibri" w:hAnsi="Calibri"/>
          <w:b/>
          <w:bCs/>
        </w:rPr>
        <w:t xml:space="preserve">Codirector: </w:t>
      </w:r>
      <w:r>
        <w:rPr>
          <w:rFonts w:ascii="Calibri" w:cs="Calibri" w:eastAsia="Calibri" w:hAnsi="Calibri"/>
        </w:rPr>
        <w:t xml:space="preserve">Mg. Héctor Ramón Lepez</w:t>
      </w:r>
    </w:p>
    <w:p>
      <w:pPr>
        <w:spacing w:after="60"/>
      </w:pPr>
      <w:r>
        <w:rPr>
          <w:rFonts w:ascii="Calibri" w:cs="Calibri" w:eastAsia="Calibri" w:hAnsi="Calibri"/>
          <w:b/>
          <w:bCs/>
        </w:rPr>
        <w:t xml:space="preserve">Fecha del informe: </w:t>
      </w:r>
      <w:r>
        <w:rPr>
          <w:rFonts w:ascii="Calibri" w:cs="Calibri" w:eastAsia="Calibri" w:hAnsi="Calibri"/>
        </w:rPr>
        <w:t xml:space="preserve">08 de septiembre de 2026</w:t>
      </w:r>
    </w:p>
    <w:p>
      <w:pPr>
        <w:spacing w:after="60"/>
      </w:pPr>
      <w:r>
        <w:rPr>
          <w:rFonts w:ascii="Calibri" w:cs="Calibri" w:eastAsia="Calibri" w:hAnsi="Calibri"/>
          <w:b/>
          <w:bCs/>
        </w:rPr>
        <w:t xml:space="preserve">Ciclo reportado: </w:t>
      </w:r>
      <w:r>
        <w:rPr>
          <w:rFonts w:ascii="Calibri" w:cs="Calibri" w:eastAsia="Calibri" w:hAnsi="Calibri"/>
        </w:rPr>
        <w:t xml:space="preserve">Simulación WRF del 06/08/2026, ciclo 00Z (12 h)</w:t>
      </w:r>
    </w:p>
    <w:p>
      <w:pPr>
        <w:pStyle w:val="Heading1"/>
        <w:spacing w:after="150" w:before="300"/>
      </w:pPr>
      <w:r>
        <w:rPr>
          <w:rFonts w:ascii="Calibri" w:cs="Calibri" w:eastAsia="Calibri" w:hAnsi="Calibri"/>
          <w:b/>
          <w:bCs/>
        </w:rPr>
        <w:t xml:space="preserve">1. Resumen ejecutivo</w:t>
      </w:r>
    </w:p>
    <w:p>
      <w:pPr>
        <w:spacing w:after="120"/>
      </w:pPr>
      <w:r>
        <w:rPr>
          <w:rFonts w:ascii="Calibri" w:cs="Calibri" w:eastAsia="Calibri" w:hAnsi="Calibri"/>
        </w:rPr>
        <w:t xml:space="preserve">Se ejecutó y validó un nuevo ciclo del prototipo de asimilación por Observation Nudging sobre el dominio de San Juan / Cuyo, comparando una corrida con asimilación de observaciones de superficie (Nudged) contra una corrida de Control sin asimilación. Ambas corridas completaron las 12 h de simulación sin errores numéricos (NaN/SIGSEGV), tras resolver un problema de estabilidad detectado en corridas previas asociado a un jet estratosférico extremo en los datos de entrada GFS. La validación contra observaciones EcoWitt confirma una mejora sistemática del sesgo en las cuatro variables evaluadas (T2, PSFC, RH y viento) al incorporar el nudging.</w:t>
      </w:r>
    </w:p>
    <w:p>
      <w:pPr>
        <w:pStyle w:val="Heading1"/>
        <w:spacing w:after="150" w:before="300"/>
      </w:pPr>
      <w:r>
        <w:rPr>
          <w:rFonts w:ascii="Calibri" w:cs="Calibri" w:eastAsia="Calibri" w:hAnsi="Calibri"/>
          <w:b/>
          <w:bCs/>
        </w:rPr>
        <w:t xml:space="preserve">2. Objetivo del ciclo de trabajo</w:t>
      </w:r>
    </w:p>
    <w:p>
      <w:pPr>
        <w:spacing w:after="120"/>
      </w:pPr>
      <w:r>
        <w:rPr>
          <w:rFonts w:ascii="Calibri" w:cs="Calibri" w:eastAsia="Calibri" w:hAnsi="Calibri"/>
        </w:rPr>
        <w:t xml:space="preserve">Evaluar el impacto del obs nudging (obs_nudge_opt=1) sobre una corrida de control de 12 h, comparando métricas de error (bias, MAE, RMSE, r) entre la corrida Nudged (N) y Control (C) para las variables T2, PSFC, RH y viento, sobre el dominio de San Juan.</w:t>
      </w:r>
    </w:p>
    <w:p>
      <w:pPr>
        <w:pStyle w:val="Heading1"/>
        <w:spacing w:after="150" w:before="300"/>
      </w:pPr>
      <w:r>
        <w:rPr>
          <w:rFonts w:ascii="Calibri" w:cs="Calibri" w:eastAsia="Calibri" w:hAnsi="Calibri"/>
          <w:b/>
          <w:bCs/>
        </w:rPr>
        <w:t xml:space="preserve">3. Diccionario de abreviaturas y siglas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6300"/>
      </w:tblGrid>
      <w:tr>
        <w:trPr>
          <w:tblHeader/>
        </w:trPr>
        <w:tc>
          <w:tcPr>
            <w:tcW w:type="dxa" w:w="2400"/>
            <w:shd w:fill="D9E2F3" w:val="clear"/>
            <w:tcMar>
              <w:top w:type="dxa" w:w="60"/>
              <w:left w:type="dxa" w:w="100"/>
              <w:bottom w:type="dxa" w:w="60"/>
              <w:right w:type="dxa" w:w="100"/>
            </w:tcMar>
          </w:tcPr>
          <w:p>
            <w:r>
              <w:rPr>
                <w:rFonts w:ascii="Calibri" w:cs="Calibri" w:eastAsia="Calibri" w:hAnsi="Calibri"/>
                <w:b/>
                <w:bCs/>
                <w:sz w:val="20"/>
                <w:szCs w:val="20"/>
              </w:rPr>
              <w:t xml:space="preserve">Sigla / Término</w:t>
            </w:r>
          </w:p>
        </w:tc>
        <w:tc>
          <w:tcPr>
            <w:tcW w:type="dxa" w:w="6300"/>
            <w:shd w:fill="D9E2F3" w:val="clear"/>
            <w:tcMar>
              <w:top w:type="dxa" w:w="60"/>
              <w:left w:type="dxa" w:w="100"/>
              <w:bottom w:type="dxa" w:w="60"/>
              <w:right w:type="dxa" w:w="100"/>
            </w:tcMar>
          </w:tcPr>
          <w:p>
            <w:r>
              <w:rPr>
                <w:rFonts w:ascii="Calibri" w:cs="Calibri" w:eastAsia="Calibri" w:hAnsi="Calibri"/>
                <w:b/>
                <w:bCs/>
                <w:sz w:val="20"/>
                <w:szCs w:val="20"/>
              </w:rPr>
              <w:t xml:space="preserve">Significado</w:t>
            </w:r>
          </w:p>
        </w:tc>
      </w:tr>
      <w:tr>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WRF</w:t>
            </w:r>
          </w:p>
        </w:tc>
        <w:tc>
          <w:tcPr>
            <w:tcW w:type="dxa" w:w="6300"/>
            <w:tcMar>
              <w:top w:type="dxa" w:w="60"/>
              <w:left w:type="dxa" w:w="100"/>
              <w:bottom w:type="dxa" w:w="60"/>
              <w:right w:type="dxa" w:w="100"/>
            </w:tcMar>
          </w:tcPr>
          <w:p>
            <w:r>
              <w:rPr>
                <w:rFonts w:ascii="Calibri" w:cs="Calibri" w:eastAsia="Calibri" w:hAnsi="Calibri"/>
                <w:b w:val="false"/>
                <w:bCs w:val="false"/>
                <w:sz w:val="20"/>
                <w:szCs w:val="20"/>
              </w:rPr>
              <w:t xml:space="preserve">Weather Research and Forecasting model: modelo numérico de pronóstico meteorológico de mesoescala utilizado como núcleo de simulación de la tesis.</w:t>
            </w:r>
          </w:p>
        </w:tc>
      </w:tr>
      <w:tr>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WPS</w:t>
            </w:r>
          </w:p>
        </w:tc>
        <w:tc>
          <w:tcPr>
            <w:tcW w:type="dxa" w:w="6300"/>
            <w:tcMar>
              <w:top w:type="dxa" w:w="60"/>
              <w:left w:type="dxa" w:w="100"/>
              <w:bottom w:type="dxa" w:w="60"/>
              <w:right w:type="dxa" w:w="100"/>
            </w:tcMar>
          </w:tcPr>
          <w:p>
            <w:r>
              <w:rPr>
                <w:rFonts w:ascii="Calibri" w:cs="Calibri" w:eastAsia="Calibri" w:hAnsi="Calibri"/>
                <w:b w:val="false"/>
                <w:bCs w:val="false"/>
                <w:sz w:val="20"/>
                <w:szCs w:val="20"/>
              </w:rPr>
              <w:t xml:space="preserve">WRF Preprocessing System: conjunto de programas (geogrid, ungrib, metgrid) que preparan los datos de entrada y el dominio antes de correr el WRF.</w:t>
            </w:r>
          </w:p>
        </w:tc>
      </w:tr>
      <w:tr>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GFS</w:t>
            </w:r>
          </w:p>
        </w:tc>
        <w:tc>
          <w:tcPr>
            <w:tcW w:type="dxa" w:w="6300"/>
            <w:tcMar>
              <w:top w:type="dxa" w:w="60"/>
              <w:left w:type="dxa" w:w="100"/>
              <w:bottom w:type="dxa" w:w="60"/>
              <w:right w:type="dxa" w:w="100"/>
            </w:tcMar>
          </w:tcPr>
          <w:p>
            <w:r>
              <w:rPr>
                <w:rFonts w:ascii="Calibri" w:cs="Calibri" w:eastAsia="Calibri" w:hAnsi="Calibri"/>
                <w:b w:val="false"/>
                <w:bCs w:val="false"/>
                <w:sz w:val="20"/>
                <w:szCs w:val="20"/>
              </w:rPr>
              <w:t xml:space="preserve">Global Forecast System: modelo global del NCEP (EE. UU.) usado como fuente de condiciones iniciales y de borde (en este caso, resolución 0.25°).</w:t>
            </w:r>
          </w:p>
        </w:tc>
      </w:tr>
      <w:tr>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FDDA</w:t>
            </w:r>
          </w:p>
        </w:tc>
        <w:tc>
          <w:tcPr>
            <w:tcW w:type="dxa" w:w="6300"/>
            <w:tcMar>
              <w:top w:type="dxa" w:w="60"/>
              <w:left w:type="dxa" w:w="100"/>
              <w:bottom w:type="dxa" w:w="60"/>
              <w:right w:type="dxa" w:w="100"/>
            </w:tcMar>
          </w:tcPr>
          <w:p>
            <w:r>
              <w:rPr>
                <w:rFonts w:ascii="Calibri" w:cs="Calibri" w:eastAsia="Calibri" w:hAnsi="Calibri"/>
                <w:b w:val="false"/>
                <w:bCs w:val="false"/>
                <w:sz w:val="20"/>
                <w:szCs w:val="20"/>
              </w:rPr>
              <w:t xml:space="preserve">Four-Dimensional Data Assimilation: familia de técnicas de asimilación de datos en el tiempo; el Observation Nudging es uno de sus esquemas.</w:t>
            </w:r>
          </w:p>
        </w:tc>
      </w:tr>
      <w:tr>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obs_nudge_opt</w:t>
            </w:r>
          </w:p>
        </w:tc>
        <w:tc>
          <w:tcPr>
            <w:tcW w:type="dxa" w:w="6300"/>
            <w:tcMar>
              <w:top w:type="dxa" w:w="60"/>
              <w:left w:type="dxa" w:w="100"/>
              <w:bottom w:type="dxa" w:w="60"/>
              <w:right w:type="dxa" w:w="100"/>
            </w:tcMar>
          </w:tcPr>
          <w:p>
            <w:r>
              <w:rPr>
                <w:rFonts w:ascii="Calibri" w:cs="Calibri" w:eastAsia="Calibri" w:hAnsi="Calibri"/>
                <w:b w:val="false"/>
                <w:bCs w:val="false"/>
                <w:sz w:val="20"/>
                <w:szCs w:val="20"/>
              </w:rPr>
              <w:t xml:space="preserve">Parámetro del namelist que activa (1) o desactiva (0) el esquema de asimilación por Observation Nudging.</w:t>
            </w:r>
          </w:p>
        </w:tc>
      </w:tr>
      <w:tr>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obs_coef_wind/temp/mois</w:t>
            </w:r>
          </w:p>
        </w:tc>
        <w:tc>
          <w:tcPr>
            <w:tcW w:type="dxa" w:w="6300"/>
            <w:tcMar>
              <w:top w:type="dxa" w:w="60"/>
              <w:left w:type="dxa" w:w="100"/>
              <w:bottom w:type="dxa" w:w="60"/>
              <w:right w:type="dxa" w:w="100"/>
            </w:tcMar>
          </w:tcPr>
          <w:p>
            <w:r>
              <w:rPr>
                <w:rFonts w:ascii="Calibri" w:cs="Calibri" w:eastAsia="Calibri" w:hAnsi="Calibri"/>
                <w:b w:val="false"/>
                <w:bCs w:val="false"/>
                <w:sz w:val="20"/>
                <w:szCs w:val="20"/>
              </w:rPr>
              <w:t xml:space="preserve">Coeficientes de nudging que regulan la intensidad con que el modelo es "empujado" hacia las observaciones de viento, temperatura y humedad.</w:t>
            </w:r>
          </w:p>
        </w:tc>
      </w:tr>
      <w:tr>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T2</w:t>
            </w:r>
          </w:p>
        </w:tc>
        <w:tc>
          <w:tcPr>
            <w:tcW w:type="dxa" w:w="6300"/>
            <w:tcMar>
              <w:top w:type="dxa" w:w="60"/>
              <w:left w:type="dxa" w:w="100"/>
              <w:bottom w:type="dxa" w:w="60"/>
              <w:right w:type="dxa" w:w="100"/>
            </w:tcMar>
          </w:tcPr>
          <w:p>
            <w:r>
              <w:rPr>
                <w:rFonts w:ascii="Calibri" w:cs="Calibri" w:eastAsia="Calibri" w:hAnsi="Calibri"/>
                <w:b w:val="false"/>
                <w:bCs w:val="false"/>
                <w:sz w:val="20"/>
                <w:szCs w:val="20"/>
              </w:rPr>
              <w:t xml:space="preserve">Temperatura del aire a 2 metros de altura sobre la superficie.</w:t>
            </w:r>
          </w:p>
        </w:tc>
      </w:tr>
      <w:tr>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PSFC</w:t>
            </w:r>
          </w:p>
        </w:tc>
        <w:tc>
          <w:tcPr>
            <w:tcW w:type="dxa" w:w="6300"/>
            <w:tcMar>
              <w:top w:type="dxa" w:w="60"/>
              <w:left w:type="dxa" w:w="100"/>
              <w:bottom w:type="dxa" w:w="60"/>
              <w:right w:type="dxa" w:w="100"/>
            </w:tcMar>
          </w:tcPr>
          <w:p>
            <w:r>
              <w:rPr>
                <w:rFonts w:ascii="Calibri" w:cs="Calibri" w:eastAsia="Calibri" w:hAnsi="Calibri"/>
                <w:b w:val="false"/>
                <w:bCs w:val="false"/>
                <w:sz w:val="20"/>
                <w:szCs w:val="20"/>
              </w:rPr>
              <w:t xml:space="preserve">Presión atmosférica en superficie.</w:t>
            </w:r>
          </w:p>
        </w:tc>
      </w:tr>
      <w:tr>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RH</w:t>
            </w:r>
          </w:p>
        </w:tc>
        <w:tc>
          <w:tcPr>
            <w:tcW w:type="dxa" w:w="6300"/>
            <w:tcMar>
              <w:top w:type="dxa" w:w="60"/>
              <w:left w:type="dxa" w:w="100"/>
              <w:bottom w:type="dxa" w:w="60"/>
              <w:right w:type="dxa" w:w="100"/>
            </w:tcMar>
          </w:tcPr>
          <w:p>
            <w:r>
              <w:rPr>
                <w:rFonts w:ascii="Calibri" w:cs="Calibri" w:eastAsia="Calibri" w:hAnsi="Calibri"/>
                <w:b w:val="false"/>
                <w:bCs w:val="false"/>
                <w:sz w:val="20"/>
                <w:szCs w:val="20"/>
              </w:rPr>
              <w:t xml:space="preserve">Humedad relativa (Relative Humidity).</w:t>
            </w:r>
          </w:p>
        </w:tc>
      </w:tr>
      <w:tr>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CFL</w:t>
            </w:r>
          </w:p>
        </w:tc>
        <w:tc>
          <w:tcPr>
            <w:tcW w:type="dxa" w:w="6300"/>
            <w:tcMar>
              <w:top w:type="dxa" w:w="60"/>
              <w:left w:type="dxa" w:w="100"/>
              <w:bottom w:type="dxa" w:w="60"/>
              <w:right w:type="dxa" w:w="100"/>
            </w:tcMar>
          </w:tcPr>
          <w:p>
            <w:r>
              <w:rPr>
                <w:rFonts w:ascii="Calibri" w:cs="Calibri" w:eastAsia="Calibri" w:hAnsi="Calibri"/>
                <w:b w:val="false"/>
                <w:bCs w:val="false"/>
                <w:sz w:val="20"/>
                <w:szCs w:val="20"/>
              </w:rPr>
              <w:t xml:space="preserve">Condición de Courant-Friedrichs-Lewy: criterio de estabilidad numérica que limita el paso de tiempo según la velocidad del flujo y la resolución de la grilla.</w:t>
            </w:r>
          </w:p>
        </w:tc>
      </w:tr>
      <w:tr>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Noah / Noah-MP</w:t>
            </w:r>
          </w:p>
        </w:tc>
        <w:tc>
          <w:tcPr>
            <w:tcW w:type="dxa" w:w="6300"/>
            <w:tcMar>
              <w:top w:type="dxa" w:w="60"/>
              <w:left w:type="dxa" w:w="100"/>
              <w:bottom w:type="dxa" w:w="60"/>
              <w:right w:type="dxa" w:w="100"/>
            </w:tcMar>
          </w:tcPr>
          <w:p>
            <w:r>
              <w:rPr>
                <w:rFonts w:ascii="Calibri" w:cs="Calibri" w:eastAsia="Calibri" w:hAnsi="Calibri"/>
                <w:b w:val="false"/>
                <w:bCs w:val="false"/>
                <w:sz w:val="20"/>
                <w:szCs w:val="20"/>
              </w:rPr>
              <w:t xml:space="preserve">Esquema de superficie terrestre (Land Surface Model) que calcula los intercambios de energía y humedad entre el suelo/vegetación y la atmósfera.</w:t>
            </w:r>
          </w:p>
        </w:tc>
      </w:tr>
      <w:tr>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SIGSEGV</w:t>
            </w:r>
          </w:p>
        </w:tc>
        <w:tc>
          <w:tcPr>
            <w:tcW w:type="dxa" w:w="6300"/>
            <w:tcMar>
              <w:top w:type="dxa" w:w="60"/>
              <w:left w:type="dxa" w:w="100"/>
              <w:bottom w:type="dxa" w:w="60"/>
              <w:right w:type="dxa" w:w="100"/>
            </w:tcMar>
          </w:tcPr>
          <w:p>
            <w:r>
              <w:rPr>
                <w:rFonts w:ascii="Calibri" w:cs="Calibri" w:eastAsia="Calibri" w:hAnsi="Calibri"/>
                <w:b w:val="false"/>
                <w:bCs w:val="false"/>
                <w:sz w:val="20"/>
                <w:szCs w:val="20"/>
              </w:rPr>
              <w:t xml:space="preserve">Señal de error de segmentación del sistema operativo: indica que el programa intentó acceder a una zona de memoria inválida (típicamente por datos inestables, como valores NaN).</w:t>
            </w:r>
          </w:p>
        </w:tc>
      </w:tr>
      <w:tr>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NaN</w:t>
            </w:r>
          </w:p>
        </w:tc>
        <w:tc>
          <w:tcPr>
            <w:tcW w:type="dxa" w:w="6300"/>
            <w:tcMar>
              <w:top w:type="dxa" w:w="60"/>
              <w:left w:type="dxa" w:w="100"/>
              <w:bottom w:type="dxa" w:w="60"/>
              <w:right w:type="dxa" w:w="100"/>
            </w:tcMar>
          </w:tcPr>
          <w:p>
            <w:r>
              <w:rPr>
                <w:rFonts w:ascii="Calibri" w:cs="Calibri" w:eastAsia="Calibri" w:hAnsi="Calibri"/>
                <w:b w:val="false"/>
                <w:bCs w:val="false"/>
                <w:sz w:val="20"/>
                <w:szCs w:val="20"/>
              </w:rPr>
              <w:t xml:space="preserve">Not a Number: valor numérico inválido o indefinido, producto de una operación matemática incorrecta (p. ej. división por cero); su presencia indica inestabilidad numérica.</w:t>
            </w:r>
          </w:p>
        </w:tc>
      </w:tr>
      <w:tr>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PGICH</w:t>
            </w:r>
          </w:p>
        </w:tc>
        <w:tc>
          <w:tcPr>
            <w:tcW w:type="dxa" w:w="6300"/>
            <w:tcMar>
              <w:top w:type="dxa" w:w="60"/>
              <w:left w:type="dxa" w:w="100"/>
              <w:bottom w:type="dxa" w:w="60"/>
              <w:right w:type="dxa" w:w="100"/>
            </w:tcMar>
          </w:tcPr>
          <w:p>
            <w:r>
              <w:rPr>
                <w:rFonts w:ascii="Calibri" w:cs="Calibri" w:eastAsia="Calibri" w:hAnsi="Calibri"/>
                <w:b w:val="false"/>
                <w:bCs w:val="false"/>
                <w:sz w:val="20"/>
                <w:szCs w:val="20"/>
              </w:rPr>
              <w:t xml:space="preserve">Programa/red de estaciones meteorológicas cuyas observaciones se asimilan en el modelo (fuente de los datos EcoWitt usados en el nudging).</w:t>
            </w:r>
          </w:p>
        </w:tc>
      </w:tr>
      <w:tr>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UTC</w:t>
            </w:r>
          </w:p>
        </w:tc>
        <w:tc>
          <w:tcPr>
            <w:tcW w:type="dxa" w:w="6300"/>
            <w:tcMar>
              <w:top w:type="dxa" w:w="60"/>
              <w:left w:type="dxa" w:w="100"/>
              <w:bottom w:type="dxa" w:w="60"/>
              <w:right w:type="dxa" w:w="100"/>
            </w:tcMar>
          </w:tcPr>
          <w:p>
            <w:r>
              <w:rPr>
                <w:rFonts w:ascii="Calibri" w:cs="Calibri" w:eastAsia="Calibri" w:hAnsi="Calibri"/>
                <w:b w:val="false"/>
                <w:bCs w:val="false"/>
                <w:sz w:val="20"/>
                <w:szCs w:val="20"/>
              </w:rPr>
              <w:t xml:space="preserve">Tiempo Universal Coordinado: referencia horaria estándar usada en meteorología para evitar ambigüedades de huso horario.</w:t>
            </w:r>
          </w:p>
        </w:tc>
      </w:tr>
    </w:tbl>
    <w:p>
      <w:pPr>
        <w:pStyle w:val="Heading1"/>
        <w:spacing w:after="150" w:before="300"/>
      </w:pPr>
      <w:r>
        <w:rPr>
          <w:rFonts w:ascii="Calibri" w:cs="Calibri" w:eastAsia="Calibri" w:hAnsi="Calibri"/>
          <w:b/>
          <w:bCs/>
        </w:rPr>
        <w:t xml:space="preserve">4. Métricas de validación: qué miden y para qué sirven</w:t>
      </w:r>
    </w:p>
    <w:p>
      <w:pPr>
        <w:spacing w:after="120"/>
      </w:pPr>
      <w:r>
        <w:rPr>
          <w:rFonts w:ascii="Calibri" w:cs="Calibri" w:eastAsia="Calibri" w:hAnsi="Calibri"/>
        </w:rPr>
        <w:t xml:space="preserve">Las cuatro métricas de la tabla de validación (sección 7) comparan, para cada variable, los valores simulados por el modelo contra los valores observados en las estaciones EcoWitt. Cada una aporta una lectura distinta y complementaria del error del modelo:</w:t>
      </w:r>
    </w:p>
    <w:p>
      <w:pPr>
        <w:pStyle w:val="Heading2"/>
        <w:spacing w:after="100" w:before="220"/>
      </w:pPr>
      <w:r>
        <w:rPr>
          <w:rFonts w:ascii="Calibri" w:cs="Calibri" w:eastAsia="Calibri" w:hAnsi="Calibri"/>
          <w:b/>
          <w:bCs/>
        </w:rPr>
        <w:t xml:space="preserve">Bias (sesgo)</w:t>
      </w:r>
    </w:p>
    <w:p>
      <w:pPr>
        <w:spacing w:after="120"/>
      </w:pPr>
      <w:r>
        <w:rPr>
          <w:rFonts w:ascii="Calibri" w:cs="Calibri" w:eastAsia="Calibri" w:hAnsi="Calibri"/>
        </w:rPr>
        <w:t xml:space="preserve">El bias, o sesgo, se calcula restando el valor observado al valor simulado en cada punto de comparación (simulado − observado) y promediando esas diferencias. Es, en otras palabras, el error promedio con signo: no mide qué tan grande es el error en cada caso individual, sino hacia qué lado se inclina el modelo en promedio.</w:t>
      </w:r>
    </w:p>
    <w:p>
      <w:pPr>
        <w:spacing w:after="120"/>
      </w:pPr>
      <w:r>
        <w:rPr>
          <w:rFonts w:ascii="Calibri" w:cs="Calibri" w:eastAsia="Calibri" w:hAnsi="Calibri"/>
        </w:rPr>
        <w:t xml:space="preserve">Un bias positivo significa que, en promedio, el modelo sobreestima la variable (por ejemplo, un bias de T2 de +1.73 K indica que el modelo predijo, en promedio, 1.73 K por encima de lo observado). Un bias negativo significa que el modelo la subestima (un bias de -0.35 K indica que, en promedio, predijo 0.35 K por debajo de lo observado). Un bias cercano a cero no implica que el modelo acierte en cada punto: significa que los errores por exceso y por defecto se compensan entre sí al promediarlos, por lo que el bias debe interpretarse siempre junto con el MAE y el RMSE, que sí capturan la magnitud real del error.</w:t>
      </w:r>
    </w:p>
    <w:p>
      <w:pPr>
        <w:pStyle w:val="Heading2"/>
        <w:spacing w:after="100" w:before="220"/>
      </w:pPr>
      <w:r>
        <w:rPr>
          <w:rFonts w:ascii="Calibri" w:cs="Calibri" w:eastAsia="Calibri" w:hAnsi="Calibri"/>
          <w:b/>
          <w:bCs/>
        </w:rPr>
        <w:t xml:space="preserve">MAE (Mean Absolute Error / Error Absoluto Medio)</w:t>
      </w:r>
    </w:p>
    <w:p>
      <w:pPr>
        <w:spacing w:after="120"/>
      </w:pPr>
      <w:r>
        <w:rPr>
          <w:rFonts w:ascii="Calibri" w:cs="Calibri" w:eastAsia="Calibri" w:hAnsi="Calibri"/>
        </w:rPr>
        <w:t xml:space="preserve">Es el promedio del valor absoluto de las diferencias entre simulado y observado. A diferencia del bias, no permite que los errores se cancelen, por lo que refleja la magnitud típica del error del modelo independientemente de su signo. Un MAE menor indica pronósticos, en promedio, más cercanos a la observación.</w:t>
      </w:r>
    </w:p>
    <w:p>
      <w:pPr>
        <w:pStyle w:val="Heading2"/>
        <w:spacing w:after="100" w:before="220"/>
      </w:pPr>
      <w:r>
        <w:rPr>
          <w:rFonts w:ascii="Calibri" w:cs="Calibri" w:eastAsia="Calibri" w:hAnsi="Calibri"/>
          <w:b/>
          <w:bCs/>
        </w:rPr>
        <w:t xml:space="preserve">RMSE (Root Mean Square Error / Raíz del Error Cuadrático Medio)</w:t>
      </w:r>
    </w:p>
    <w:p>
      <w:pPr>
        <w:spacing w:after="120"/>
      </w:pPr>
      <w:r>
        <w:rPr>
          <w:rFonts w:ascii="Calibri" w:cs="Calibri" w:eastAsia="Calibri" w:hAnsi="Calibri"/>
        </w:rPr>
        <w:t xml:space="preserve">Es la raíz cuadrada del promedio de las diferencias al cuadrado entre simulado y observado. Al elevar al cuadrado, penaliza más fuertemente los errores grandes (outliers) que el MAE. Por eso el RMSE suele ser mayor o igual al MAE, y la brecha entre ambos da una idea de cuán dispersos o puntuales son los errores más grandes.</w:t>
      </w:r>
    </w:p>
    <w:p>
      <w:pPr>
        <w:pStyle w:val="Heading2"/>
        <w:spacing w:after="100" w:before="220"/>
      </w:pPr>
      <w:r>
        <w:rPr>
          <w:rFonts w:ascii="Calibri" w:cs="Calibri" w:eastAsia="Calibri" w:hAnsi="Calibri"/>
          <w:b/>
          <w:bCs/>
        </w:rPr>
        <w:t xml:space="preserve">r (coeficiente de correlación)</w:t>
      </w:r>
    </w:p>
    <w:p>
      <w:pPr>
        <w:spacing w:after="120"/>
      </w:pPr>
      <w:r>
        <w:rPr>
          <w:rFonts w:ascii="Calibri" w:cs="Calibri" w:eastAsia="Calibri" w:hAnsi="Calibri"/>
        </w:rPr>
        <w:t xml:space="preserve">Mide qué tan bien el patrón de variación temporal del modelo (subidas y bajadas) sigue al patrón observado, con valores entre -1 y 1. Un valor cercano a 1 indica que ambas series varían de forma similar; cercano a -1, que varían de forma inversa; y cercano a 0, que no hay relación lineal clara. A diferencia de bias, MAE y RMSE, el r no informa sobre la magnitud del error, sino sobre la forma del patrón, por lo que puede dar valores bajos o negativos aun cuando el error absoluto sea pequeño, especialmente con series cortas o poco variables como la ventana de validación de este ciclo.</w:t>
      </w:r>
    </w:p>
    <w:p>
      <w:pPr>
        <w:spacing w:after="120"/>
      </w:pPr>
      <w:r>
        <w:rPr>
          <w:rFonts w:ascii="Calibri" w:cs="Calibri" w:eastAsia="Calibri" w:hAnsi="Calibri"/>
        </w:rPr>
        <w:t xml:space="preserve">En conjunto, estas cuatro métricas son complementarias: el bias muestra la dirección del error, el MAE y el RMSE su magnitud (con distinta sensibilidad a errores grandes), y el r la fidelidad del patrón temporal. Por eso la mejora del nudging se evalúa mirando el conjunto de las cuatro, y no una sola de manera aislada.</w:t>
      </w:r>
    </w:p>
    <w:p>
      <w:pPr>
        <w:pStyle w:val="Heading1"/>
        <w:spacing w:after="150" w:before="300"/>
      </w:pPr>
      <w:r>
        <w:rPr>
          <w:rFonts w:ascii="Calibri" w:cs="Calibri" w:eastAsia="Calibri" w:hAnsi="Calibri"/>
          <w:b/>
          <w:bCs/>
        </w:rPr>
        <w:t xml:space="preserve">5. Configuración del experimento</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200"/>
        <w:gridCol w:w="5500"/>
      </w:tblGrid>
      <w:tr>
        <w:trPr>
          <w:tblHeader/>
        </w:trPr>
        <w:tc>
          <w:tcPr>
            <w:tcW w:type="dxa" w:w="3200"/>
            <w:shd w:fill="D9E2F3" w:val="clear"/>
            <w:tcMar>
              <w:top w:type="dxa" w:w="60"/>
              <w:left w:type="dxa" w:w="100"/>
              <w:bottom w:type="dxa" w:w="60"/>
              <w:right w:type="dxa" w:w="100"/>
            </w:tcMar>
          </w:tcPr>
          <w:p>
            <w:r>
              <w:rPr>
                <w:rFonts w:ascii="Calibri" w:cs="Calibri" w:eastAsia="Calibri" w:hAnsi="Calibri"/>
                <w:b/>
                <w:bCs/>
                <w:sz w:val="20"/>
                <w:szCs w:val="20"/>
              </w:rPr>
              <w:t xml:space="preserve">Parámetro</w:t>
            </w:r>
          </w:p>
        </w:tc>
        <w:tc>
          <w:tcPr>
            <w:tcW w:type="dxa" w:w="5500"/>
            <w:shd w:fill="D9E2F3" w:val="clear"/>
            <w:tcMar>
              <w:top w:type="dxa" w:w="60"/>
              <w:left w:type="dxa" w:w="100"/>
              <w:bottom w:type="dxa" w:w="60"/>
              <w:right w:type="dxa" w:w="100"/>
            </w:tcMar>
          </w:tcPr>
          <w:p>
            <w:r>
              <w:rPr>
                <w:rFonts w:ascii="Calibri" w:cs="Calibri" w:eastAsia="Calibri" w:hAnsi="Calibri"/>
                <w:b/>
                <w:bCs/>
                <w:sz w:val="20"/>
                <w:szCs w:val="20"/>
              </w:rPr>
              <w:t xml:space="preserve">Valor</w:t>
            </w:r>
          </w:p>
        </w:tc>
      </w:tr>
      <w:t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Dominio</w:t>
            </w:r>
          </w:p>
        </w:tc>
        <w:tc>
          <w:tcPr>
            <w:tcW w:type="dxa" w:w="5500"/>
            <w:tcMar>
              <w:top w:type="dxa" w:w="60"/>
              <w:left w:type="dxa" w:w="100"/>
              <w:bottom w:type="dxa" w:w="60"/>
              <w:right w:type="dxa" w:w="100"/>
            </w:tcMar>
          </w:tcPr>
          <w:p>
            <w:r>
              <w:rPr>
                <w:rFonts w:ascii="Calibri" w:cs="Calibri" w:eastAsia="Calibri" w:hAnsi="Calibri"/>
                <w:b w:val="false"/>
                <w:bCs w:val="false"/>
                <w:sz w:val="20"/>
                <w:szCs w:val="20"/>
              </w:rPr>
              <w:t xml:space="preserve">San Juan / Cuyo (d01), Mercator, 15 km, 80×60, 35 niveles</w:t>
            </w:r>
          </w:p>
        </w:tc>
      </w:tr>
      <w:t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Datos de entrada</w:t>
            </w:r>
          </w:p>
        </w:tc>
        <w:tc>
          <w:tcPr>
            <w:tcW w:type="dxa" w:w="5500"/>
            <w:tcMar>
              <w:top w:type="dxa" w:w="60"/>
              <w:left w:type="dxa" w:w="100"/>
              <w:bottom w:type="dxa" w:w="60"/>
              <w:right w:type="dxa" w:w="100"/>
            </w:tcMar>
          </w:tcPr>
          <w:p>
            <w:r>
              <w:rPr>
                <w:rFonts w:ascii="Calibri" w:cs="Calibri" w:eastAsia="Calibri" w:hAnsi="Calibri"/>
                <w:b w:val="false"/>
                <w:bCs w:val="false"/>
                <w:sz w:val="20"/>
                <w:szCs w:val="20"/>
              </w:rPr>
              <w:t xml:space="preserve">GFS 0.25°, f000–f012 (intervalos de 3 h)</w:t>
            </w:r>
          </w:p>
        </w:tc>
      </w:tr>
      <w:t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Observaciones asimiladas</w:t>
            </w:r>
          </w:p>
        </w:tc>
        <w:tc>
          <w:tcPr>
            <w:tcW w:type="dxa" w:w="5500"/>
            <w:tcMar>
              <w:top w:type="dxa" w:w="60"/>
              <w:left w:type="dxa" w:w="100"/>
              <w:bottom w:type="dxa" w:w="60"/>
              <w:right w:type="dxa" w:w="100"/>
            </w:tcMar>
          </w:tcPr>
          <w:p>
            <w:r>
              <w:rPr>
                <w:rFonts w:ascii="Calibri" w:cs="Calibri" w:eastAsia="Calibri" w:hAnsi="Calibri"/>
                <w:b w:val="false"/>
                <w:bCs w:val="false"/>
                <w:sz w:val="20"/>
                <w:szCs w:val="20"/>
              </w:rPr>
              <w:t xml:space="preserve">EcoWitt: ECOHUMUS, PUNTA_NEGRA, INTA_POCITO — 386 registros</w:t>
            </w:r>
          </w:p>
        </w:tc>
      </w:tr>
      <w:t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Esquema de asimilación</w:t>
            </w:r>
          </w:p>
        </w:tc>
        <w:tc>
          <w:tcPr>
            <w:tcW w:type="dxa" w:w="5500"/>
            <w:tcMar>
              <w:top w:type="dxa" w:w="60"/>
              <w:left w:type="dxa" w:w="100"/>
              <w:bottom w:type="dxa" w:w="60"/>
              <w:right w:type="dxa" w:w="100"/>
            </w:tcMar>
          </w:tcPr>
          <w:p>
            <w:r>
              <w:rPr>
                <w:rFonts w:ascii="Calibri" w:cs="Calibri" w:eastAsia="Calibri" w:hAnsi="Calibri"/>
                <w:b w:val="false"/>
                <w:bCs w:val="false"/>
                <w:sz w:val="20"/>
                <w:szCs w:val="20"/>
              </w:rPr>
              <w:t xml:space="preserve">Observation Nudging (obs_nudge_opt=1) vs. Control (obs_nudge_opt=0)</w:t>
            </w:r>
          </w:p>
        </w:tc>
      </w:tr>
      <w:t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Coeficientes de nudging</w:t>
            </w:r>
          </w:p>
        </w:tc>
        <w:tc>
          <w:tcPr>
            <w:tcW w:type="dxa" w:w="5500"/>
            <w:tcMar>
              <w:top w:type="dxa" w:w="60"/>
              <w:left w:type="dxa" w:w="100"/>
              <w:bottom w:type="dxa" w:w="60"/>
              <w:right w:type="dxa" w:w="100"/>
            </w:tcMar>
          </w:tcPr>
          <w:p>
            <w:r>
              <w:rPr>
                <w:rFonts w:ascii="Calibri" w:cs="Calibri" w:eastAsia="Calibri" w:hAnsi="Calibri"/>
                <w:b w:val="false"/>
                <w:bCs w:val="false"/>
                <w:sz w:val="20"/>
                <w:szCs w:val="20"/>
              </w:rPr>
              <w:t xml:space="preserve">obs_coef_wind/temp/mois = 0.0002 (reducido desde 0.0005)</w:t>
            </w:r>
          </w:p>
        </w:tc>
      </w:tr>
      <w:t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Estabilización numérica</w:t>
            </w:r>
          </w:p>
        </w:tc>
        <w:tc>
          <w:tcPr>
            <w:tcW w:type="dxa" w:w="5500"/>
            <w:tcMar>
              <w:top w:type="dxa" w:w="60"/>
              <w:left w:type="dxa" w:w="100"/>
              <w:bottom w:type="dxa" w:w="60"/>
              <w:right w:type="dxa" w:w="100"/>
            </w:tcMar>
          </w:tcPr>
          <w:p>
            <w:r>
              <w:rPr>
                <w:rFonts w:ascii="Calibri" w:cs="Calibri" w:eastAsia="Calibri" w:hAnsi="Calibri"/>
                <w:b w:val="false"/>
                <w:bCs w:val="false"/>
                <w:sz w:val="20"/>
                <w:szCs w:val="20"/>
              </w:rPr>
              <w:t xml:space="preserve">Timestep adaptativo (target_cfl=0.8), difusión 6º orden (diff_6th_factor=0.5)</w:t>
            </w:r>
          </w:p>
        </w:tc>
      </w:tr>
    </w:tbl>
    <w:p>
      <w:pPr>
        <w:spacing w:before="150"/>
      </w:pPr>
    </w:p>
    <w:p>
      <w:pPr>
        <w:spacing w:after="120"/>
      </w:pPr>
      <w:r>
        <w:rPr>
          <w:rFonts w:ascii="Calibri" w:cs="Calibri" w:eastAsia="Calibri" w:hAnsi="Calibri"/>
        </w:rPr>
        <w:t xml:space="preserve">Ajuste clave de estabilidad: se redujo el coeficiente de nudging de 0.0005 a 0.0002 y se activaron el timestep adaptativo y la difusión de sexto orden para estabilizar la integración. El jet estratosférico extremo (~114 m/s) presente en los datos GFS del 06/08 había provocado fallas (SIGSEGV/NaN) en la rutina Flerchinger de Noah-MP con los coeficientes anteriores.</w:t>
      </w:r>
    </w:p>
    <w:p>
      <w:pPr>
        <w:pStyle w:val="Heading1"/>
        <w:spacing w:after="150" w:before="300"/>
      </w:pPr>
      <w:r>
        <w:rPr>
          <w:rFonts w:ascii="Calibri" w:cs="Calibri" w:eastAsia="Calibri" w:hAnsi="Calibri"/>
          <w:b/>
          <w:bCs/>
        </w:rPr>
        <w:t xml:space="preserve">6. Etapas ejecutadas</w:t>
      </w:r>
    </w:p>
    <w:p>
      <w:pPr>
        <w:pStyle w:val="Heading2"/>
        <w:spacing w:after="100" w:before="220"/>
      </w:pPr>
      <w:r>
        <w:rPr>
          <w:rFonts w:ascii="Calibri" w:cs="Calibri" w:eastAsia="Calibri" w:hAnsi="Calibri"/>
          <w:b/>
          <w:bCs/>
        </w:rPr>
        <w:t xml:space="preserve">6.1 Preprocesamiento (WPS)</w:t>
      </w:r>
    </w:p>
    <w:p>
      <w:pPr>
        <w:pStyle w:val="ListParagraph"/>
        <w:numPr>
          <w:ilvl w:val="0"/>
          <w:numId w:val="1"/>
        </w:numPr>
        <w:spacing w:after="60"/>
      </w:pPr>
      <w:r>
        <w:rPr>
          <w:rFonts w:ascii="Calibri" w:cs="Calibri" w:eastAsia="Calibri" w:hAnsi="Calibri"/>
        </w:rPr>
        <w:t xml:space="preserve">Descarga de GFS 00Z del 06/08 (f000–f012).</w:t>
      </w:r>
    </w:p>
    <w:p>
      <w:pPr>
        <w:pStyle w:val="ListParagraph"/>
        <w:numPr>
          <w:ilvl w:val="0"/>
          <w:numId w:val="1"/>
        </w:numPr>
        <w:spacing w:after="60"/>
      </w:pPr>
      <w:r>
        <w:rPr>
          <w:rFonts w:ascii="Calibri" w:cs="Calibri" w:eastAsia="Calibri" w:hAnsi="Calibri"/>
        </w:rPr>
        <w:t xml:space="preserve">Ejecución de geogrid.exe, ungrib.exe y metgrid.exe: generación de 5 archivos met_em (intervalos de 3 h).</w:t>
      </w:r>
    </w:p>
    <w:p>
      <w:pPr>
        <w:pStyle w:val="Heading2"/>
        <w:spacing w:after="100" w:before="220"/>
      </w:pPr>
      <w:r>
        <w:rPr>
          <w:rFonts w:ascii="Calibri" w:cs="Calibri" w:eastAsia="Calibri" w:hAnsi="Calibri"/>
          <w:b/>
          <w:bCs/>
        </w:rPr>
        <w:t xml:space="preserve">6.2 Condiciones iniciales y de borde (real.exe)</w:t>
      </w:r>
    </w:p>
    <w:p>
      <w:pPr>
        <w:pStyle w:val="ListParagraph"/>
        <w:numPr>
          <w:ilvl w:val="0"/>
          <w:numId w:val="1"/>
        </w:numPr>
        <w:spacing w:after="60"/>
      </w:pPr>
      <w:r>
        <w:rPr>
          <w:rFonts w:ascii="Calibri" w:cs="Calibri" w:eastAsia="Calibri" w:hAnsi="Calibri"/>
        </w:rPr>
        <w:t xml:space="preserve">Generación de wrfinput_d01 y wrfbdy_d01.</w:t>
      </w:r>
    </w:p>
    <w:p>
      <w:pPr>
        <w:pStyle w:val="ListParagraph"/>
        <w:numPr>
          <w:ilvl w:val="0"/>
          <w:numId w:val="1"/>
        </w:numPr>
        <w:spacing w:after="60"/>
      </w:pPr>
      <w:r>
        <w:rPr>
          <w:rFonts w:ascii="Calibri" w:cs="Calibri" w:eastAsia="Calibri" w:hAnsi="Calibri"/>
        </w:rPr>
        <w:t xml:space="preserve">Generación de OBS_DOMAIN101 (FORMAT 105) a partir del JSON de observaciones EcoWitt (386 registros).</w:t>
      </w:r>
    </w:p>
    <w:p>
      <w:pPr>
        <w:pStyle w:val="ListParagraph"/>
        <w:numPr>
          <w:ilvl w:val="0"/>
          <w:numId w:val="1"/>
        </w:numPr>
        <w:spacing w:after="60"/>
      </w:pPr>
      <w:r>
        <w:rPr>
          <w:rFonts w:ascii="Calibri" w:cs="Calibri" w:eastAsia="Calibri" w:hAnsi="Calibri"/>
        </w:rPr>
        <w:t xml:space="preserve">Resultado: SUCCESS COMPLETE REAL_EM INIT.</w:t>
      </w:r>
    </w:p>
    <w:p>
      <w:pPr>
        <w:pStyle w:val="Heading2"/>
        <w:spacing w:after="100" w:before="220"/>
      </w:pPr>
      <w:r>
        <w:rPr>
          <w:rFonts w:ascii="Calibri" w:cs="Calibri" w:eastAsia="Calibri" w:hAnsi="Calibri"/>
          <w:b/>
          <w:bCs/>
        </w:rPr>
        <w:t xml:space="preserve">6.3 Corridas WRF (wrf.exe)</w:t>
      </w:r>
    </w:p>
    <w:p>
      <w:pPr>
        <w:pStyle w:val="ListParagraph"/>
        <w:numPr>
          <w:ilvl w:val="0"/>
          <w:numId w:val="1"/>
        </w:numPr>
        <w:spacing w:after="60"/>
      </w:pPr>
      <w:r>
        <w:rPr>
          <w:rFonts w:ascii="Calibri" w:cs="Calibri" w:eastAsia="Calibri" w:hAnsi="Calibri"/>
        </w:rPr>
        <w:t xml:space="preserve">Corrida Nudged (obs_nudge_opt=1): 2 min 31 s, 13 wrfout (h00–h12), SUCCESS COMPLETE WRF, sin NaN.</w:t>
      </w:r>
    </w:p>
    <w:p>
      <w:pPr>
        <w:pStyle w:val="ListParagraph"/>
        <w:numPr>
          <w:ilvl w:val="0"/>
          <w:numId w:val="1"/>
        </w:numPr>
        <w:spacing w:after="60"/>
      </w:pPr>
      <w:r>
        <w:rPr>
          <w:rFonts w:ascii="Calibri" w:cs="Calibri" w:eastAsia="Calibri" w:hAnsi="Calibri"/>
        </w:rPr>
        <w:t xml:space="preserve">Corrida Control (obs_nudge_opt=0): ~2 min 30 s, 13 wrfout (h00–h12), SUCCESS COMPLETE WRF, sin NaN.</w:t>
      </w:r>
    </w:p>
    <w:p>
      <w:pPr>
        <w:pStyle w:val="ListParagraph"/>
        <w:numPr>
          <w:ilvl w:val="0"/>
          <w:numId w:val="1"/>
        </w:numPr>
        <w:spacing w:after="60"/>
      </w:pPr>
      <w:r>
        <w:rPr>
          <w:rFonts w:ascii="Calibri" w:cs="Calibri" w:eastAsia="Calibri" w:hAnsi="Calibri"/>
        </w:rPr>
        <w:t xml:space="preserve">Verificación de NaN en T2, T, U y PSFC en los 13 wrfout de cada corrida: 0 NaN detectados.</w:t>
      </w:r>
    </w:p>
    <w:p>
      <w:pPr>
        <w:pStyle w:val="Heading1"/>
        <w:spacing w:after="150" w:before="300"/>
      </w:pPr>
      <w:r>
        <w:rPr>
          <w:rFonts w:ascii="Calibri" w:cs="Calibri" w:eastAsia="Calibri" w:hAnsi="Calibri"/>
          <w:b/>
          <w:bCs/>
        </w:rPr>
        <w:t xml:space="preserve">7. Validación contra observaciones</w:t>
      </w:r>
    </w:p>
    <w:p>
      <w:pPr>
        <w:spacing w:after="120"/>
      </w:pPr>
      <w:r>
        <w:rPr>
          <w:rFonts w:ascii="Calibri" w:cs="Calibri" w:eastAsia="Calibri" w:hAnsi="Calibri"/>
        </w:rPr>
        <w:t xml:space="preserve">Se utilizó el script tesis_wrf_pgich/src/calidad/valida_wrf.py sobre la hora 2026-08-06 06:00 UTC (mitad de la corrida), con 26 observaciones de las estaciones ECOHUMUS y PUNTA_NEGRA dentro de una ventana de ±30 minutos.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900"/>
        <w:gridCol w:w="900"/>
        <w:gridCol w:w="800"/>
        <w:gridCol w:w="900"/>
        <w:gridCol w:w="900"/>
        <w:gridCol w:w="900"/>
        <w:gridCol w:w="800"/>
      </w:tblGrid>
      <w:tr>
        <w:trPr>
          <w:tblHeader/>
        </w:trPr>
        <w:tc>
          <w:tcPr>
            <w:tcW w:type="dxa" w:w="1500"/>
            <w:shd w:fill="D9E2F3" w:val="clear"/>
            <w:tcMar>
              <w:top w:type="dxa" w:w="60"/>
              <w:left w:type="dxa" w:w="100"/>
              <w:bottom w:type="dxa" w:w="60"/>
              <w:right w:type="dxa" w:w="100"/>
            </w:tcMar>
          </w:tcPr>
          <w:p>
            <w:r>
              <w:rPr>
                <w:rFonts w:ascii="Calibri" w:cs="Calibri" w:eastAsia="Calibri" w:hAnsi="Calibri"/>
                <w:b/>
                <w:bCs/>
                <w:sz w:val="20"/>
                <w:szCs w:val="20"/>
              </w:rPr>
              <w:t xml:space="preserve">Variable</w:t>
            </w:r>
          </w:p>
        </w:tc>
        <w:tc>
          <w:tcPr>
            <w:tcW w:type="dxa" w:w="900"/>
            <w:shd w:fill="D9E2F3" w:val="clear"/>
            <w:tcMar>
              <w:top w:type="dxa" w:w="60"/>
              <w:left w:type="dxa" w:w="100"/>
              <w:bottom w:type="dxa" w:w="60"/>
              <w:right w:type="dxa" w:w="100"/>
            </w:tcMar>
          </w:tcPr>
          <w:p>
            <w:r>
              <w:rPr>
                <w:rFonts w:ascii="Calibri" w:cs="Calibri" w:eastAsia="Calibri" w:hAnsi="Calibri"/>
                <w:b/>
                <w:bCs/>
                <w:sz w:val="20"/>
                <w:szCs w:val="20"/>
              </w:rPr>
              <w:t xml:space="preserve">Bias N</w:t>
            </w:r>
          </w:p>
        </w:tc>
        <w:tc>
          <w:tcPr>
            <w:tcW w:type="dxa" w:w="900"/>
            <w:shd w:fill="D9E2F3" w:val="clear"/>
            <w:tcMar>
              <w:top w:type="dxa" w:w="60"/>
              <w:left w:type="dxa" w:w="100"/>
              <w:bottom w:type="dxa" w:w="60"/>
              <w:right w:type="dxa" w:w="100"/>
            </w:tcMar>
          </w:tcPr>
          <w:p>
            <w:r>
              <w:rPr>
                <w:rFonts w:ascii="Calibri" w:cs="Calibri" w:eastAsia="Calibri" w:hAnsi="Calibri"/>
                <w:b/>
                <w:bCs/>
                <w:sz w:val="20"/>
                <w:szCs w:val="20"/>
              </w:rPr>
              <w:t xml:space="preserve">MAE N</w:t>
            </w:r>
          </w:p>
        </w:tc>
        <w:tc>
          <w:tcPr>
            <w:tcW w:type="dxa" w:w="900"/>
            <w:shd w:fill="D9E2F3" w:val="clear"/>
            <w:tcMar>
              <w:top w:type="dxa" w:w="60"/>
              <w:left w:type="dxa" w:w="100"/>
              <w:bottom w:type="dxa" w:w="60"/>
              <w:right w:type="dxa" w:w="100"/>
            </w:tcMar>
          </w:tcPr>
          <w:p>
            <w:r>
              <w:rPr>
                <w:rFonts w:ascii="Calibri" w:cs="Calibri" w:eastAsia="Calibri" w:hAnsi="Calibri"/>
                <w:b/>
                <w:bCs/>
                <w:sz w:val="20"/>
                <w:szCs w:val="20"/>
              </w:rPr>
              <w:t xml:space="preserve">RMSE N</w:t>
            </w:r>
          </w:p>
        </w:tc>
        <w:tc>
          <w:tcPr>
            <w:tcW w:type="dxa" w:w="800"/>
            <w:shd w:fill="D9E2F3" w:val="clear"/>
            <w:tcMar>
              <w:top w:type="dxa" w:w="60"/>
              <w:left w:type="dxa" w:w="100"/>
              <w:bottom w:type="dxa" w:w="60"/>
              <w:right w:type="dxa" w:w="100"/>
            </w:tcMar>
          </w:tcPr>
          <w:p>
            <w:r>
              <w:rPr>
                <w:rFonts w:ascii="Calibri" w:cs="Calibri" w:eastAsia="Calibri" w:hAnsi="Calibri"/>
                <w:b/>
                <w:bCs/>
                <w:sz w:val="20"/>
                <w:szCs w:val="20"/>
              </w:rPr>
              <w:t xml:space="preserve">r N</w:t>
            </w:r>
          </w:p>
        </w:tc>
        <w:tc>
          <w:tcPr>
            <w:tcW w:type="dxa" w:w="900"/>
            <w:shd w:fill="D9E2F3" w:val="clear"/>
            <w:tcMar>
              <w:top w:type="dxa" w:w="60"/>
              <w:left w:type="dxa" w:w="100"/>
              <w:bottom w:type="dxa" w:w="60"/>
              <w:right w:type="dxa" w:w="100"/>
            </w:tcMar>
          </w:tcPr>
          <w:p>
            <w:r>
              <w:rPr>
                <w:rFonts w:ascii="Calibri" w:cs="Calibri" w:eastAsia="Calibri" w:hAnsi="Calibri"/>
                <w:b/>
                <w:bCs/>
                <w:sz w:val="20"/>
                <w:szCs w:val="20"/>
              </w:rPr>
              <w:t xml:space="preserve">Bias C</w:t>
            </w:r>
          </w:p>
        </w:tc>
        <w:tc>
          <w:tcPr>
            <w:tcW w:type="dxa" w:w="900"/>
            <w:shd w:fill="D9E2F3" w:val="clear"/>
            <w:tcMar>
              <w:top w:type="dxa" w:w="60"/>
              <w:left w:type="dxa" w:w="100"/>
              <w:bottom w:type="dxa" w:w="60"/>
              <w:right w:type="dxa" w:w="100"/>
            </w:tcMar>
          </w:tcPr>
          <w:p>
            <w:r>
              <w:rPr>
                <w:rFonts w:ascii="Calibri" w:cs="Calibri" w:eastAsia="Calibri" w:hAnsi="Calibri"/>
                <w:b/>
                <w:bCs/>
                <w:sz w:val="20"/>
                <w:szCs w:val="20"/>
              </w:rPr>
              <w:t xml:space="preserve">MAE C</w:t>
            </w:r>
          </w:p>
        </w:tc>
        <w:tc>
          <w:tcPr>
            <w:tcW w:type="dxa" w:w="900"/>
            <w:shd w:fill="D9E2F3" w:val="clear"/>
            <w:tcMar>
              <w:top w:type="dxa" w:w="60"/>
              <w:left w:type="dxa" w:w="100"/>
              <w:bottom w:type="dxa" w:w="60"/>
              <w:right w:type="dxa" w:w="100"/>
            </w:tcMar>
          </w:tcPr>
          <w:p>
            <w:r>
              <w:rPr>
                <w:rFonts w:ascii="Calibri" w:cs="Calibri" w:eastAsia="Calibri" w:hAnsi="Calibri"/>
                <w:b/>
                <w:bCs/>
                <w:sz w:val="20"/>
                <w:szCs w:val="20"/>
              </w:rPr>
              <w:t xml:space="preserve">RMSE C</w:t>
            </w:r>
          </w:p>
        </w:tc>
        <w:tc>
          <w:tcPr>
            <w:tcW w:type="dxa" w:w="800"/>
            <w:shd w:fill="D9E2F3" w:val="clear"/>
            <w:tcMar>
              <w:top w:type="dxa" w:w="60"/>
              <w:left w:type="dxa" w:w="100"/>
              <w:bottom w:type="dxa" w:w="60"/>
              <w:right w:type="dxa" w:w="100"/>
            </w:tcMar>
          </w:tcPr>
          <w:p>
            <w:r>
              <w:rPr>
                <w:rFonts w:ascii="Calibri" w:cs="Calibri" w:eastAsia="Calibri" w:hAnsi="Calibri"/>
                <w:b/>
                <w:bCs/>
                <w:sz w:val="20"/>
                <w:szCs w:val="20"/>
              </w:rPr>
              <w:t xml:space="preserve">r C</w:t>
            </w:r>
          </w:p>
        </w:tc>
      </w:tr>
      <w:tr>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T2 (K)</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-0.35</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5.01</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5.03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-0.997</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+1.73</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7.19</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7.40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-0.997</w:t>
            </w:r>
          </w:p>
        </w:tc>
      </w:tr>
      <w:tr>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PSFC (hPa)</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-18.22</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18.22</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24.82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0.999</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-19.34</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19.34</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25.18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0.999</w:t>
            </w:r>
          </w:p>
        </w:tc>
      </w:tr>
      <w:tr>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RH (%)</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-34.18</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34.18</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45.64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0.999</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-42.50</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42.50</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57.42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-0.999</w:t>
            </w:r>
          </w:p>
        </w:tc>
      </w:tr>
      <w:tr>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Viento (m/s)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+5.49</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11.15</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12.65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-0.835</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+9.15</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9.51</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12.47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-0.835</w:t>
            </w:r>
          </w:p>
        </w:tc>
      </w:tr>
    </w:tbl>
    <w:p>
      <w:pPr>
        <w:spacing w:before="150"/>
      </w:pPr>
    </w:p>
    <w:p>
      <w:pPr>
        <w:pStyle w:val="Heading2"/>
        <w:spacing w:after="100" w:before="220"/>
      </w:pPr>
      <w:r>
        <w:rPr>
          <w:rFonts w:ascii="Calibri" w:cs="Calibri" w:eastAsia="Calibri" w:hAnsi="Calibri"/>
          <w:b/>
          <w:bCs/>
        </w:rPr>
        <w:t xml:space="preserve">Lectura de resultados</w:t>
      </w:r>
    </w:p>
    <w:p>
      <w:pPr>
        <w:pStyle w:val="ListParagraph"/>
        <w:numPr>
          <w:ilvl w:val="0"/>
          <w:numId w:val="1"/>
        </w:numPr>
        <w:spacing w:after="60"/>
      </w:pPr>
      <w:r>
        <w:rPr>
          <w:rFonts w:ascii="Calibri" w:cs="Calibri" w:eastAsia="Calibri" w:hAnsi="Calibri"/>
        </w:rPr>
        <w:t xml:space="preserve">T2: el nudging reduce el sesgo de +1.73 K (control) a -0.35 K y el MAE de 7.19 a 5.01 K.</w:t>
      </w:r>
    </w:p>
    <w:p>
      <w:pPr>
        <w:pStyle w:val="ListParagraph"/>
        <w:numPr>
          <w:ilvl w:val="0"/>
          <w:numId w:val="1"/>
        </w:numPr>
        <w:spacing w:after="60"/>
      </w:pPr>
      <w:r>
        <w:rPr>
          <w:rFonts w:ascii="Calibri" w:cs="Calibri" w:eastAsia="Calibri" w:hAnsi="Calibri"/>
        </w:rPr>
        <w:t xml:space="preserve">PSFC: el sesgo pasa de -19.34 a -18.22 hPa (mejora leve).</w:t>
      </w:r>
    </w:p>
    <w:p>
      <w:pPr>
        <w:pStyle w:val="ListParagraph"/>
        <w:numPr>
          <w:ilvl w:val="0"/>
          <w:numId w:val="1"/>
        </w:numPr>
        <w:spacing w:after="60"/>
      </w:pPr>
      <w:r>
        <w:rPr>
          <w:rFonts w:ascii="Calibri" w:cs="Calibri" w:eastAsia="Calibri" w:hAnsi="Calibri"/>
        </w:rPr>
        <w:t xml:space="preserve">RH: el sesgo se reduce de -42.50 % a -34.18 % (mejora apreciable).</w:t>
      </w:r>
    </w:p>
    <w:p>
      <w:pPr>
        <w:pStyle w:val="ListParagraph"/>
        <w:numPr>
          <w:ilvl w:val="0"/>
          <w:numId w:val="1"/>
        </w:numPr>
        <w:spacing w:after="60"/>
      </w:pPr>
      <w:r>
        <w:rPr>
          <w:rFonts w:ascii="Calibri" w:cs="Calibri" w:eastAsia="Calibri" w:hAnsi="Calibri"/>
        </w:rPr>
        <w:t xml:space="preserve">Viento: el sesgo baja de +9.15 a +5.49 m/s, aunque el MAE del control resulta algo menor (9.51 frente a 11.15).</w:t>
      </w:r>
    </w:p>
    <w:p>
      <w:pPr>
        <w:spacing w:after="120"/>
      </w:pPr>
      <w:r>
        <w:rPr>
          <w:rFonts w:ascii="Calibri" w:cs="Calibri" w:eastAsia="Calibri" w:hAnsi="Calibri"/>
        </w:rPr>
        <w:t xml:space="preserve">En conjunto, el WRF con obs nudging (coef. 0.0002) mejora el sesgo del modelo en todas las variables evaluadas respecto del control, especialmente en temperatura y humedad. Las correlaciones bajas o negativas en T2 y viento se atribuyen a la escasa dispersión espacial de las estaciones disponibles y a la ventana horaria acotada de la validación.</w:t>
      </w:r>
    </w:p>
    <w:p>
      <w:pPr>
        <w:pStyle w:val="Heading1"/>
        <w:spacing w:after="150" w:before="300"/>
      </w:pPr>
      <w:r>
        <w:rPr>
          <w:rFonts w:ascii="Calibri" w:cs="Calibri" w:eastAsia="Calibri" w:hAnsi="Calibri"/>
          <w:b/>
          <w:bCs/>
        </w:rPr>
        <w:t xml:space="preserve">8. Notas técnicas relevantes</w:t>
      </w:r>
    </w:p>
    <w:p>
      <w:pPr>
        <w:pStyle w:val="ListParagraph"/>
        <w:numPr>
          <w:ilvl w:val="0"/>
          <w:numId w:val="1"/>
        </w:numPr>
        <w:spacing w:after="60"/>
      </w:pPr>
      <w:r>
        <w:rPr>
          <w:rFonts w:ascii="Calibri" w:cs="Calibri" w:eastAsia="Calibri" w:hAnsi="Calibri"/>
        </w:rPr>
        <w:t xml:space="preserve">Estabilidad numérica: la combinación de timestep adaptativo, difusión de sexto orden y reducción del coeficiente de nudging eliminó los fallos SIGSEGV/NaN observados previamente; las tres corridas de verificación completaron las 12 h sin incidentes.</w:t>
      </w:r>
    </w:p>
    <w:p>
      <w:pPr>
        <w:pStyle w:val="ListParagraph"/>
        <w:numPr>
          <w:ilvl w:val="0"/>
          <w:numId w:val="1"/>
        </w:numPr>
        <w:spacing w:after="60"/>
      </w:pPr>
      <w:r>
        <w:rPr>
          <w:rFonts w:ascii="Calibri" w:cs="Calibri" w:eastAsia="Calibri" w:hAnsi="Calibri"/>
        </w:rPr>
        <w:t xml:space="preserve">Robustez de ejecución: se detectó que pipeline_wrf.py lanzaba wrf.exe de forma no determinística (colgándose sin registrar log). Se reemplazó por run_full_pipeline.sh, que ejecuta en un entorno limpio y con reintentos, logrando éxito en un solo intento.</w:t>
      </w:r>
    </w:p>
    <w:p>
      <w:pPr>
        <w:pStyle w:val="Heading1"/>
        <w:spacing w:after="150" w:before="300"/>
      </w:pPr>
      <w:r>
        <w:rPr>
          <w:rFonts w:ascii="Calibri" w:cs="Calibri" w:eastAsia="Calibri" w:hAnsi="Calibri"/>
          <w:b/>
          <w:bCs/>
        </w:rPr>
        <w:t xml:space="preserve">9. Almacenamiento de las salidas de la simulación (h00–h12)</w:t>
      </w:r>
    </w:p>
    <w:p>
      <w:pPr>
        <w:spacing w:after="120"/>
      </w:pPr>
      <w:r>
        <w:rPr>
          <w:rFonts w:ascii="Calibri" w:cs="Calibri" w:eastAsia="Calibri" w:hAnsi="Calibri"/>
        </w:rPr>
        <w:t xml:space="preserve">Cada corrida (Nudged y Control) genera 13 archivos wrfout_d01, uno por cada hora simulada entre h00 y h12. Ambas corridas del ciclo se almacenan bajo un mismo directorio de resultados, identificado por la fecha e inicialización del ciclo (2026-08-06_0000z) y el dominio (sanjuan_20260806), y se separan en subcarpetas según el tipo de corrida:</w:t>
      </w:r>
    </w:p>
    <w:p>
      <w:pPr>
        <w:pStyle w:val="ListParagraph"/>
        <w:numPr>
          <w:ilvl w:val="0"/>
          <w:numId w:val="1"/>
        </w:numPr>
        <w:spacing w:after="60"/>
      </w:pPr>
      <w:r>
        <w:rPr>
          <w:rFonts w:ascii="Calibri" w:cs="Calibri" w:eastAsia="Calibri" w:hAnsi="Calibri"/>
        </w:rPr>
        <w:t xml:space="preserve">Corrida Nudged: results/2026-08-06_0000z/sanjuan_20260806/nudged/wrfout_d01_* (13 archivos, h00 a h12).</w:t>
      </w:r>
    </w:p>
    <w:p>
      <w:pPr>
        <w:pStyle w:val="ListParagraph"/>
        <w:numPr>
          <w:ilvl w:val="0"/>
          <w:numId w:val="1"/>
        </w:numPr>
        <w:spacing w:after="60"/>
      </w:pPr>
      <w:r>
        <w:rPr>
          <w:rFonts w:ascii="Calibri" w:cs="Calibri" w:eastAsia="Calibri" w:hAnsi="Calibri"/>
        </w:rPr>
        <w:t xml:space="preserve">Corrida Control: results/2026-08-06_0000z/sanjuan_20260806/control/wrfout_d01_* (13 archivos, h00 a h12).</w:t>
      </w:r>
    </w:p>
    <w:p>
      <w:pPr>
        <w:spacing w:after="120"/>
      </w:pPr>
      <w:r>
        <w:rPr>
          <w:rFonts w:ascii="Calibri" w:cs="Calibri" w:eastAsia="Calibri" w:hAnsi="Calibri"/>
        </w:rPr>
        <w:t xml:space="preserve">Esta estructura por ciclo/dominio/tipo-de-corrida permite conservar el historial de cada experimento y comparar directamente los wrfout de ambas corridas hora a hora. Además del resultado del modelo, el ciclo conserva sus insumos y productos de validación en rutas propias:</w:t>
      </w:r>
    </w:p>
    <w:p>
      <w:pPr>
        <w:pStyle w:val="ListParagraph"/>
        <w:numPr>
          <w:ilvl w:val="0"/>
          <w:numId w:val="1"/>
        </w:numPr>
        <w:spacing w:after="60"/>
      </w:pPr>
      <w:r>
        <w:rPr>
          <w:rFonts w:ascii="Calibri" w:cs="Calibri" w:eastAsia="Calibri" w:hAnsi="Calibri"/>
        </w:rPr>
        <w:t xml:space="preserve">Entradas y asimilación: tesis_wrf_pgich/historico/obs_flat_20260806.json (386 registros), ecowitt_historico_20260806.csv/.json, wps_sanjuan/PFILE:2026-08-06_* (salidas de ungrib) y OBS_DOMAIN101 (en el directorio de ejecución de WRF).</w:t>
      </w:r>
    </w:p>
    <w:p>
      <w:pPr>
        <w:pStyle w:val="ListParagraph"/>
        <w:numPr>
          <w:ilvl w:val="0"/>
          <w:numId w:val="1"/>
        </w:numPr>
        <w:spacing w:after="60"/>
      </w:pPr>
      <w:r>
        <w:rPr>
          <w:rFonts w:ascii="Calibri" w:cs="Calibri" w:eastAsia="Calibri" w:hAnsi="Calibri"/>
        </w:rPr>
        <w:t xml:space="preserve">Validación (reporte): scatter_4panels.png, mapa_errores_t2.png, tabla_metricas.png y metricas_resumen.txt, generados por valida_wrf.py.</w:t>
      </w:r>
    </w:p>
    <w:p>
      <w:pPr>
        <w:pStyle w:val="ListParagraph"/>
        <w:numPr>
          <w:ilvl w:val="0"/>
          <w:numId w:val="1"/>
        </w:numPr>
        <w:spacing w:after="60"/>
      </w:pPr>
      <w:r>
        <w:rPr>
          <w:rFonts w:ascii="Calibri" w:cs="Calibri" w:eastAsia="Calibri" w:hAnsi="Calibri"/>
        </w:rPr>
        <w:t xml:space="preserve">Documentación: documentacion_proyecto/ejecucion_06082026.md (este informe de ejecución) y los documentos de configuración e instructivos asociados al proyecto.</w:t>
      </w:r>
    </w:p>
    <w:p>
      <w:pPr>
        <w:pStyle w:val="Heading1"/>
        <w:spacing w:after="150" w:before="300"/>
      </w:pPr>
      <w:r>
        <w:rPr>
          <w:rFonts w:ascii="Calibri" w:cs="Calibri" w:eastAsia="Calibri" w:hAnsi="Calibri"/>
          <w:b/>
          <w:bCs/>
        </w:rPr>
        <w:t xml:space="preserve">10. Conclusiones y próximos pasos</w:t>
      </w:r>
    </w:p>
    <w:p>
      <w:pPr>
        <w:spacing w:after="120"/>
      </w:pPr>
      <w:r>
        <w:rPr>
          <w:rFonts w:ascii="Calibri" w:cs="Calibri" w:eastAsia="Calibri" w:hAnsi="Calibri"/>
        </w:rPr>
        <w:t xml:space="preserve">El experimento confirma el valor de la asimilación de observaciones de superficie de la red PGICH: el nudging reduce el sesgo del modelo en T2, PSFC, RH y viento frente al control, validando la hipótesis central de la tesis para este ciclo de simulación.</w:t>
      </w:r>
    </w:p>
    <w:p>
      <w:pPr>
        <w:spacing w:after="120"/>
      </w:pPr>
      <w:r>
        <w:rPr>
          <w:rFonts w:ascii="Calibri" w:cs="Calibri" w:eastAsia="Calibri" w:hAnsi="Calibri"/>
        </w:rPr>
        <w:t xml:space="preserve">Como próximos pasos se propone ampliar la validación a más ciclos y estaciones (incorporando INTA_POCITO), evaluar sensibilidad a distintos coeficientes de nudging, y avanzar hacia el cierre de la Fase 4 (evaluación) del prototipo.</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2026-09-09T17:15:09.334Z</dcterms:created>
  <dcterms:modified xsi:type="dcterms:W3CDTF">2026-09-09T17:15:09.346Z</dcterms:modified>
</cp:coreProperties>
</file>

<file path=docProps/custom.xml><?xml version="1.0" encoding="utf-8"?>
<Properties xmlns="http://schemas.openxmlformats.org/officeDocument/2006/custom-properties" xmlns:vt="http://schemas.openxmlformats.org/officeDocument/2006/docPropsVTypes"/>
</file>