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color w:val="555555"/>
          <w:sz w:val="20"/>
          <w:szCs w:val="20"/>
        </w:rPr>
        <w:t xml:space="preserve">Universidad Nacional de San Juan</w:t>
      </w:r>
    </w:p>
    <w:p>
      <w:pPr>
        <w:spacing w:after="200"/>
        <w:jc w:val="center"/>
      </w:pPr>
      <w:r>
        <w:rPr>
          <w:rFonts w:ascii="Calibri" w:cs="Calibri" w:eastAsia="Calibri" w:hAnsi="Calibri"/>
          <w:color w:val="555555"/>
          <w:sz w:val="20"/>
          <w:szCs w:val="20"/>
        </w:rPr>
        <w:t xml:space="preserve">Maestría en Informática</w:t>
      </w:r>
    </w:p>
    <w:p>
      <w:pPr>
        <w:spacing w:after="80"/>
        <w:jc w:val="center"/>
      </w:pPr>
      <w:r>
        <w:rPr>
          <w:rFonts w:ascii="Calibri" w:cs="Calibri" w:eastAsia="Calibri" w:hAnsi="Calibri"/>
          <w:b/>
          <w:bCs/>
          <w:sz w:val="34"/>
          <w:szCs w:val="34"/>
        </w:rPr>
        <w:t xml:space="preserve">Informe de Avance de Desarrollo</w:t>
      </w:r>
    </w:p>
    <w:p>
      <w:pPr>
        <w:spacing w:after="300"/>
        <w:jc w:val="center"/>
      </w:pPr>
      <w:r>
        <w:rPr>
          <w:rFonts w:ascii="Calibri" w:cs="Calibri" w:eastAsia="Calibri" w:hAnsi="Calibri"/>
          <w:i/>
          <w:iCs/>
          <w:sz w:val="22"/>
          <w:szCs w:val="22"/>
        </w:rPr>
        <w:t xml:space="preserve">Experimento WRF + Obs Nudging nativo — caso 12/08/2026, 00Z (San Juan)</w:t>
      </w:r>
    </w:p>
    <w:p>
      <w:pPr>
        <w:spacing w:after="60"/>
      </w:pPr>
      <w:r>
        <w:rPr>
          <w:rFonts w:ascii="Calibri" w:cs="Calibri" w:eastAsia="Calibri" w:hAnsi="Calibri"/>
          <w:b/>
          <w:bCs/>
        </w:rPr>
        <w:t xml:space="preserve">Tesista: </w:t>
      </w:r>
      <w:r>
        <w:rPr>
          <w:rFonts w:ascii="Calibri" w:cs="Calibri" w:eastAsia="Calibri" w:hAnsi="Calibri"/>
        </w:rPr>
        <w:t xml:space="preserve">Roberto Nicolás Molina</w:t>
      </w:r>
    </w:p>
    <w:p>
      <w:pPr>
        <w:spacing w:after="60"/>
      </w:pPr>
      <w:r>
        <w:rPr>
          <w:rFonts w:ascii="Calibri" w:cs="Calibri" w:eastAsia="Calibri" w:hAnsi="Calibri"/>
          <w:b/>
          <w:bCs/>
        </w:rPr>
        <w:t xml:space="preserve">Director: </w:t>
      </w:r>
      <w:r>
        <w:rPr>
          <w:rFonts w:ascii="Calibri" w:cs="Calibri" w:eastAsia="Calibri" w:hAnsi="Calibri"/>
        </w:rPr>
        <w:t xml:space="preserve">Dr. Oscar Raúl Dölling</w:t>
      </w:r>
    </w:p>
    <w:p>
      <w:pPr>
        <w:spacing w:after="60"/>
      </w:pPr>
      <w:r>
        <w:rPr>
          <w:rFonts w:ascii="Calibri" w:cs="Calibri" w:eastAsia="Calibri" w:hAnsi="Calibri"/>
          <w:b/>
          <w:bCs/>
        </w:rPr>
        <w:t xml:space="preserve">Codirector: </w:t>
      </w:r>
      <w:r>
        <w:rPr>
          <w:rFonts w:ascii="Calibri" w:cs="Calibri" w:eastAsia="Calibri" w:hAnsi="Calibri"/>
        </w:rPr>
        <w:t xml:space="preserve">Mg. Héctor Ramón Lepez</w:t>
      </w:r>
    </w:p>
    <w:p>
      <w:pPr>
        <w:spacing w:after="60"/>
      </w:pPr>
      <w:r>
        <w:rPr>
          <w:rFonts w:ascii="Calibri" w:cs="Calibri" w:eastAsia="Calibri" w:hAnsi="Calibri"/>
          <w:b/>
          <w:bCs/>
        </w:rPr>
        <w:t xml:space="preserve">Fecha del informe: </w:t>
      </w:r>
      <w:r>
        <w:rPr>
          <w:rFonts w:ascii="Calibri" w:cs="Calibri" w:eastAsia="Calibri" w:hAnsi="Calibri"/>
        </w:rPr>
        <w:t xml:space="preserve">09 de septiembre de 2026</w:t>
      </w:r>
    </w:p>
    <w:p>
      <w:pPr>
        <w:spacing w:after="60"/>
      </w:pPr>
      <w:r>
        <w:rPr>
          <w:rFonts w:ascii="Calibri" w:cs="Calibri" w:eastAsia="Calibri" w:hAnsi="Calibri"/>
          <w:b/>
          <w:bCs/>
        </w:rPr>
        <w:t xml:space="preserve">Ciclo reportado: </w:t>
      </w:r>
      <w:r>
        <w:rPr>
          <w:rFonts w:ascii="Calibri" w:cs="Calibri" w:eastAsia="Calibri" w:hAnsi="Calibri"/>
        </w:rPr>
        <w:t xml:space="preserve">Simulación WRF del 12/08/2026, ciclo 00Z (12 h)</w:t>
      </w:r>
    </w:p>
    <w:p>
      <w:pPr>
        <w:pStyle w:val="Heading1"/>
        <w:spacing w:after="150" w:before="300"/>
      </w:pPr>
      <w:r>
        <w:rPr>
          <w:rFonts w:ascii="Calibri" w:cs="Calibri" w:eastAsia="Calibri" w:hAnsi="Calibri"/>
          <w:b/>
          <w:bCs/>
        </w:rPr>
        <w:t xml:space="preserve">1. Resumen ejecutivo</w:t>
      </w:r>
    </w:p>
    <w:p>
      <w:pPr>
        <w:spacing w:after="120"/>
      </w:pPr>
      <w:r>
        <w:rPr>
          <w:rFonts w:ascii="Calibri" w:cs="Calibri" w:eastAsia="Calibri" w:hAnsi="Calibri"/>
        </w:rPr>
        <w:t xml:space="preserve">Se ejecutó un nuevo ciclo completo de WRF v4.6.1 (build smpar/OpenMP) con el esquema nativo de Observation Nudging, corrido sin Docker y sin mpirun (1 proceso), utilizando observaciones reales de la red EcoWitt (INTA_POCITO, PUNTA_NEGRA, ECOHUMUS) con una densidad temporal de 5 minutos. A diferencia del ciclo previo, este experimento tuvo como objetivo específico verificar que el nudging modifica efectivamente la solución del modelo, comparando la corrida Nudged contra una corrida de Control en tres horarios de validación (00, 06 y 12 UTC). El resultado confirma que ambas corridas son idénticas en el estado inicial (00z) y divergen progresivamente a medida que el nudging actúa (06z y 12z), con mejoras consistentes en humedad relativa (RH) y una mejora parcial en temperatura (T2) que se degrada hacia el final del ciclo.</w:t>
      </w:r>
    </w:p>
    <w:p>
      <w:pPr>
        <w:pStyle w:val="Heading1"/>
        <w:spacing w:after="150" w:before="300"/>
      </w:pPr>
      <w:r>
        <w:rPr>
          <w:rFonts w:ascii="Calibri" w:cs="Calibri" w:eastAsia="Calibri" w:hAnsi="Calibri"/>
          <w:b/>
          <w:bCs/>
        </w:rPr>
        <w:t xml:space="preserve">2. Objetivo del ciclo de trabajo</w:t>
      </w:r>
    </w:p>
    <w:p>
      <w:pPr>
        <w:spacing w:after="120"/>
      </w:pPr>
      <w:r>
        <w:rPr>
          <w:rFonts w:ascii="Calibri" w:cs="Calibri" w:eastAsia="Calibri" w:hAnsi="Calibri"/>
        </w:rPr>
        <w:t xml:space="preserve">Verificar que el esquema nativo de Observation Nudging de WRF asimila efectivamente las observaciones de superficie de la red PGICH (EcoWitt) durante toda la ventana de simulación, y cuantificar su impacto sobre T2, PSFC, RH y viento comparando la corrida Nudged (N) contra la corrida de Control (C) en tres tiempos de validación (00, 06 y 12 UTC), en lugar de un único punto medio como en el ciclo anterior.</w:t>
      </w:r>
    </w:p>
    <w:p>
      <w:pPr>
        <w:pStyle w:val="Heading1"/>
        <w:spacing w:after="150" w:before="300"/>
      </w:pPr>
      <w:r>
        <w:rPr>
          <w:rFonts w:ascii="Calibri" w:cs="Calibri" w:eastAsia="Calibri" w:hAnsi="Calibri"/>
          <w:b/>
          <w:bCs/>
        </w:rPr>
        <w:t xml:space="preserve">3. Diccionario de abreviaturas y siglas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500"/>
        <w:gridCol w:w="6200"/>
      </w:tblGrid>
      <w:tr>
        <w:trPr>
          <w:tblHeader/>
        </w:trPr>
        <w:tc>
          <w:tcPr>
            <w:tcW w:type="dxa" w:w="2500"/>
            <w:shd w:fill="D9E2F3" w:val="clear"/>
            <w:tcMar>
              <w:top w:type="dxa" w:w="60"/>
              <w:left w:type="dxa" w:w="100"/>
              <w:bottom w:type="dxa" w:w="60"/>
              <w:right w:type="dxa" w:w="100"/>
            </w:tcMar>
          </w:tcPr>
          <w:p>
            <w:r>
              <w:rPr>
                <w:rFonts w:ascii="Calibri" w:cs="Calibri" w:eastAsia="Calibri" w:hAnsi="Calibri"/>
                <w:b/>
                <w:bCs/>
                <w:sz w:val="20"/>
                <w:szCs w:val="20"/>
              </w:rPr>
              <w:t xml:space="preserve">Sigla / Término</w:t>
            </w:r>
          </w:p>
        </w:tc>
        <w:tc>
          <w:tcPr>
            <w:tcW w:type="dxa" w:w="6200"/>
            <w:shd w:fill="D9E2F3" w:val="clear"/>
            <w:tcMar>
              <w:top w:type="dxa" w:w="60"/>
              <w:left w:type="dxa" w:w="100"/>
              <w:bottom w:type="dxa" w:w="60"/>
              <w:right w:type="dxa" w:w="100"/>
            </w:tcMar>
          </w:tcPr>
          <w:p>
            <w:r>
              <w:rPr>
                <w:rFonts w:ascii="Calibri" w:cs="Calibri" w:eastAsia="Calibri" w:hAnsi="Calibri"/>
                <w:b/>
                <w:bCs/>
                <w:sz w:val="20"/>
                <w:szCs w:val="20"/>
              </w:rPr>
              <w:t xml:space="preserve">Significado</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WRF</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Weather Research and Forecasting model: modelo numérico de pronóstico meteorológico de mesoescala utilizado como núcleo de simulación de la tesis.</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WPS</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WRF Preprocessing System: conjunto de programas que preparan los datos de entrada y el dominio antes de correr el WRF.</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GFS</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Global Forecast System: modelo global usado como fuente de condiciones iniciales y de borde (resolución 0.25°).</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FDDA</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Four-Dimensional Data Assimilation: familia de técnicas de asimilación de datos en el tiempo; el Observation Nudging es uno de sus esquemas.</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grid_fdda</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Parámetro del namelist que activa el esquema de FDDA de grilla/superficie dentro de WRF.</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obs_nudge_opt</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Parámetro del namelist que activa (1) o desactiva (0) el esquema de asimilación por Observation Nudging.</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fdda_start / fdda_end</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Minutos de simulación entre los que el nudging está activo (en este ciclo, desde el minuto 0 hasta el 1000, cubriendo las 12 h).</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obs_rinxy / obs_rinfxy</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Radios de influencia horizontal (en fase y fuera de fase) que definen hasta qué distancia una observación afecta la grilla del modelo.</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obs_npfi / obs_ionf</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Parámetros que controlan la frecuencia de reporte y el intervalo de lectura de observaciones durante la corrida.</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max_obs / NIOBF</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Tamaño máximo del buffer de observaciones que WRF reserva en memoria; si es 0, el lector no carga ninguna observación (NIOBF=0).</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NSTA</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Número de estaciones activas que el módulo de nudging reconoce como fuente de datos en un instante dado de la corrida.</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FORMAT 105 / FORMAT 104</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Formatos de registro que usa el lector de observaciones de WRF: 105 para observaciones de superficie (9 pares de campos) y 104 para sondeos verticales (6 pares); usar el formato incorrecto provoca fallas graves (SIGSEGV).</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SYNOP</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Código de plataforma que identifica una observación de superficie dentro del formato de asimilación de WRF.</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smpar / OpenMP</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Modalidad de compilación de WRF para paralelismo por memoria compartida (multi-hilo en una sola máquina), en contraposición a dmpar/mpirun (paralelismo distribuido entre procesos).</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T2</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Temperatura del aire a 2 metros de altura sobre la superficie.</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PSFC</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Presión atmosférica en superficie.</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RH</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Humedad relativa (Relative Humidity).</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SIGSEGV</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Señal de error de segmentación del sistema operativo: el programa intentó acceder a una zona de memoria inválida.</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gcoef</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Coeficiente de relajación (ganancia) del nudging para una variable dada; regula cuán fuerte es la corrección hacia la observación.</w:t>
            </w:r>
          </w:p>
        </w:tc>
      </w:tr>
      <w:tr>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UTC</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Tiempo Universal Coordinado: referencia horaria estándar usada en meteorología.</w:t>
            </w:r>
          </w:p>
        </w:tc>
      </w:tr>
    </w:tbl>
    <w:p>
      <w:pPr>
        <w:pStyle w:val="Heading1"/>
        <w:spacing w:after="150" w:before="300"/>
      </w:pPr>
      <w:r>
        <w:rPr>
          <w:rFonts w:ascii="Calibri" w:cs="Calibri" w:eastAsia="Calibri" w:hAnsi="Calibri"/>
          <w:b/>
          <w:bCs/>
        </w:rPr>
        <w:t xml:space="preserve">4. Métricas de validación: qué miden y para qué sirven</w:t>
      </w:r>
    </w:p>
    <w:p>
      <w:pPr>
        <w:spacing w:after="120"/>
      </w:pPr>
      <w:r>
        <w:rPr>
          <w:rFonts w:ascii="Calibri" w:cs="Calibri" w:eastAsia="Calibri" w:hAnsi="Calibri"/>
        </w:rPr>
        <w:t xml:space="preserve">Las métricas de las tablas de la sección 7 comparan, para cada variable y en cada horario de validación, los valores simulados por el modelo contra los valores observados en las estaciones EcoWitt.</w:t>
      </w:r>
    </w:p>
    <w:p>
      <w:pPr>
        <w:pStyle w:val="Heading2"/>
        <w:spacing w:after="100" w:before="220"/>
      </w:pPr>
      <w:r>
        <w:rPr>
          <w:rFonts w:ascii="Calibri" w:cs="Calibri" w:eastAsia="Calibri" w:hAnsi="Calibri"/>
          <w:b/>
          <w:bCs/>
        </w:rPr>
        <w:t xml:space="preserve">Bias (sesgo)</w:t>
      </w:r>
    </w:p>
    <w:p>
      <w:pPr>
        <w:spacing w:after="120"/>
      </w:pPr>
      <w:r>
        <w:rPr>
          <w:rFonts w:ascii="Calibri" w:cs="Calibri" w:eastAsia="Calibri" w:hAnsi="Calibri"/>
        </w:rPr>
        <w:t xml:space="preserve">El bias, o sesgo, se calcula restando el valor observado al valor simulado en cada punto de comparación (simulado − observado) y promediando esas diferencias. Es el error promedio con signo: no mide qué tan grande es el error en cada caso individual, sino hacia qué lado se inclina el modelo en promedio.</w:t>
      </w:r>
    </w:p>
    <w:p>
      <w:pPr>
        <w:spacing w:after="120"/>
      </w:pPr>
      <w:r>
        <w:rPr>
          <w:rFonts w:ascii="Calibri" w:cs="Calibri" w:eastAsia="Calibri" w:hAnsi="Calibri"/>
        </w:rPr>
        <w:t xml:space="preserve">Un bias positivo significa que, en promedio, el modelo sobreestima la variable (por ejemplo, el bias de RH nudged de +9.76 % a las 06z indica que el modelo predijo, en promedio, 9.76 puntos por encima de lo observado). Un bias negativo significa que la subestima (el bias de T2 nudged de -1.11 K a las 06z indica que predijo, en promedio, 1.11 K por debajo). Un bias cercano a cero no implica que el modelo acierte en cada punto: los errores por exceso y por defecto pueden compensarse al promediarlos, por lo que el bias siempre debe leerse junto con el MAE y el RMSE.</w:t>
      </w:r>
    </w:p>
    <w:p>
      <w:pPr>
        <w:pStyle w:val="Heading2"/>
        <w:spacing w:after="100" w:before="220"/>
      </w:pPr>
      <w:r>
        <w:rPr>
          <w:rFonts w:ascii="Calibri" w:cs="Calibri" w:eastAsia="Calibri" w:hAnsi="Calibri"/>
          <w:b/>
          <w:bCs/>
        </w:rPr>
        <w:t xml:space="preserve">MAE (Mean Absolute Error / Error Absoluto Medio)</w:t>
      </w:r>
    </w:p>
    <w:p>
      <w:pPr>
        <w:spacing w:after="120"/>
      </w:pPr>
      <w:r>
        <w:rPr>
          <w:rFonts w:ascii="Calibri" w:cs="Calibri" w:eastAsia="Calibri" w:hAnsi="Calibri"/>
        </w:rPr>
        <w:t xml:space="preserve">Es el promedio del valor absoluto de las diferencias entre simulado y observado. A diferencia del bias, no permite que los errores se cancelen, por lo que refleja la magnitud típica del error del modelo independientemente de su signo.</w:t>
      </w:r>
    </w:p>
    <w:p>
      <w:pPr>
        <w:pStyle w:val="Heading2"/>
        <w:spacing w:after="100" w:before="220"/>
      </w:pPr>
      <w:r>
        <w:rPr>
          <w:rFonts w:ascii="Calibri" w:cs="Calibri" w:eastAsia="Calibri" w:hAnsi="Calibri"/>
          <w:b/>
          <w:bCs/>
        </w:rPr>
        <w:t xml:space="preserve">RMSE (Root Mean Square Error / Raíz del Error Cuadrático Medio)</w:t>
      </w:r>
    </w:p>
    <w:p>
      <w:pPr>
        <w:spacing w:after="120"/>
      </w:pPr>
      <w:r>
        <w:rPr>
          <w:rFonts w:ascii="Calibri" w:cs="Calibri" w:eastAsia="Calibri" w:hAnsi="Calibri"/>
        </w:rPr>
        <w:t xml:space="preserve">Es la raíz cuadrada del promedio de las diferencias al cuadrado entre simulado y observado. Al elevar al cuadrado, penaliza más fuertemente los errores grandes que el MAE; por eso el RMSE suele ser mayor o igual al MAE.</w:t>
      </w:r>
    </w:p>
    <w:p>
      <w:pPr>
        <w:pStyle w:val="Heading2"/>
        <w:spacing w:after="100" w:before="220"/>
      </w:pPr>
      <w:r>
        <w:rPr>
          <w:rFonts w:ascii="Calibri" w:cs="Calibri" w:eastAsia="Calibri" w:hAnsi="Calibri"/>
          <w:b/>
          <w:bCs/>
        </w:rPr>
        <w:t xml:space="preserve">r (coeficiente de correlación)</w:t>
      </w:r>
    </w:p>
    <w:p>
      <w:pPr>
        <w:spacing w:after="120"/>
      </w:pPr>
      <w:r>
        <w:rPr>
          <w:rFonts w:ascii="Calibri" w:cs="Calibri" w:eastAsia="Calibri" w:hAnsi="Calibri"/>
        </w:rPr>
        <w:t xml:space="preserve">Mide qué tan bien el patrón de variación temporal o espacial del modelo sigue al patrón observado, con valores entre -1 y 1. No informa sobre la magnitud del error, sino sobre la forma del patrón, por lo que puede dar valores bajos, nulos o incluso negativos aun cuando el error absoluto sea pequeño, en especial con pocas observaciones o poca dispersión espacial, como ocurre con RH a las 00z en este ciclo (r = 0.081 pese a bias/MAE moderados).</w:t>
      </w:r>
    </w:p>
    <w:p>
      <w:pPr>
        <w:spacing w:after="120"/>
      </w:pPr>
      <w:r>
        <w:rPr>
          <w:rFonts w:ascii="Calibri" w:cs="Calibri" w:eastAsia="Calibri" w:hAnsi="Calibri"/>
        </w:rPr>
        <w:t xml:space="preserve">En este experimento, las cuatro métricas se calculan en tres horarios (00, 06 y 12 UTC) en lugar de uno solo, lo que permite ver además cómo evoluciona el efecto del nudging a lo largo de la corrida y no sólo su estado en un instante puntual.</w:t>
      </w:r>
    </w:p>
    <w:p>
      <w:pPr>
        <w:pStyle w:val="Heading1"/>
        <w:spacing w:after="150" w:before="300"/>
      </w:pPr>
      <w:r>
        <w:rPr>
          <w:rFonts w:ascii="Calibri" w:cs="Calibri" w:eastAsia="Calibri" w:hAnsi="Calibri"/>
          <w:b/>
          <w:bCs/>
        </w:rPr>
        <w:t xml:space="preserve">5. Configuración del experimento</w:t>
      </w:r>
    </w:p>
    <w:p>
      <w:pPr>
        <w:spacing w:after="120"/>
      </w:pPr>
      <w:r>
        <w:rPr>
          <w:rFonts w:ascii="Calibri" w:cs="Calibri" w:eastAsia="Calibri" w:hAnsi="Calibri"/>
        </w:rPr>
        <w:t xml:space="preserve">Ciclo WRF v4.6.1 (build smpar/OpenMP) con Observation Nudging nativo, ejecutado sin Docker y sin mpirun (1 proceso), con WPS propio sobre el dominio de 80×60 puntos a 15 km ya utilizado en ciclos anteriores.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rPr>
          <w:tblHeader/>
        </w:trPr>
        <w:tc>
          <w:tcPr>
            <w:tcW w:type="dxa" w:w="3200"/>
            <w:shd w:fill="D9E2F3" w:val="clear"/>
            <w:tcMar>
              <w:top w:type="dxa" w:w="60"/>
              <w:left w:type="dxa" w:w="100"/>
              <w:bottom w:type="dxa" w:w="60"/>
              <w:right w:type="dxa" w:w="100"/>
            </w:tcMar>
          </w:tcPr>
          <w:p>
            <w:r>
              <w:rPr>
                <w:rFonts w:ascii="Calibri" w:cs="Calibri" w:eastAsia="Calibri" w:hAnsi="Calibri"/>
                <w:b/>
                <w:bCs/>
                <w:sz w:val="20"/>
                <w:szCs w:val="20"/>
              </w:rPr>
              <w:t xml:space="preserve">Parámetro</w:t>
            </w:r>
          </w:p>
        </w:tc>
        <w:tc>
          <w:tcPr>
            <w:tcW w:type="dxa" w:w="5500"/>
            <w:shd w:fill="D9E2F3" w:val="clear"/>
            <w:tcMar>
              <w:top w:type="dxa" w:w="60"/>
              <w:left w:type="dxa" w:w="100"/>
              <w:bottom w:type="dxa" w:w="60"/>
              <w:right w:type="dxa" w:w="100"/>
            </w:tcMar>
          </w:tcPr>
          <w:p>
            <w:r>
              <w:rPr>
                <w:rFonts w:ascii="Calibri" w:cs="Calibri" w:eastAsia="Calibri" w:hAnsi="Calibri"/>
                <w:b/>
                <w:bCs/>
                <w:sz w:val="20"/>
                <w:szCs w:val="20"/>
              </w:rPr>
              <w:t xml:space="preserve">Valor</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Fecha e inicialización</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12 de agosto de 2026, ciclo 00Z</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Datos de entrada</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GFS 0.25°, archivos completos f000 a f012</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Observaciones asimiladas</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EcoWitt: INTA_POCITO, PUNTA_NEGRA, ECOHUMUS — 652 registros cada 5 minutos</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Archivo de observaciones</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tesis_wrf_pgich/historico/obs_flat_20260812.json</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Orquestador</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pipeline_wrf.py → real.exe + wrf.exe (nudged) + wrf.exe (control) + validación</w:t>
            </w:r>
          </w:p>
        </w:tc>
      </w:tr>
    </w:tbl>
    <w:p>
      <w:pPr>
        <w:spacing w:before="150"/>
      </w:pPr>
    </w:p>
    <w:p>
      <w:pPr>
        <w:pStyle w:val="Heading2"/>
        <w:spacing w:after="100" w:before="220"/>
      </w:pPr>
      <w:r>
        <w:rPr>
          <w:rFonts w:ascii="Calibri" w:cs="Calibri" w:eastAsia="Calibri" w:hAnsi="Calibri"/>
          <w:b/>
          <w:bCs/>
        </w:rPr>
        <w:t xml:space="preserve">Configuración FDDA / Observation Nudging (namelist.input, corrida nudged)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rPr>
          <w:tblHeader/>
        </w:trPr>
        <w:tc>
          <w:tcPr>
            <w:tcW w:type="dxa" w:w="3200"/>
            <w:shd w:fill="D9E2F3" w:val="clear"/>
            <w:tcMar>
              <w:top w:type="dxa" w:w="60"/>
              <w:left w:type="dxa" w:w="100"/>
              <w:bottom w:type="dxa" w:w="60"/>
              <w:right w:type="dxa" w:w="100"/>
            </w:tcMar>
          </w:tcPr>
          <w:p>
            <w:r>
              <w:rPr>
                <w:rFonts w:ascii="Calibri" w:cs="Calibri" w:eastAsia="Calibri" w:hAnsi="Calibri"/>
                <w:b/>
                <w:bCs/>
                <w:sz w:val="20"/>
                <w:szCs w:val="20"/>
              </w:rPr>
              <w:t xml:space="preserve">Parámetro</w:t>
            </w:r>
          </w:p>
        </w:tc>
        <w:tc>
          <w:tcPr>
            <w:tcW w:type="dxa" w:w="5500"/>
            <w:shd w:fill="D9E2F3" w:val="clear"/>
            <w:tcMar>
              <w:top w:type="dxa" w:w="60"/>
              <w:left w:type="dxa" w:w="100"/>
              <w:bottom w:type="dxa" w:w="60"/>
              <w:right w:type="dxa" w:w="100"/>
            </w:tcMar>
          </w:tcPr>
          <w:p>
            <w:r>
              <w:rPr>
                <w:rFonts w:ascii="Calibri" w:cs="Calibri" w:eastAsia="Calibri" w:hAnsi="Calibri"/>
                <w:b/>
                <w:bCs/>
                <w:sz w:val="20"/>
                <w:szCs w:val="20"/>
              </w:rPr>
              <w:t xml:space="preserve">Valor</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grid_fdda</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1 (FDDA de superficie activado)</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obs_nudge_opt</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1 (nudged) / 0 (control)</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fdda_start / fdda_end</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0 / 1000 (min. de simulación con nudging activo, cubre todo el ciclo de 12 h)</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obs_rinxy</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50.0 (radio de influencia horizontal, km)</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obs_rinfxy</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500.0 (radio de influencia horizontal fuera de fase, km)</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obs_npfi / obs_ionf</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30 / 1 (frecuencia de reporte e intervalo de lectura de obs)</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max_obs</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10000 (tamaño máximo del buffer de observaciones)</w:t>
            </w:r>
          </w:p>
        </w:tc>
      </w:tr>
    </w:tbl>
    <w:p>
      <w:pPr>
        <w:pStyle w:val="Heading1"/>
        <w:spacing w:after="150" w:before="300"/>
      </w:pPr>
      <w:r>
        <w:rPr>
          <w:rFonts w:ascii="Calibri" w:cs="Calibri" w:eastAsia="Calibri" w:hAnsi="Calibri"/>
          <w:b/>
          <w:bCs/>
        </w:rPr>
        <w:t xml:space="preserve">6. Correcciones que permitieron completar el ciclo</w:t>
      </w:r>
    </w:p>
    <w:p>
      <w:pPr>
        <w:spacing w:after="120"/>
      </w:pPr>
      <w:r>
        <w:rPr>
          <w:rFonts w:ascii="Calibri" w:cs="Calibri" w:eastAsia="Calibri" w:hAnsi="Calibri"/>
        </w:rPr>
        <w:t xml:space="preserve">A diferencia del ciclo anterior, cuya inestabilidad se debía a un jet estratosférico extremo, en este experimento las dificultades fueron de integración entre el conversor de observaciones, el lector de WRF y el orquestador del pipeline. Se identificaron y corrigieron seis puntos:</w:t>
      </w:r>
    </w:p>
    <w:p>
      <w:pPr>
        <w:pStyle w:val="Heading3"/>
        <w:spacing w:after="80" w:before="160"/>
      </w:pPr>
      <w:r>
        <w:rPr>
          <w:rFonts w:ascii="Calibri" w:cs="Calibri" w:eastAsia="Calibri" w:hAnsi="Calibri"/>
          <w:b/>
          <w:bCs/>
          <w:i/>
          <w:iCs/>
          <w:sz w:val="22"/>
          <w:szCs w:val="22"/>
        </w:rPr>
        <w:t xml:space="preserve">Formato de datos de superficie (FORMAT 105)</w:t>
      </w:r>
    </w:p>
    <w:p>
      <w:pPr>
        <w:spacing w:after="120"/>
      </w:pPr>
      <w:r>
        <w:rPr>
          <w:rFonts w:ascii="Calibri" w:cs="Calibri" w:eastAsia="Calibri" w:hAnsi="Calibri"/>
        </w:rPr>
        <w:t xml:space="preserve">El lector de WRF (wrf_fddaobs_in.f90) espera 9 pares de campos para observaciones de superficie (slp, ref_pres, height, temperature, u, v, rh, psfc, precip). El conversor littler_a_obsnud.py se ajustó para escribir ese formato de 9 pares, en lugar del formato 104 de sondeos (6 pares), que producía SIGSEGV.</w:t>
      </w:r>
    </w:p>
    <w:p>
      <w:pPr>
        <w:pStyle w:val="Heading3"/>
        <w:spacing w:after="80" w:before="160"/>
      </w:pPr>
      <w:r>
        <w:rPr>
          <w:rFonts w:ascii="Calibri" w:cs="Calibri" w:eastAsia="Calibri" w:hAnsi="Calibri"/>
          <w:b/>
          <w:bCs/>
          <w:i/>
          <w:iCs/>
          <w:sz w:val="22"/>
          <w:szCs w:val="22"/>
        </w:rPr>
        <w:t xml:space="preserve">Identificador de plataforma (SYNOP)</w:t>
      </w:r>
    </w:p>
    <w:p>
      <w:pPr>
        <w:spacing w:after="120"/>
      </w:pPr>
      <w:r>
        <w:rPr>
          <w:rFonts w:ascii="Calibri" w:cs="Calibri" w:eastAsia="Calibri" w:hAnsi="Calibri"/>
        </w:rPr>
        <w:t xml:space="preserve">WRF espera la etiqueta "SYNOP" en una posición fija del encabezado de cada observación. El conversor ahora la escribe alineada correctamente; con la plataforma desalineada, el lector emitía un aviso de "tipo de observación desconocido" (cosmético, no bloqueaba el nudging).</w:t>
      </w:r>
    </w:p>
    <w:p>
      <w:pPr>
        <w:pStyle w:val="Heading3"/>
        <w:spacing w:after="80" w:before="160"/>
      </w:pPr>
      <w:r>
        <w:rPr>
          <w:rFonts w:ascii="Calibri" w:cs="Calibri" w:eastAsia="Calibri" w:hAnsi="Calibri"/>
          <w:b/>
          <w:bCs/>
          <w:i/>
          <w:iCs/>
          <w:sz w:val="22"/>
          <w:szCs w:val="22"/>
        </w:rPr>
        <w:t xml:space="preserve">Hilos OpenMP (build smpar)</w:t>
      </w:r>
    </w:p>
    <w:p>
      <w:pPr>
        <w:spacing w:after="120"/>
      </w:pPr>
      <w:r>
        <w:rPr>
          <w:rFonts w:ascii="Calibri" w:cs="Calibri" w:eastAsia="Calibri" w:hAnsi="Calibri"/>
        </w:rPr>
        <w:t xml:space="preserve">Al tratarse de una compilación smpar/OpenMP de WRF, wrf.exe debe ejecutarse con OMP_NUM_THREADS=1; el pipeline ahora exporta esa variable antes de cada corrida.</w:t>
      </w:r>
    </w:p>
    <w:p>
      <w:pPr>
        <w:pStyle w:val="Heading3"/>
        <w:spacing w:after="80" w:before="160"/>
      </w:pPr>
      <w:r>
        <w:rPr>
          <w:rFonts w:ascii="Calibri" w:cs="Calibri" w:eastAsia="Calibri" w:hAnsi="Calibri"/>
          <w:b/>
          <w:bCs/>
          <w:i/>
          <w:iCs/>
          <w:sz w:val="22"/>
          <w:szCs w:val="22"/>
        </w:rPr>
        <w:t xml:space="preserve">Captura de salida del proceso</w:t>
      </w:r>
    </w:p>
    <w:p>
      <w:pPr>
        <w:spacing w:after="120"/>
      </w:pPr>
      <w:r>
        <w:rPr>
          <w:rFonts w:ascii="Calibri" w:cs="Calibri" w:eastAsia="Calibri" w:hAnsi="Calibri"/>
        </w:rPr>
        <w:t xml:space="preserve">Ejecutar wrf.exe capturando la salida por pipe (capture_output=True) producía un SIGSEGV reproducible en la corrida nudged. Se resolvió redirigiendo la salida a un archivo temporal de log.</w:t>
      </w:r>
    </w:p>
    <w:p>
      <w:pPr>
        <w:pStyle w:val="Heading3"/>
        <w:spacing w:after="80" w:before="160"/>
      </w:pPr>
      <w:r>
        <w:rPr>
          <w:rFonts w:ascii="Calibri" w:cs="Calibri" w:eastAsia="Calibri" w:hAnsi="Calibri"/>
          <w:b/>
          <w:bCs/>
          <w:i/>
          <w:iCs/>
          <w:sz w:val="22"/>
          <w:szCs w:val="22"/>
        </w:rPr>
        <w:t xml:space="preserve">Tamaño del buffer de observaciones (max_obs)</w:t>
      </w:r>
    </w:p>
    <w:p>
      <w:pPr>
        <w:spacing w:after="120"/>
      </w:pPr>
      <w:r>
        <w:rPr>
          <w:rFonts w:ascii="Calibri" w:cs="Calibri" w:eastAsia="Calibri" w:hAnsi="Calibri"/>
        </w:rPr>
        <w:t xml:space="preserve">Con el valor por defecto (0), el lector de WRF no cargaba ninguna observación (NIOBF=0). Se fijó max_obs=10000 para que el buffer alcance a todas las observaciones del ciclo.</w:t>
      </w:r>
    </w:p>
    <w:p>
      <w:pPr>
        <w:pStyle w:val="Heading3"/>
        <w:spacing w:after="80" w:before="160"/>
      </w:pPr>
      <w:r>
        <w:rPr>
          <w:rFonts w:ascii="Calibri" w:cs="Calibri" w:eastAsia="Calibri" w:hAnsi="Calibri"/>
          <w:b/>
          <w:bCs/>
          <w:i/>
          <w:iCs/>
          <w:sz w:val="22"/>
          <w:szCs w:val="22"/>
        </w:rPr>
        <w:t xml:space="preserve">Ventana temporal de validación</w:t>
      </w:r>
    </w:p>
    <w:p>
      <w:pPr>
        <w:spacing w:after="120"/>
      </w:pPr>
      <w:r>
        <w:rPr>
          <w:rFonts w:ascii="Calibri" w:cs="Calibri" w:eastAsia="Calibri" w:hAnsi="Calibri"/>
        </w:rPr>
        <w:t xml:space="preserve">El script valida_wrf.py ahora filtra las observaciones a ±30 minutos del tiempo de validación (--ventana-min 30); antes comparaba el campo de una hora puntual contra las 652 observaciones de todo el día.</w:t>
      </w:r>
    </w:p>
    <w:p>
      <w:pPr>
        <w:pStyle w:val="Heading1"/>
        <w:spacing w:after="150" w:before="300"/>
      </w:pPr>
      <w:r>
        <w:rPr>
          <w:rFonts w:ascii="Calibri" w:cs="Calibri" w:eastAsia="Calibri" w:hAnsi="Calibri"/>
          <w:b/>
          <w:bCs/>
        </w:rPr>
        <w:t xml:space="preserve">7. Validación contra observaciones (ventana ±30 min)</w:t>
      </w:r>
    </w:p>
    <w:p>
      <w:pPr>
        <w:spacing w:after="120"/>
      </w:pPr>
      <w:r>
        <w:rPr>
          <w:rFonts w:ascii="Calibri" w:cs="Calibri" w:eastAsia="Calibri" w:hAnsi="Calibri"/>
        </w:rPr>
        <w:t xml:space="preserve">A diferencia del ciclo del 06/08, aquí la validación se realizó en tres horarios (00, 06 y 12 UTC) en lugar de uno solo, para poder observar la evolución del efecto del nudging a lo largo de las 12 h de simulación.</w:t>
      </w:r>
    </w:p>
    <w:p>
      <w:pPr>
        <w:pStyle w:val="Heading2"/>
        <w:spacing w:after="100" w:before="220"/>
      </w:pPr>
      <w:r>
        <w:rPr>
          <w:rFonts w:ascii="Calibri" w:cs="Calibri" w:eastAsia="Calibri" w:hAnsi="Calibri"/>
          <w:b/>
          <w:bCs/>
        </w:rPr>
        <w:t xml:space="preserve">00:00 UTC — estado inicial (14 observaciones)</w:t>
      </w:r>
    </w:p>
    <w:p>
      <w:pPr>
        <w:spacing w:after="120"/>
      </w:pPr>
      <w:r>
        <w:rPr>
          <w:rFonts w:ascii="Calibri" w:cs="Calibri" w:eastAsia="Calibri" w:hAnsi="Calibri"/>
        </w:rPr>
        <w:t xml:space="preserve">Nudged y Control son idénticas, porque ambas corridas parten del mismo wrfinput y el nudging aún no tuvo tiempo de actuar.</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500"/>
        <w:gridCol w:w="850"/>
        <w:gridCol w:w="850"/>
        <w:gridCol w:w="850"/>
        <w:gridCol w:w="750"/>
        <w:gridCol w:w="850"/>
        <w:gridCol w:w="850"/>
        <w:gridCol w:w="850"/>
        <w:gridCol w:w="750"/>
      </w:tblGrid>
      <w:tr>
        <w:trPr>
          <w:tblHeader/>
        </w:trPr>
        <w:tc>
          <w:tcPr>
            <w:tcW w:type="dxa" w:w="1500"/>
            <w:shd w:fill="D9E2F3" w:val="clear"/>
            <w:tcMar>
              <w:top w:type="dxa" w:w="60"/>
              <w:left w:type="dxa" w:w="100"/>
              <w:bottom w:type="dxa" w:w="60"/>
              <w:right w:type="dxa" w:w="100"/>
            </w:tcMar>
          </w:tcPr>
          <w:p>
            <w:r>
              <w:rPr>
                <w:rFonts w:ascii="Calibri" w:cs="Calibri" w:eastAsia="Calibri" w:hAnsi="Calibri"/>
                <w:b/>
                <w:bCs/>
                <w:sz w:val="20"/>
                <w:szCs w:val="20"/>
              </w:rPr>
              <w:t xml:space="preserve">Variable</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Bias N</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MAE N</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RMSE N</w:t>
            </w:r>
          </w:p>
        </w:tc>
        <w:tc>
          <w:tcPr>
            <w:tcW w:type="dxa" w:w="750"/>
            <w:shd w:fill="D9E2F3" w:val="clear"/>
            <w:tcMar>
              <w:top w:type="dxa" w:w="60"/>
              <w:left w:type="dxa" w:w="100"/>
              <w:bottom w:type="dxa" w:w="60"/>
              <w:right w:type="dxa" w:w="100"/>
            </w:tcMar>
          </w:tcPr>
          <w:p>
            <w:r>
              <w:rPr>
                <w:rFonts w:ascii="Calibri" w:cs="Calibri" w:eastAsia="Calibri" w:hAnsi="Calibri"/>
                <w:b/>
                <w:bCs/>
                <w:sz w:val="20"/>
                <w:szCs w:val="20"/>
              </w:rPr>
              <w:t xml:space="preserve">r N</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Bias C</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MAE C</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RMSE C</w:t>
            </w:r>
          </w:p>
        </w:tc>
        <w:tc>
          <w:tcPr>
            <w:tcW w:type="dxa" w:w="750"/>
            <w:shd w:fill="D9E2F3" w:val="clear"/>
            <w:tcMar>
              <w:top w:type="dxa" w:w="60"/>
              <w:left w:type="dxa" w:w="100"/>
              <w:bottom w:type="dxa" w:w="60"/>
              <w:right w:type="dxa" w:w="100"/>
            </w:tcMar>
          </w:tcPr>
          <w:p>
            <w:r>
              <w:rPr>
                <w:rFonts w:ascii="Calibri" w:cs="Calibri" w:eastAsia="Calibri" w:hAnsi="Calibri"/>
                <w:b/>
                <w:bCs/>
                <w:sz w:val="20"/>
                <w:szCs w:val="20"/>
              </w:rPr>
              <w:t xml:space="preserve">r C</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T2 (K)</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+3.27</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3.27</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3.71</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-0.981</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+3.27</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3.27</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3.71</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-0.981</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PSFC (hPa)</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-9.24</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9.24</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12.16</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0.999</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-9.24</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9.24</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12.16</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0.999</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RH (%)</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-17.26</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17.26</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17.40</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0.081</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-17.26</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17.26</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17.40</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0.081</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Viento (m/s)</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+2.25</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2.25</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2.40</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-0.435</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+2.25</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2.25</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2.40</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-0.435</w:t>
            </w:r>
          </w:p>
        </w:tc>
      </w:tr>
    </w:tbl>
    <w:p>
      <w:pPr>
        <w:spacing w:before="150"/>
      </w:pPr>
    </w:p>
    <w:p>
      <w:pPr>
        <w:pStyle w:val="Heading2"/>
        <w:spacing w:after="100" w:before="220"/>
      </w:pPr>
      <w:r>
        <w:rPr>
          <w:rFonts w:ascii="Calibri" w:cs="Calibri" w:eastAsia="Calibri" w:hAnsi="Calibri"/>
          <w:b/>
          <w:bCs/>
        </w:rPr>
        <w:t xml:space="preserve">06:00 UTC (26 observaciones)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500"/>
        <w:gridCol w:w="850"/>
        <w:gridCol w:w="850"/>
        <w:gridCol w:w="850"/>
        <w:gridCol w:w="750"/>
        <w:gridCol w:w="850"/>
        <w:gridCol w:w="850"/>
        <w:gridCol w:w="850"/>
        <w:gridCol w:w="750"/>
      </w:tblGrid>
      <w:tr>
        <w:trPr>
          <w:tblHeader/>
        </w:trPr>
        <w:tc>
          <w:tcPr>
            <w:tcW w:type="dxa" w:w="1500"/>
            <w:shd w:fill="D9E2F3" w:val="clear"/>
            <w:tcMar>
              <w:top w:type="dxa" w:w="60"/>
              <w:left w:type="dxa" w:w="100"/>
              <w:bottom w:type="dxa" w:w="60"/>
              <w:right w:type="dxa" w:w="100"/>
            </w:tcMar>
          </w:tcPr>
          <w:p>
            <w:r>
              <w:rPr>
                <w:rFonts w:ascii="Calibri" w:cs="Calibri" w:eastAsia="Calibri" w:hAnsi="Calibri"/>
                <w:b/>
                <w:bCs/>
                <w:sz w:val="20"/>
                <w:szCs w:val="20"/>
              </w:rPr>
              <w:t xml:space="preserve">Variable</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Bias N</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MAE N</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RMSE N</w:t>
            </w:r>
          </w:p>
        </w:tc>
        <w:tc>
          <w:tcPr>
            <w:tcW w:type="dxa" w:w="750"/>
            <w:shd w:fill="D9E2F3" w:val="clear"/>
            <w:tcMar>
              <w:top w:type="dxa" w:w="60"/>
              <w:left w:type="dxa" w:w="100"/>
              <w:bottom w:type="dxa" w:w="60"/>
              <w:right w:type="dxa" w:w="100"/>
            </w:tcMar>
          </w:tcPr>
          <w:p>
            <w:r>
              <w:rPr>
                <w:rFonts w:ascii="Calibri" w:cs="Calibri" w:eastAsia="Calibri" w:hAnsi="Calibri"/>
                <w:b/>
                <w:bCs/>
                <w:sz w:val="20"/>
                <w:szCs w:val="20"/>
              </w:rPr>
              <w:t xml:space="preserve">r N</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Bias C</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MAE C</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RMSE C</w:t>
            </w:r>
          </w:p>
        </w:tc>
        <w:tc>
          <w:tcPr>
            <w:tcW w:type="dxa" w:w="750"/>
            <w:shd w:fill="D9E2F3" w:val="clear"/>
            <w:tcMar>
              <w:top w:type="dxa" w:w="60"/>
              <w:left w:type="dxa" w:w="100"/>
              <w:bottom w:type="dxa" w:w="60"/>
              <w:right w:type="dxa" w:w="100"/>
            </w:tcMar>
          </w:tcPr>
          <w:p>
            <w:r>
              <w:rPr>
                <w:rFonts w:ascii="Calibri" w:cs="Calibri" w:eastAsia="Calibri" w:hAnsi="Calibri"/>
                <w:b/>
                <w:bCs/>
                <w:sz w:val="20"/>
                <w:szCs w:val="20"/>
              </w:rPr>
              <w:t xml:space="preserve">r C</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T2 (K)</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-1.11</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1.11</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1.22</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0.854</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+1.62</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1.68</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2.09</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-0.854</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PSFC (hPa)</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-8.11</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8.32</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11.50</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0.994</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-8.47</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8.49</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11.68</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0.994</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RH (%)</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+9.76</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11.45</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14.19</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N/D</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-20.15</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20.15</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20.32</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N/D</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Viento (m/s)</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+2.09</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2.20</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2.26</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-0.162</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+1.98</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2.01</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2.23</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+0.162</w:t>
            </w:r>
          </w:p>
        </w:tc>
      </w:tr>
    </w:tbl>
    <w:p>
      <w:pPr>
        <w:spacing w:before="150"/>
      </w:pPr>
    </w:p>
    <w:p>
      <w:pPr>
        <w:pStyle w:val="Heading2"/>
        <w:spacing w:after="100" w:before="220"/>
      </w:pPr>
      <w:r>
        <w:rPr>
          <w:rFonts w:ascii="Calibri" w:cs="Calibri" w:eastAsia="Calibri" w:hAnsi="Calibri"/>
          <w:b/>
          <w:bCs/>
        </w:rPr>
        <w:t xml:space="preserve">12:00 UTC (39 observaciones)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500"/>
        <w:gridCol w:w="850"/>
        <w:gridCol w:w="850"/>
        <w:gridCol w:w="850"/>
        <w:gridCol w:w="750"/>
        <w:gridCol w:w="850"/>
        <w:gridCol w:w="850"/>
        <w:gridCol w:w="850"/>
        <w:gridCol w:w="750"/>
      </w:tblGrid>
      <w:tr>
        <w:trPr>
          <w:tblHeader/>
        </w:trPr>
        <w:tc>
          <w:tcPr>
            <w:tcW w:type="dxa" w:w="1500"/>
            <w:shd w:fill="D9E2F3" w:val="clear"/>
            <w:tcMar>
              <w:top w:type="dxa" w:w="60"/>
              <w:left w:type="dxa" w:w="100"/>
              <w:bottom w:type="dxa" w:w="60"/>
              <w:right w:type="dxa" w:w="100"/>
            </w:tcMar>
          </w:tcPr>
          <w:p>
            <w:r>
              <w:rPr>
                <w:rFonts w:ascii="Calibri" w:cs="Calibri" w:eastAsia="Calibri" w:hAnsi="Calibri"/>
                <w:b/>
                <w:bCs/>
                <w:sz w:val="20"/>
                <w:szCs w:val="20"/>
              </w:rPr>
              <w:t xml:space="preserve">Variable</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Bias N</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MAE N</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RMSE N</w:t>
            </w:r>
          </w:p>
        </w:tc>
        <w:tc>
          <w:tcPr>
            <w:tcW w:type="dxa" w:w="750"/>
            <w:shd w:fill="D9E2F3" w:val="clear"/>
            <w:tcMar>
              <w:top w:type="dxa" w:w="60"/>
              <w:left w:type="dxa" w:w="100"/>
              <w:bottom w:type="dxa" w:w="60"/>
              <w:right w:type="dxa" w:w="100"/>
            </w:tcMar>
          </w:tcPr>
          <w:p>
            <w:r>
              <w:rPr>
                <w:rFonts w:ascii="Calibri" w:cs="Calibri" w:eastAsia="Calibri" w:hAnsi="Calibri"/>
                <w:b/>
                <w:bCs/>
                <w:sz w:val="20"/>
                <w:szCs w:val="20"/>
              </w:rPr>
              <w:t xml:space="preserve">r N</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Bias C</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MAE C</w:t>
            </w:r>
          </w:p>
        </w:tc>
        <w:tc>
          <w:tcPr>
            <w:tcW w:type="dxa" w:w="850"/>
            <w:shd w:fill="D9E2F3" w:val="clear"/>
            <w:tcMar>
              <w:top w:type="dxa" w:w="60"/>
              <w:left w:type="dxa" w:w="100"/>
              <w:bottom w:type="dxa" w:w="60"/>
              <w:right w:type="dxa" w:w="100"/>
            </w:tcMar>
          </w:tcPr>
          <w:p>
            <w:r>
              <w:rPr>
                <w:rFonts w:ascii="Calibri" w:cs="Calibri" w:eastAsia="Calibri" w:hAnsi="Calibri"/>
                <w:b/>
                <w:bCs/>
                <w:sz w:val="20"/>
                <w:szCs w:val="20"/>
              </w:rPr>
              <w:t xml:space="preserve">RMSE C</w:t>
            </w:r>
          </w:p>
        </w:tc>
        <w:tc>
          <w:tcPr>
            <w:tcW w:type="dxa" w:w="750"/>
            <w:shd w:fill="D9E2F3" w:val="clear"/>
            <w:tcMar>
              <w:top w:type="dxa" w:w="60"/>
              <w:left w:type="dxa" w:w="100"/>
              <w:bottom w:type="dxa" w:w="60"/>
              <w:right w:type="dxa" w:w="100"/>
            </w:tcMar>
          </w:tcPr>
          <w:p>
            <w:r>
              <w:rPr>
                <w:rFonts w:ascii="Calibri" w:cs="Calibri" w:eastAsia="Calibri" w:hAnsi="Calibri"/>
                <w:b/>
                <w:bCs/>
                <w:sz w:val="20"/>
                <w:szCs w:val="20"/>
              </w:rPr>
              <w:t xml:space="preserve">r C</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T2 (K)</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-3.16</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3.16</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3.39</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+0.031</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-2.60</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2.60</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3.01</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-0.495</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PSFC (hPa)</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-20.31</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20.31</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25.37</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0.992</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-20.44</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20.44</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25.44</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0.992</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RH (%)</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+5.25</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5.44</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6.88</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0.587</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-10.34</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10.34</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11.49</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-0.715</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Viento (m/s)</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-0.75</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1.84</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2.18</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+0.068</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+0.06</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1.27</w:t>
            </w:r>
          </w:p>
        </w:tc>
        <w:tc>
          <w:tcPr>
            <w:tcW w:type="dxa" w:w="850"/>
            <w:tcMar>
              <w:top w:type="dxa" w:w="60"/>
              <w:left w:type="dxa" w:w="100"/>
              <w:bottom w:type="dxa" w:w="60"/>
              <w:right w:type="dxa" w:w="100"/>
            </w:tcMar>
          </w:tcPr>
          <w:p>
            <w:r>
              <w:rPr>
                <w:rFonts w:ascii="Calibri" w:cs="Calibri" w:eastAsia="Calibri" w:hAnsi="Calibri"/>
                <w:b w:val="false"/>
                <w:bCs w:val="false"/>
                <w:sz w:val="20"/>
                <w:szCs w:val="20"/>
              </w:rPr>
              <w:t xml:space="preserve">1.50</w:t>
            </w:r>
          </w:p>
        </w:tc>
        <w:tc>
          <w:tcPr>
            <w:tcW w:type="dxa" w:w="750"/>
            <w:tcMar>
              <w:top w:type="dxa" w:w="60"/>
              <w:left w:type="dxa" w:w="100"/>
              <w:bottom w:type="dxa" w:w="60"/>
              <w:right w:type="dxa" w:w="100"/>
            </w:tcMar>
          </w:tcPr>
          <w:p>
            <w:r>
              <w:rPr>
                <w:rFonts w:ascii="Calibri" w:cs="Calibri" w:eastAsia="Calibri" w:hAnsi="Calibri"/>
                <w:b w:val="false"/>
                <w:bCs w:val="false"/>
                <w:sz w:val="20"/>
                <w:szCs w:val="20"/>
              </w:rPr>
              <w:t xml:space="preserve">0.788</w:t>
            </w:r>
          </w:p>
        </w:tc>
      </w:tr>
    </w:tbl>
    <w:p>
      <w:pPr>
        <w:spacing w:before="150"/>
      </w:pPr>
    </w:p>
    <w:p>
      <w:pPr>
        <w:pStyle w:val="Heading2"/>
        <w:spacing w:after="100" w:before="220"/>
      </w:pPr>
      <w:r>
        <w:rPr>
          <w:rFonts w:ascii="Calibri" w:cs="Calibri" w:eastAsia="Calibri" w:hAnsi="Calibri"/>
          <w:b/>
          <w:bCs/>
        </w:rPr>
        <w:t xml:space="preserve">Lectura de resultados</w:t>
      </w:r>
    </w:p>
    <w:p>
      <w:pPr>
        <w:pStyle w:val="ListParagraph"/>
        <w:numPr>
          <w:ilvl w:val="0"/>
          <w:numId w:val="1"/>
        </w:numPr>
        <w:spacing w:after="60"/>
      </w:pPr>
      <w:r>
        <w:rPr>
          <w:rFonts w:ascii="Calibri" w:cs="Calibri" w:eastAsia="Calibri" w:hAnsi="Calibri"/>
        </w:rPr>
        <w:t xml:space="preserve">Estado inicial (00z): las corridas Nudged y Control son exactamente iguales, lo que confirma que ambas parten del mismo estado y que cualquier diferencia posterior se debe únicamente al nudging.</w:t>
      </w:r>
    </w:p>
    <w:p>
      <w:pPr>
        <w:pStyle w:val="ListParagraph"/>
        <w:numPr>
          <w:ilvl w:val="0"/>
          <w:numId w:val="1"/>
        </w:numPr>
        <w:spacing w:after="60"/>
      </w:pPr>
      <w:r>
        <w:rPr>
          <w:rFonts w:ascii="Calibri" w:cs="Calibri" w:eastAsia="Calibri" w:hAnsi="Calibri"/>
        </w:rPr>
        <w:t xml:space="preserve">RH: mejora consistente en ambos horarios posteriores; a las 06z y 12z el MAE y el RMSE de la corrida Nudged son aproximadamente la mitad que los de Control.</w:t>
      </w:r>
    </w:p>
    <w:p>
      <w:pPr>
        <w:pStyle w:val="ListParagraph"/>
        <w:numPr>
          <w:ilvl w:val="0"/>
          <w:numId w:val="1"/>
        </w:numPr>
        <w:spacing w:after="60"/>
      </w:pPr>
      <w:r>
        <w:rPr>
          <w:rFonts w:ascii="Calibri" w:cs="Calibri" w:eastAsia="Calibri" w:hAnsi="Calibri"/>
        </w:rPr>
        <w:t xml:space="preserve">T2: mejora marcada a las 06z (MAE 1.11 K nudged frente a 1.68 K control), pero se revierte levemente a las 12z (MAE 3.16 K nudged frente a 2.60 K control).</w:t>
      </w:r>
    </w:p>
    <w:p>
      <w:pPr>
        <w:pStyle w:val="ListParagraph"/>
        <w:numPr>
          <w:ilvl w:val="0"/>
          <w:numId w:val="1"/>
        </w:numPr>
        <w:spacing w:after="60"/>
      </w:pPr>
      <w:r>
        <w:rPr>
          <w:rFonts w:ascii="Calibri" w:cs="Calibri" w:eastAsia="Calibri" w:hAnsi="Calibri"/>
        </w:rPr>
        <w:t xml:space="preserve">Viento y PSFC: efecto neutro o leve en ambos horarios; el sesgo de PSFC (~-20 hPa a las 12z) es sistemático en ambas corridas y se atribuye a una diferencia de elevación entre el modelo y las estaciones, ya que el nudging no actúa directamente sobre PSFC.</w:t>
      </w:r>
    </w:p>
    <w:p>
      <w:pPr>
        <w:spacing w:after="120"/>
      </w:pPr>
      <w:r>
        <w:rPr>
          <w:rFonts w:ascii="Calibri" w:cs="Calibri" w:eastAsia="Calibri" w:hAnsi="Calibri"/>
        </w:rPr>
        <w:t xml:space="preserve">En conjunto, el experimento cumple su objetivo: demuestra que el obs nudging modifica efectivamente la solución del modelo (las corridas divergen a partir de las 06z) y que el mayor beneficio se observa en RH de forma sostenida, mientras que en T2 el beneficio es claro a mitad de ciclo pero se degrada hacia el final, lo que señala una oportunidad de ajuste fino.</w:t>
      </w:r>
    </w:p>
    <w:p>
      <w:pPr>
        <w:pStyle w:val="Heading1"/>
        <w:spacing w:after="150" w:before="300"/>
      </w:pPr>
      <w:r>
        <w:rPr>
          <w:rFonts w:ascii="Calibri" w:cs="Calibri" w:eastAsia="Calibri" w:hAnsi="Calibri"/>
          <w:b/>
          <w:bCs/>
        </w:rPr>
        <w:t xml:space="preserve">8. Notas técnicas y pendientes</w:t>
      </w:r>
    </w:p>
    <w:p>
      <w:pPr>
        <w:pStyle w:val="ListParagraph"/>
        <w:numPr>
          <w:ilvl w:val="0"/>
          <w:numId w:val="1"/>
        </w:numPr>
        <w:spacing w:after="60"/>
      </w:pPr>
      <w:r>
        <w:rPr>
          <w:rFonts w:ascii="Calibri" w:cs="Calibri" w:eastAsia="Calibri" w:hAnsi="Calibri"/>
        </w:rPr>
        <w:t xml:space="preserve">El sesgo sistemático de PSFC (~-20 hPa a las 12z), presente tanto en Nudged como en Control, es consistente con una diferencia de elevación entre el punto de grilla del modelo y la ubicación real de las estaciones, y no se corrige mediante el nudging porque este no actúa directamente sobre la presión en superficie.</w:t>
      </w:r>
    </w:p>
    <w:p>
      <w:pPr>
        <w:pStyle w:val="ListParagraph"/>
        <w:numPr>
          <w:ilvl w:val="0"/>
          <w:numId w:val="1"/>
        </w:numPr>
        <w:spacing w:after="60"/>
      </w:pPr>
      <w:r>
        <w:rPr>
          <w:rFonts w:ascii="Calibri" w:cs="Calibri" w:eastAsia="Calibri" w:hAnsi="Calibri"/>
        </w:rPr>
        <w:t xml:space="preserve">Queda pendiente ajustar el coeficiente de relajación de temperatura (gcoef) y evaluar un filtrado por nivel vertical, con el objetivo de mitigar la degradación de T2 y viento observada hacia las 12z.</w:t>
      </w:r>
    </w:p>
    <w:p>
      <w:pPr>
        <w:pStyle w:val="Heading1"/>
        <w:spacing w:after="150" w:before="300"/>
      </w:pPr>
      <w:r>
        <w:rPr>
          <w:rFonts w:ascii="Calibri" w:cs="Calibri" w:eastAsia="Calibri" w:hAnsi="Calibri"/>
          <w:b/>
          <w:bCs/>
        </w:rPr>
        <w:t xml:space="preserve">9. Almacenamiento de las salidas de la simulación</w:t>
      </w:r>
    </w:p>
    <w:p>
      <w:pPr>
        <w:spacing w:after="120"/>
      </w:pPr>
      <w:r>
        <w:rPr>
          <w:rFonts w:ascii="Calibri" w:cs="Calibri" w:eastAsia="Calibri" w:hAnsi="Calibri"/>
        </w:rPr>
        <w:t xml:space="preserve">La corrida se reproduce con pipeline_wrf.py indicando la fecha, hora, archivo de observaciones y nombre de caso (sanjuan_20260812). La salida se organiza, igual que en el ciclo anterior, bajo un directorio identificado por la fecha e inicialización del ciclo y el nombre del caso:</w:t>
      </w:r>
    </w:p>
    <w:p>
      <w:pPr>
        <w:pStyle w:val="ListParagraph"/>
        <w:numPr>
          <w:ilvl w:val="0"/>
          <w:numId w:val="1"/>
        </w:numPr>
        <w:spacing w:after="60"/>
      </w:pPr>
      <w:r>
        <w:rPr>
          <w:rFonts w:ascii="Calibri" w:cs="Calibri" w:eastAsia="Calibri" w:hAnsi="Calibri"/>
        </w:rPr>
        <w:t xml:space="preserve">Directorio del ciclo: results/2026-08-12_0000z/sanjuan_20260812/</w:t>
      </w:r>
    </w:p>
    <w:p>
      <w:pPr>
        <w:pStyle w:val="ListParagraph"/>
        <w:numPr>
          <w:ilvl w:val="0"/>
          <w:numId w:val="1"/>
        </w:numPr>
        <w:spacing w:after="60"/>
      </w:pPr>
      <w:r>
        <w:rPr>
          <w:rFonts w:ascii="Calibri" w:cs="Calibri" w:eastAsia="Calibri" w:hAnsi="Calibri"/>
        </w:rPr>
        <w:t xml:space="preserve">Insumos de asimilación: input/OBS_DOMAIN101 (observaciones ya convertidas al formato que lee WRF).</w:t>
      </w:r>
    </w:p>
    <w:p>
      <w:pPr>
        <w:pStyle w:val="ListParagraph"/>
        <w:numPr>
          <w:ilvl w:val="0"/>
          <w:numId w:val="1"/>
        </w:numPr>
        <w:spacing w:after="60"/>
      </w:pPr>
      <w:r>
        <w:rPr>
          <w:rFonts w:ascii="Calibri" w:cs="Calibri" w:eastAsia="Calibri" w:hAnsi="Calibri"/>
        </w:rPr>
        <w:t xml:space="preserve">Corrida Nudged: nudged/ — 13 wrfout (00z a 12z).</w:t>
      </w:r>
    </w:p>
    <w:p>
      <w:pPr>
        <w:pStyle w:val="ListParagraph"/>
        <w:numPr>
          <w:ilvl w:val="0"/>
          <w:numId w:val="1"/>
        </w:numPr>
        <w:spacing w:after="60"/>
      </w:pPr>
      <w:r>
        <w:rPr>
          <w:rFonts w:ascii="Calibri" w:cs="Calibri" w:eastAsia="Calibri" w:hAnsi="Calibri"/>
        </w:rPr>
        <w:t xml:space="preserve">Corrida Control: control/ — 13 wrfout (00z a 12z).</w:t>
      </w:r>
    </w:p>
    <w:p>
      <w:pPr>
        <w:pStyle w:val="ListParagraph"/>
        <w:numPr>
          <w:ilvl w:val="0"/>
          <w:numId w:val="1"/>
        </w:numPr>
        <w:spacing w:after="60"/>
      </w:pPr>
      <w:r>
        <w:rPr>
          <w:rFonts w:ascii="Calibri" w:cs="Calibri" w:eastAsia="Calibri" w:hAnsi="Calibri"/>
        </w:rPr>
        <w:t xml:space="preserve">Productos de validación: metricas_resumen.txt, scatter_4panels.png, mapa_errores_t2.png, tabla_metricas.png.</w:t>
      </w:r>
    </w:p>
    <w:p>
      <w:pPr>
        <w:pStyle w:val="Heading1"/>
        <w:spacing w:after="150" w:before="300"/>
      </w:pPr>
      <w:r>
        <w:rPr>
          <w:rFonts w:ascii="Calibri" w:cs="Calibri" w:eastAsia="Calibri" w:hAnsi="Calibri"/>
          <w:b/>
          <w:bCs/>
        </w:rPr>
        <w:t xml:space="preserve">10. Conclusiones y próximos pasos</w:t>
      </w:r>
    </w:p>
    <w:p>
      <w:pPr>
        <w:spacing w:after="120"/>
      </w:pPr>
      <w:r>
        <w:rPr>
          <w:rFonts w:ascii="Calibri" w:cs="Calibri" w:eastAsia="Calibri" w:hAnsi="Calibri"/>
        </w:rPr>
        <w:t xml:space="preserve">El experimento confirma que el esquema nativo de Observation Nudging de WRF asimila efectivamente las observaciones de la red PGICH: las corridas Nudged y Control, idénticas en el estado inicial, divergen progresivamente a medida que avanza la simulación, con una mejora sostenida en RH y una mejora parcial en T2 que se atenúa hacia el final del ciclo.</w:t>
      </w:r>
    </w:p>
    <w:p>
      <w:pPr>
        <w:spacing w:after="120"/>
      </w:pPr>
      <w:r>
        <w:rPr>
          <w:rFonts w:ascii="Calibri" w:cs="Calibri" w:eastAsia="Calibri" w:hAnsi="Calibri"/>
        </w:rPr>
        <w:t xml:space="preserve">Como próximos pasos se propone ajustar el coeficiente de relajación de temperatura (gcoef) y explorar un filtrado por nivel vertical para sostener la mejora de T2 y viento hasta el final del ciclo, además de extender la validación a más horarios y ciclos para confirmar la consistencia de estos resultados.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2026-09-09T17:33:14.542Z</dcterms:created>
  <dcterms:modified xsi:type="dcterms:W3CDTF">2026-09-09T17:33:14.554Z</dcterms:modified>
</cp:coreProperties>
</file>

<file path=docProps/custom.xml><?xml version="1.0" encoding="utf-8"?>
<Properties xmlns="http://schemas.openxmlformats.org/officeDocument/2006/custom-properties" xmlns:vt="http://schemas.openxmlformats.org/officeDocument/2006/docPropsVTypes"/>
</file>