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4A18FF" w:rsidRPr="00A17DFA" w:rsidRDefault="004A18FF" w:rsidP="00A17DFA">
      <w:pPr>
        <w:spacing w:line="276" w:lineRule="auto"/>
        <w:rPr>
          <w:b/>
          <w:lang w:val="es-MX"/>
        </w:rPr>
      </w:pPr>
      <w:r w:rsidRPr="00A17DFA">
        <w:rPr>
          <w:b/>
          <w:lang w:val="es-MX"/>
        </w:rPr>
        <w:t>Actividades Unidad 4</w:t>
      </w:r>
    </w:p>
    <w:p w:rsidR="00123F35" w:rsidRPr="005618CA" w:rsidRDefault="005618CA" w:rsidP="00A17DFA">
      <w:pPr>
        <w:pStyle w:val="Default"/>
        <w:spacing w:line="276" w:lineRule="auto"/>
        <w:rPr>
          <w:rFonts w:asciiTheme="minorHAnsi" w:hAnsiTheme="minorHAnsi" w:cs="AGaramond"/>
          <w:sz w:val="22"/>
          <w:szCs w:val="22"/>
        </w:rPr>
      </w:pPr>
      <w:r>
        <w:rPr>
          <w:rFonts w:asciiTheme="minorHAnsi" w:hAnsiTheme="minorHAnsi" w:cs="AGaramond"/>
          <w:sz w:val="22"/>
          <w:szCs w:val="22"/>
        </w:rPr>
        <w:t xml:space="preserve">1.- </w:t>
      </w:r>
      <w:r w:rsidR="00123F35" w:rsidRPr="005618CA">
        <w:rPr>
          <w:rFonts w:asciiTheme="minorHAnsi" w:hAnsiTheme="minorHAnsi" w:cs="AGaramond"/>
          <w:sz w:val="22"/>
          <w:szCs w:val="22"/>
        </w:rPr>
        <w:t xml:space="preserve">Analice una situación educativa, laboral, familiar o social que le haya tocado vivir, donde se haya dispuesto de un tipo de control continuo y de alta intensidad. </w:t>
      </w:r>
    </w:p>
    <w:p w:rsidR="00123F35" w:rsidRPr="005618CA" w:rsidRDefault="00123F35" w:rsidP="00A17DFA">
      <w:pPr>
        <w:pStyle w:val="Default"/>
        <w:spacing w:line="276" w:lineRule="auto"/>
        <w:rPr>
          <w:rFonts w:asciiTheme="minorHAnsi" w:hAnsiTheme="minorHAnsi" w:cs="AGaramond"/>
          <w:sz w:val="22"/>
          <w:szCs w:val="22"/>
        </w:rPr>
      </w:pPr>
      <w:r w:rsidRPr="005618CA">
        <w:rPr>
          <w:rStyle w:val="A15"/>
          <w:rFonts w:asciiTheme="minorHAnsi" w:hAnsiTheme="minorHAnsi"/>
          <w:sz w:val="22"/>
          <w:szCs w:val="22"/>
        </w:rPr>
        <w:t xml:space="preserve">a. </w:t>
      </w:r>
      <w:r w:rsidRPr="005618CA">
        <w:rPr>
          <w:rFonts w:asciiTheme="minorHAnsi" w:hAnsiTheme="minorHAnsi" w:cs="AGaramond"/>
          <w:sz w:val="22"/>
          <w:szCs w:val="22"/>
        </w:rPr>
        <w:t xml:space="preserve">¿Qué impactos genera este tipo de control en el desarrollo de las actividades? </w:t>
      </w:r>
    </w:p>
    <w:p w:rsidR="00123F35" w:rsidRPr="005618CA" w:rsidRDefault="00123F35" w:rsidP="00A17DFA">
      <w:pPr>
        <w:pStyle w:val="Default"/>
        <w:spacing w:line="276" w:lineRule="auto"/>
        <w:rPr>
          <w:rFonts w:asciiTheme="minorHAnsi" w:hAnsiTheme="minorHAnsi" w:cs="AGaramond"/>
          <w:sz w:val="22"/>
          <w:szCs w:val="22"/>
        </w:rPr>
      </w:pPr>
      <w:r w:rsidRPr="005618CA">
        <w:rPr>
          <w:rStyle w:val="A15"/>
          <w:rFonts w:asciiTheme="minorHAnsi" w:hAnsiTheme="minorHAnsi"/>
          <w:sz w:val="22"/>
          <w:szCs w:val="22"/>
        </w:rPr>
        <w:t xml:space="preserve">b. </w:t>
      </w:r>
      <w:r w:rsidRPr="005618CA">
        <w:rPr>
          <w:rFonts w:asciiTheme="minorHAnsi" w:hAnsiTheme="minorHAnsi" w:cs="AGaramond"/>
          <w:sz w:val="22"/>
          <w:szCs w:val="22"/>
        </w:rPr>
        <w:t xml:space="preserve">¿Y en los supervisados? </w:t>
      </w:r>
    </w:p>
    <w:p w:rsidR="00123F35" w:rsidRPr="005618CA" w:rsidRDefault="00123F35" w:rsidP="00A17DFA">
      <w:pPr>
        <w:pStyle w:val="Default"/>
        <w:spacing w:line="276" w:lineRule="auto"/>
        <w:rPr>
          <w:rFonts w:asciiTheme="minorHAnsi" w:hAnsiTheme="minorHAnsi" w:cs="AGaramond"/>
          <w:sz w:val="22"/>
          <w:szCs w:val="22"/>
        </w:rPr>
      </w:pPr>
      <w:r w:rsidRPr="005618CA">
        <w:rPr>
          <w:rStyle w:val="A15"/>
          <w:rFonts w:asciiTheme="minorHAnsi" w:hAnsiTheme="minorHAnsi"/>
          <w:sz w:val="22"/>
          <w:szCs w:val="22"/>
        </w:rPr>
        <w:t xml:space="preserve">c. </w:t>
      </w:r>
      <w:r w:rsidRPr="005618CA">
        <w:rPr>
          <w:rFonts w:asciiTheme="minorHAnsi" w:hAnsiTheme="minorHAnsi" w:cs="AGaramond"/>
          <w:sz w:val="22"/>
          <w:szCs w:val="22"/>
        </w:rPr>
        <w:t xml:space="preserve">¿Y en el propio supervisor </w:t>
      </w:r>
    </w:p>
    <w:p w:rsidR="004A18FF" w:rsidRPr="004A18FF" w:rsidRDefault="005618CA" w:rsidP="00A17DFA">
      <w:pPr>
        <w:spacing w:after="7" w:line="276" w:lineRule="auto"/>
        <w:ind w:right="-2"/>
        <w:jc w:val="both"/>
        <w:rPr>
          <w:rFonts w:eastAsia="Calibri" w:cs="Times New Roman"/>
        </w:rPr>
      </w:pPr>
      <w:r>
        <w:rPr>
          <w:rFonts w:eastAsia="Garamond" w:cs="Garamond"/>
        </w:rPr>
        <w:t xml:space="preserve">2.- </w:t>
      </w:r>
      <w:r w:rsidR="004A18FF" w:rsidRPr="004A18FF">
        <w:rPr>
          <w:rFonts w:eastAsia="Garamond" w:cs="Garamond"/>
        </w:rPr>
        <w:t>Teniendo en cuenta las clasificaciones abordadas en esta unidad, detecte los diferentes tipos de control que aparecen en los siguientes casos. El proyecto “Generando redes de aprendizaje” tiene como única actividad la realización de talleres temáticos semanales durante un plazo de tres meses. Esto talleres están dirigidos a estudiantes de colegios secundarios. Actualmente se está implementando, como prueba piloto, en colegios de dos jurisdicciones. Dado que en el diseño global no se incluyeron dispositivos de control de las actividades, cada jurisdicción optó por establecer sus propias maneras de controlarlas.</w:t>
      </w:r>
    </w:p>
    <w:p w:rsidR="004A18FF" w:rsidRPr="004A18FF" w:rsidRDefault="004A18FF" w:rsidP="00A17DFA">
      <w:pPr>
        <w:spacing w:after="7" w:line="276" w:lineRule="auto"/>
        <w:ind w:right="-2"/>
        <w:jc w:val="both"/>
        <w:rPr>
          <w:rFonts w:eastAsia="Calibri" w:cs="Times New Roman"/>
        </w:rPr>
      </w:pPr>
      <w:r w:rsidRPr="004A18FF">
        <w:rPr>
          <w:rFonts w:eastAsia="Garamond" w:cs="Garamond"/>
          <w:b/>
        </w:rPr>
        <w:t>Provincia A.</w:t>
      </w:r>
      <w:r w:rsidRPr="004A18FF">
        <w:rPr>
          <w:rFonts w:eastAsia="Garamond" w:cs="Garamond"/>
        </w:rPr>
        <w:t xml:space="preserve"> En cada taller el responsable deberá controlar la asistencia y completar una planilla con las temáticas abordadas. Durante el desarrollo de los encuentros, un supervisor asistirá a alguno de ellos, observará la clase y examinará además las cuestiones administrativas del taller. Al finalizar el taller, el responsable deberá elaborar un informe final donde se incluirá el listado de participantes, los temas abordados, la metodología utilizada, las problemáticas que surgieron en cada reunión y un análisis de los resultados alcanzados. A su vez, en el último encuentro del taller se solicitará a los participantes que completen una encuesta con preguntas sobre el desarrollo del taller y una medición del nivel de satisfacción alcanzado.</w:t>
      </w:r>
    </w:p>
    <w:p w:rsidR="004A18FF" w:rsidRDefault="004A18FF" w:rsidP="00A17DFA">
      <w:pPr>
        <w:spacing w:after="0" w:line="276" w:lineRule="auto"/>
        <w:ind w:right="-2"/>
        <w:jc w:val="both"/>
        <w:rPr>
          <w:rFonts w:eastAsia="Garamond" w:cs="Garamond"/>
        </w:rPr>
      </w:pPr>
      <w:r w:rsidRPr="004A18FF">
        <w:rPr>
          <w:rFonts w:eastAsia="Garamond" w:cs="Garamond"/>
          <w:b/>
        </w:rPr>
        <w:t>Provincia B.</w:t>
      </w:r>
      <w:r w:rsidRPr="004A18FF">
        <w:rPr>
          <w:rFonts w:eastAsia="Garamond" w:cs="Garamond"/>
        </w:rPr>
        <w:t xml:space="preserve"> Días antes de iniciar las actividades, se le solicita a cada responsable del taller que responda una serie de preguntas que dan cuenta de los requerimientos necesarios para comenzar el trabajo. Al finalizar cada mes se realizará un encuentro con todos los responsables, donde se elaborará un informe de avance. Al término de los tres meses cada responsable del taller elaborará a su vez un informe donde presente el listado de participantes. El control técnico de los talleres lo realizará la Asociación Civil Educa Sur. Este análisis se realizará al finalizar el primer mes de implementación del proyecto. </w:t>
      </w:r>
    </w:p>
    <w:p w:rsidR="00A17DFA" w:rsidRDefault="00A17DFA" w:rsidP="00A17DFA">
      <w:pPr>
        <w:spacing w:line="276" w:lineRule="auto"/>
        <w:jc w:val="both"/>
      </w:pPr>
      <w:r>
        <w:rPr>
          <w:rFonts w:eastAsia="Calibri" w:cs="Times New Roman"/>
        </w:rPr>
        <w:t>3.</w:t>
      </w:r>
      <w:proofErr w:type="gramStart"/>
      <w:r>
        <w:rPr>
          <w:rFonts w:eastAsia="Calibri" w:cs="Times New Roman"/>
        </w:rPr>
        <w:t xml:space="preserve">-  </w:t>
      </w:r>
      <w:r w:rsidRPr="005618CA">
        <w:t>Realice</w:t>
      </w:r>
      <w:r>
        <w:t>n</w:t>
      </w:r>
      <w:proofErr w:type="gramEnd"/>
      <w:r w:rsidRPr="005618CA">
        <w:t xml:space="preserve"> un informe de avance de un proyecto</w:t>
      </w:r>
      <w:r>
        <w:t xml:space="preserve"> que se esté llevando a cabo en la regional.</w:t>
      </w:r>
      <w:r w:rsidRPr="005618CA">
        <w:t xml:space="preserve"> Para ello debe elaborar un documento</w:t>
      </w:r>
      <w:r>
        <w:t xml:space="preserve"> </w:t>
      </w:r>
      <w:r w:rsidRPr="005618CA">
        <w:t>Word o Excel, completando cada uno de las tablas de la guía de control. El</w:t>
      </w:r>
      <w:r>
        <w:t xml:space="preserve"> </w:t>
      </w:r>
      <w:r w:rsidRPr="005618CA">
        <w:t xml:space="preserve">proyecto seleccionado debe encontrarse en su etapa de ejecución. </w:t>
      </w:r>
    </w:p>
    <w:p w:rsidR="001C2502" w:rsidRDefault="001C2502" w:rsidP="00A17DFA">
      <w:pPr>
        <w:spacing w:line="276" w:lineRule="auto"/>
        <w:jc w:val="both"/>
      </w:pPr>
      <w:r>
        <w:t>4.- A su propuesta de proyecto incorporen en qué momento realizarán los procesos de control</w:t>
      </w:r>
      <w:bookmarkStart w:id="0" w:name="_GoBack"/>
      <w:bookmarkEnd w:id="0"/>
    </w:p>
    <w:p w:rsidR="00183449" w:rsidRPr="00A17DFA" w:rsidRDefault="00183449" w:rsidP="00A17DFA">
      <w:pPr>
        <w:spacing w:line="276" w:lineRule="auto"/>
        <w:jc w:val="both"/>
        <w:rPr>
          <w:b/>
        </w:rPr>
      </w:pPr>
      <w:r w:rsidRPr="00A17DFA">
        <w:rPr>
          <w:b/>
        </w:rPr>
        <w:t>LECTURA OBLIGATORIA</w:t>
      </w:r>
    </w:p>
    <w:p w:rsidR="004A18FF" w:rsidRPr="005618CA" w:rsidRDefault="00183449" w:rsidP="00A17DFA">
      <w:pPr>
        <w:spacing w:line="276" w:lineRule="auto"/>
        <w:jc w:val="both"/>
      </w:pPr>
      <w:r w:rsidRPr="005618CA">
        <w:t>Randolph, A. y Posner, B. (1994), “Capítulo 3”, en: Gerencia de O Proyectos. Cómo dirigir exitosamente equipos de trabajo, McGraw-</w:t>
      </w:r>
      <w:proofErr w:type="gramStart"/>
      <w:r w:rsidRPr="005618CA">
        <w:t>Hill,  Bogotá</w:t>
      </w:r>
      <w:proofErr w:type="gramEnd"/>
      <w:r w:rsidRPr="005618CA">
        <w:t>.</w:t>
      </w:r>
      <w:r w:rsidRPr="005618CA">
        <w:t xml:space="preserve"> Pag 53-65</w:t>
      </w:r>
    </w:p>
    <w:p w:rsidR="00032794" w:rsidRPr="005618CA" w:rsidRDefault="00032794" w:rsidP="00A17DFA">
      <w:pPr>
        <w:pStyle w:val="Default"/>
        <w:spacing w:line="276" w:lineRule="auto"/>
        <w:jc w:val="both"/>
        <w:rPr>
          <w:rFonts w:asciiTheme="minorHAnsi" w:hAnsiTheme="minorHAnsi" w:cs="AGaramond"/>
          <w:sz w:val="22"/>
          <w:szCs w:val="22"/>
        </w:rPr>
      </w:pPr>
      <w:r w:rsidRPr="005618CA">
        <w:rPr>
          <w:rFonts w:asciiTheme="minorHAnsi" w:hAnsiTheme="minorHAnsi" w:cs="AGaramond RegularSC"/>
          <w:sz w:val="22"/>
          <w:szCs w:val="22"/>
        </w:rPr>
        <w:t>Cohen</w:t>
      </w:r>
      <w:r w:rsidRPr="005618CA">
        <w:rPr>
          <w:rStyle w:val="A3"/>
          <w:rFonts w:asciiTheme="minorHAnsi" w:hAnsiTheme="minorHAnsi"/>
          <w:sz w:val="22"/>
          <w:szCs w:val="22"/>
        </w:rPr>
        <w:t xml:space="preserve">, E. y </w:t>
      </w:r>
      <w:r w:rsidRPr="005618CA">
        <w:rPr>
          <w:rStyle w:val="A3"/>
          <w:rFonts w:asciiTheme="minorHAnsi" w:hAnsiTheme="minorHAnsi" w:cs="AGaramond RegularSC"/>
          <w:sz w:val="22"/>
          <w:szCs w:val="22"/>
        </w:rPr>
        <w:t>Martínez</w:t>
      </w:r>
      <w:r w:rsidRPr="005618CA">
        <w:rPr>
          <w:rStyle w:val="A3"/>
          <w:rFonts w:asciiTheme="minorHAnsi" w:hAnsiTheme="minorHAnsi"/>
          <w:sz w:val="22"/>
          <w:szCs w:val="22"/>
        </w:rPr>
        <w:t xml:space="preserve">, R. (2002), </w:t>
      </w:r>
      <w:r w:rsidRPr="005618CA">
        <w:rPr>
          <w:rStyle w:val="A3"/>
          <w:rFonts w:asciiTheme="minorHAnsi" w:hAnsiTheme="minorHAnsi"/>
          <w:i/>
          <w:iCs/>
          <w:sz w:val="22"/>
          <w:szCs w:val="22"/>
        </w:rPr>
        <w:t xml:space="preserve">Manual de Formulación, evaluación y monitoreo de proyectos sociales, </w:t>
      </w:r>
      <w:r w:rsidRPr="005618CA">
        <w:rPr>
          <w:rStyle w:val="A3"/>
          <w:rFonts w:asciiTheme="minorHAnsi" w:hAnsiTheme="minorHAnsi"/>
          <w:sz w:val="22"/>
          <w:szCs w:val="22"/>
        </w:rPr>
        <w:t xml:space="preserve">CEPAL, Santiago de Chile, capítulo 6, en particular los apartados 6.1 y 6.2. </w:t>
      </w:r>
    </w:p>
    <w:p w:rsidR="00032794" w:rsidRPr="005618CA" w:rsidRDefault="00BE3A85" w:rsidP="00A17DFA">
      <w:pPr>
        <w:spacing w:line="276" w:lineRule="auto"/>
        <w:jc w:val="both"/>
        <w:rPr>
          <w:rFonts w:eastAsia="Garamond" w:cs="Garamond"/>
        </w:rPr>
      </w:pPr>
      <w:r w:rsidRPr="005618CA">
        <w:rPr>
          <w:rFonts w:eastAsia="Garamond" w:cs="Garamond"/>
        </w:rPr>
        <w:t>Cohen, E. y Martínez, R. (2002), “Capítulo 6.4.”, en:</w:t>
      </w:r>
      <w:r w:rsidRPr="005618CA">
        <w:rPr>
          <w:rFonts w:eastAsia="Garamond" w:cs="Garamond"/>
          <w:i/>
        </w:rPr>
        <w:t xml:space="preserve"> Manual de Formulación, evaluación y monitoreo de proyectos sociales,</w:t>
      </w:r>
      <w:r w:rsidRPr="005618CA">
        <w:rPr>
          <w:rFonts w:eastAsia="Garamond" w:cs="Garamond"/>
        </w:rPr>
        <w:t xml:space="preserve"> CEPAL, </w:t>
      </w:r>
      <w:proofErr w:type="gramStart"/>
      <w:r w:rsidRPr="005618CA">
        <w:rPr>
          <w:rFonts w:eastAsia="Garamond" w:cs="Garamond"/>
        </w:rPr>
        <w:t xml:space="preserve">Santiago </w:t>
      </w:r>
      <w:r w:rsidRPr="005618CA">
        <w:rPr>
          <w:rFonts w:eastAsia="Garamond" w:cs="Garamond"/>
          <w:vertAlign w:val="subscript"/>
        </w:rPr>
        <w:t xml:space="preserve"> </w:t>
      </w:r>
      <w:r w:rsidRPr="005618CA">
        <w:rPr>
          <w:rFonts w:eastAsia="Garamond" w:cs="Garamond"/>
        </w:rPr>
        <w:t>de</w:t>
      </w:r>
      <w:proofErr w:type="gramEnd"/>
      <w:r w:rsidRPr="005618CA">
        <w:rPr>
          <w:rFonts w:eastAsia="Garamond" w:cs="Garamond"/>
        </w:rPr>
        <w:t xml:space="preserve"> Chile</w:t>
      </w:r>
    </w:p>
    <w:p w:rsidR="007C1132" w:rsidRPr="00A17DFA" w:rsidRDefault="00A17DFA" w:rsidP="00A17DFA">
      <w:pPr>
        <w:spacing w:line="276" w:lineRule="auto"/>
        <w:jc w:val="both"/>
        <w:rPr>
          <w:b/>
        </w:rPr>
      </w:pPr>
      <w:r w:rsidRPr="00A17DFA">
        <w:rPr>
          <w:b/>
        </w:rPr>
        <w:t>Para saber más</w:t>
      </w:r>
    </w:p>
    <w:p w:rsidR="000866AD" w:rsidRPr="005618CA" w:rsidRDefault="000866AD" w:rsidP="00A17DFA">
      <w:pPr>
        <w:jc w:val="both"/>
      </w:pPr>
      <w:hyperlink r:id="rId5" w:history="1">
        <w:r w:rsidRPr="005618CA">
          <w:rPr>
            <w:rStyle w:val="Hipervnculo"/>
          </w:rPr>
          <w:t>https://www.youtube.com/watch?v=MVjlH36QN_U</w:t>
        </w:r>
      </w:hyperlink>
    </w:p>
    <w:p w:rsidR="000866AD" w:rsidRPr="005618CA" w:rsidRDefault="000866AD" w:rsidP="00A17DFA">
      <w:pPr>
        <w:jc w:val="both"/>
      </w:pPr>
    </w:p>
    <w:sectPr w:rsidR="000866AD" w:rsidRPr="005618CA">
      <w:pgSz w:w="11906" w:h="16838"/>
      <w:pgMar w:top="1417" w:right="1701" w:bottom="1417" w:left="1701"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Garamond">
    <w:panose1 w:val="02020404030301010803"/>
    <w:charset w:val="00"/>
    <w:family w:val="roman"/>
    <w:pitch w:val="variable"/>
    <w:sig w:usb0="00000287" w:usb1="00000000" w:usb2="00000000" w:usb3="00000000" w:csb0="0000009F" w:csb1="00000000"/>
  </w:font>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3" w:usb2="00000009" w:usb3="00000000" w:csb0="000001FF" w:csb1="00000000"/>
  </w:font>
  <w:font w:name="UNQdingbats">
    <w:altName w:val="Calibri"/>
    <w:panose1 w:val="00000000000000000000"/>
    <w:charset w:val="00"/>
    <w:family w:val="swiss"/>
    <w:notTrueType/>
    <w:pitch w:val="default"/>
    <w:sig w:usb0="00000003" w:usb1="00000000" w:usb2="00000000" w:usb3="00000000" w:csb0="00000001" w:csb1="00000000"/>
  </w:font>
  <w:font w:name="AGaramond Bold">
    <w:altName w:val="Cambria"/>
    <w:panose1 w:val="00000000000000000000"/>
    <w:charset w:val="00"/>
    <w:family w:val="roman"/>
    <w:notTrueType/>
    <w:pitch w:val="default"/>
    <w:sig w:usb0="00000003" w:usb1="00000000" w:usb2="00000000" w:usb3="00000000" w:csb0="00000001" w:csb1="00000000"/>
  </w:font>
  <w:font w:name="AGaramond">
    <w:altName w:val="Cambria"/>
    <w:panose1 w:val="00000000000000000000"/>
    <w:charset w:val="00"/>
    <w:family w:val="roman"/>
    <w:notTrueType/>
    <w:pitch w:val="default"/>
    <w:sig w:usb0="00000003" w:usb1="00000000" w:usb2="00000000" w:usb3="00000000" w:csb0="00000001" w:csb1="00000000"/>
  </w:font>
  <w:font w:name="AGaramond RegularSC">
    <w:altName w:val="Cambria"/>
    <w:panose1 w:val="00000000000000000000"/>
    <w:charset w:val="00"/>
    <w:family w:val="roman"/>
    <w:notTrueType/>
    <w:pitch w:val="default"/>
    <w:sig w:usb0="00000003" w:usb1="00000000" w:usb2="00000000" w:usb3="00000000" w:csb0="00000001" w:csb1="00000000"/>
  </w:font>
  <w:font w:name="Calibri Light">
    <w:panose1 w:val="020F0302020204030204"/>
    <w:charset w:val="00"/>
    <w:family w:val="swiss"/>
    <w:pitch w:val="variable"/>
    <w:sig w:usb0="A00002EF" w:usb1="4000207B" w:usb2="00000000"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56332ECA"/>
    <w:multiLevelType w:val="hybridMultilevel"/>
    <w:tmpl w:val="86F27488"/>
    <w:lvl w:ilvl="0" w:tplc="1E84F644">
      <w:start w:val="1"/>
      <w:numFmt w:val="bullet"/>
      <w:lvlText w:val="•"/>
      <w:lvlJc w:val="left"/>
      <w:pPr>
        <w:ind w:left="1119"/>
      </w:pPr>
      <w:rPr>
        <w:rFonts w:ascii="Garamond" w:eastAsia="Garamond" w:hAnsi="Garamond" w:cs="Garamond"/>
        <w:b/>
        <w:i w:val="0"/>
        <w:strike w:val="0"/>
        <w:dstrike w:val="0"/>
        <w:color w:val="000000"/>
        <w:sz w:val="23"/>
        <w:u w:val="none" w:color="000000"/>
        <w:bdr w:val="none" w:sz="0" w:space="0" w:color="auto"/>
        <w:shd w:val="clear" w:color="auto" w:fill="auto"/>
        <w:vertAlign w:val="baseline"/>
      </w:rPr>
    </w:lvl>
    <w:lvl w:ilvl="1" w:tplc="3AE83F16">
      <w:start w:val="1"/>
      <w:numFmt w:val="bullet"/>
      <w:lvlText w:val="o"/>
      <w:lvlJc w:val="left"/>
      <w:pPr>
        <w:ind w:left="1916"/>
      </w:pPr>
      <w:rPr>
        <w:rFonts w:ascii="Garamond" w:eastAsia="Garamond" w:hAnsi="Garamond" w:cs="Garamond"/>
        <w:b/>
        <w:i w:val="0"/>
        <w:strike w:val="0"/>
        <w:dstrike w:val="0"/>
        <w:color w:val="000000"/>
        <w:sz w:val="23"/>
        <w:u w:val="none" w:color="000000"/>
        <w:bdr w:val="none" w:sz="0" w:space="0" w:color="auto"/>
        <w:shd w:val="clear" w:color="auto" w:fill="auto"/>
        <w:vertAlign w:val="baseline"/>
      </w:rPr>
    </w:lvl>
    <w:lvl w:ilvl="2" w:tplc="C330A13C">
      <w:start w:val="1"/>
      <w:numFmt w:val="bullet"/>
      <w:lvlText w:val="▪"/>
      <w:lvlJc w:val="left"/>
      <w:pPr>
        <w:ind w:left="2636"/>
      </w:pPr>
      <w:rPr>
        <w:rFonts w:ascii="Garamond" w:eastAsia="Garamond" w:hAnsi="Garamond" w:cs="Garamond"/>
        <w:b/>
        <w:i w:val="0"/>
        <w:strike w:val="0"/>
        <w:dstrike w:val="0"/>
        <w:color w:val="000000"/>
        <w:sz w:val="23"/>
        <w:u w:val="none" w:color="000000"/>
        <w:bdr w:val="none" w:sz="0" w:space="0" w:color="auto"/>
        <w:shd w:val="clear" w:color="auto" w:fill="auto"/>
        <w:vertAlign w:val="baseline"/>
      </w:rPr>
    </w:lvl>
    <w:lvl w:ilvl="3" w:tplc="E13A0620">
      <w:start w:val="1"/>
      <w:numFmt w:val="bullet"/>
      <w:lvlText w:val="•"/>
      <w:lvlJc w:val="left"/>
      <w:pPr>
        <w:ind w:left="3356"/>
      </w:pPr>
      <w:rPr>
        <w:rFonts w:ascii="Garamond" w:eastAsia="Garamond" w:hAnsi="Garamond" w:cs="Garamond"/>
        <w:b/>
        <w:i w:val="0"/>
        <w:strike w:val="0"/>
        <w:dstrike w:val="0"/>
        <w:color w:val="000000"/>
        <w:sz w:val="23"/>
        <w:u w:val="none" w:color="000000"/>
        <w:bdr w:val="none" w:sz="0" w:space="0" w:color="auto"/>
        <w:shd w:val="clear" w:color="auto" w:fill="auto"/>
        <w:vertAlign w:val="baseline"/>
      </w:rPr>
    </w:lvl>
    <w:lvl w:ilvl="4" w:tplc="45007588">
      <w:start w:val="1"/>
      <w:numFmt w:val="bullet"/>
      <w:lvlText w:val="o"/>
      <w:lvlJc w:val="left"/>
      <w:pPr>
        <w:ind w:left="4076"/>
      </w:pPr>
      <w:rPr>
        <w:rFonts w:ascii="Garamond" w:eastAsia="Garamond" w:hAnsi="Garamond" w:cs="Garamond"/>
        <w:b/>
        <w:i w:val="0"/>
        <w:strike w:val="0"/>
        <w:dstrike w:val="0"/>
        <w:color w:val="000000"/>
        <w:sz w:val="23"/>
        <w:u w:val="none" w:color="000000"/>
        <w:bdr w:val="none" w:sz="0" w:space="0" w:color="auto"/>
        <w:shd w:val="clear" w:color="auto" w:fill="auto"/>
        <w:vertAlign w:val="baseline"/>
      </w:rPr>
    </w:lvl>
    <w:lvl w:ilvl="5" w:tplc="7344898A">
      <w:start w:val="1"/>
      <w:numFmt w:val="bullet"/>
      <w:lvlText w:val="▪"/>
      <w:lvlJc w:val="left"/>
      <w:pPr>
        <w:ind w:left="4796"/>
      </w:pPr>
      <w:rPr>
        <w:rFonts w:ascii="Garamond" w:eastAsia="Garamond" w:hAnsi="Garamond" w:cs="Garamond"/>
        <w:b/>
        <w:i w:val="0"/>
        <w:strike w:val="0"/>
        <w:dstrike w:val="0"/>
        <w:color w:val="000000"/>
        <w:sz w:val="23"/>
        <w:u w:val="none" w:color="000000"/>
        <w:bdr w:val="none" w:sz="0" w:space="0" w:color="auto"/>
        <w:shd w:val="clear" w:color="auto" w:fill="auto"/>
        <w:vertAlign w:val="baseline"/>
      </w:rPr>
    </w:lvl>
    <w:lvl w:ilvl="6" w:tplc="1F1E10DC">
      <w:start w:val="1"/>
      <w:numFmt w:val="bullet"/>
      <w:lvlText w:val="•"/>
      <w:lvlJc w:val="left"/>
      <w:pPr>
        <w:ind w:left="5516"/>
      </w:pPr>
      <w:rPr>
        <w:rFonts w:ascii="Garamond" w:eastAsia="Garamond" w:hAnsi="Garamond" w:cs="Garamond"/>
        <w:b/>
        <w:i w:val="0"/>
        <w:strike w:val="0"/>
        <w:dstrike w:val="0"/>
        <w:color w:val="000000"/>
        <w:sz w:val="23"/>
        <w:u w:val="none" w:color="000000"/>
        <w:bdr w:val="none" w:sz="0" w:space="0" w:color="auto"/>
        <w:shd w:val="clear" w:color="auto" w:fill="auto"/>
        <w:vertAlign w:val="baseline"/>
      </w:rPr>
    </w:lvl>
    <w:lvl w:ilvl="7" w:tplc="0866B4D0">
      <w:start w:val="1"/>
      <w:numFmt w:val="bullet"/>
      <w:lvlText w:val="o"/>
      <w:lvlJc w:val="left"/>
      <w:pPr>
        <w:ind w:left="6236"/>
      </w:pPr>
      <w:rPr>
        <w:rFonts w:ascii="Garamond" w:eastAsia="Garamond" w:hAnsi="Garamond" w:cs="Garamond"/>
        <w:b/>
        <w:i w:val="0"/>
        <w:strike w:val="0"/>
        <w:dstrike w:val="0"/>
        <w:color w:val="000000"/>
        <w:sz w:val="23"/>
        <w:u w:val="none" w:color="000000"/>
        <w:bdr w:val="none" w:sz="0" w:space="0" w:color="auto"/>
        <w:shd w:val="clear" w:color="auto" w:fill="auto"/>
        <w:vertAlign w:val="baseline"/>
      </w:rPr>
    </w:lvl>
    <w:lvl w:ilvl="8" w:tplc="1B840984">
      <w:start w:val="1"/>
      <w:numFmt w:val="bullet"/>
      <w:lvlText w:val="▪"/>
      <w:lvlJc w:val="left"/>
      <w:pPr>
        <w:ind w:left="6956"/>
      </w:pPr>
      <w:rPr>
        <w:rFonts w:ascii="Garamond" w:eastAsia="Garamond" w:hAnsi="Garamond" w:cs="Garamond"/>
        <w:b/>
        <w:i w:val="0"/>
        <w:strike w:val="0"/>
        <w:dstrike w:val="0"/>
        <w:color w:val="000000"/>
        <w:sz w:val="23"/>
        <w:u w:val="none" w:color="000000"/>
        <w:bdr w:val="none" w:sz="0" w:space="0" w:color="auto"/>
        <w:shd w:val="clear" w:color="auto" w:fill="auto"/>
        <w:vertAlign w:val="baseline"/>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A18FF"/>
    <w:rsid w:val="00032794"/>
    <w:rsid w:val="000866AD"/>
    <w:rsid w:val="00123F35"/>
    <w:rsid w:val="00183449"/>
    <w:rsid w:val="001C2502"/>
    <w:rsid w:val="004A18FF"/>
    <w:rsid w:val="005618CA"/>
    <w:rsid w:val="007C1132"/>
    <w:rsid w:val="00A17DFA"/>
    <w:rsid w:val="00BE3A85"/>
    <w:rsid w:val="00E348A2"/>
  </w:rsids>
  <m:mathPr>
    <m:mathFont m:val="Cambria Math"/>
    <m:brkBin m:val="before"/>
    <m:brkBinSub m:val="--"/>
    <m:smallFrac m:val="0"/>
    <m:dispDef/>
    <m:lMargin m:val="0"/>
    <m:rMargin m:val="0"/>
    <m:defJc m:val="centerGroup"/>
    <m:wrapIndent m:val="1440"/>
    <m:intLim m:val="subSup"/>
    <m:naryLim m:val="undOvr"/>
  </m:mathPr>
  <w:themeFontLang w:val="es-A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DB42881"/>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s-AR"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Default">
    <w:name w:val="Default"/>
    <w:rsid w:val="00123F35"/>
    <w:pPr>
      <w:autoSpaceDE w:val="0"/>
      <w:autoSpaceDN w:val="0"/>
      <w:adjustRightInd w:val="0"/>
      <w:spacing w:after="0" w:line="240" w:lineRule="auto"/>
    </w:pPr>
    <w:rPr>
      <w:rFonts w:ascii="UNQdingbats" w:hAnsi="UNQdingbats" w:cs="UNQdingbats"/>
      <w:color w:val="000000"/>
      <w:sz w:val="24"/>
      <w:szCs w:val="24"/>
    </w:rPr>
  </w:style>
  <w:style w:type="character" w:customStyle="1" w:styleId="A6">
    <w:name w:val="A6"/>
    <w:uiPriority w:val="99"/>
    <w:rsid w:val="00123F35"/>
    <w:rPr>
      <w:rFonts w:cs="UNQdingbats"/>
      <w:color w:val="000000"/>
    </w:rPr>
  </w:style>
  <w:style w:type="character" w:customStyle="1" w:styleId="A15">
    <w:name w:val="A15"/>
    <w:uiPriority w:val="99"/>
    <w:rsid w:val="00123F35"/>
    <w:rPr>
      <w:rFonts w:ascii="AGaramond Bold" w:hAnsi="AGaramond Bold" w:cs="AGaramond Bold"/>
      <w:b/>
      <w:bCs/>
      <w:color w:val="000000"/>
      <w:sz w:val="23"/>
      <w:szCs w:val="23"/>
    </w:rPr>
  </w:style>
  <w:style w:type="character" w:customStyle="1" w:styleId="A3">
    <w:name w:val="A3"/>
    <w:uiPriority w:val="99"/>
    <w:rsid w:val="00032794"/>
    <w:rPr>
      <w:rFonts w:ascii="AGaramond" w:hAnsi="AGaramond" w:cs="AGaramond"/>
      <w:color w:val="000000"/>
      <w:sz w:val="21"/>
      <w:szCs w:val="21"/>
    </w:rPr>
  </w:style>
  <w:style w:type="character" w:styleId="Hipervnculo">
    <w:name w:val="Hyperlink"/>
    <w:basedOn w:val="Fuentedeprrafopredeter"/>
    <w:uiPriority w:val="99"/>
    <w:unhideWhenUsed/>
    <w:rsid w:val="00E348A2"/>
    <w:rPr>
      <w:color w:val="0563C1" w:themeColor="hyperlink"/>
      <w:u w:val="single"/>
    </w:rPr>
  </w:style>
  <w:style w:type="character" w:styleId="Mencinsinresolver">
    <w:name w:val="Unresolved Mention"/>
    <w:basedOn w:val="Fuentedeprrafopredeter"/>
    <w:uiPriority w:val="99"/>
    <w:semiHidden/>
    <w:unhideWhenUsed/>
    <w:rsid w:val="00E348A2"/>
    <w:rPr>
      <w:color w:val="605E5C"/>
      <w:shd w:val="clear" w:color="auto" w:fill="E1DFDD"/>
    </w:rPr>
  </w:style>
  <w:style w:type="character" w:styleId="Hipervnculovisitado">
    <w:name w:val="FollowedHyperlink"/>
    <w:basedOn w:val="Fuentedeprrafopredeter"/>
    <w:uiPriority w:val="99"/>
    <w:semiHidden/>
    <w:unhideWhenUsed/>
    <w:rsid w:val="005618CA"/>
    <w:rPr>
      <w:color w:val="954F72" w:themeColor="followed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7"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ntTable" Target="fontTable.xml"/><Relationship Id="rId5" Type="http://schemas.openxmlformats.org/officeDocument/2006/relationships/hyperlink" Target="https://www.youtube.com/watch?v=MVjlH36QN_U" TargetMode="External"/><Relationship Id="rId4" Type="http://schemas.openxmlformats.org/officeDocument/2006/relationships/webSettings" Target="webSettings.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Actividades Unidad 4</Template>
  <TotalTime>83</TotalTime>
  <Pages>2</Pages>
  <Words>509</Words>
  <Characters>2805</Characters>
  <Application>Microsoft Office Word</Application>
  <DocSecurity>0</DocSecurity>
  <Lines>23</Lines>
  <Paragraphs>6</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3308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Claudia</dc:creator>
  <cp:keywords/>
  <dc:description/>
  <cp:lastModifiedBy>Claudia</cp:lastModifiedBy>
  <cp:revision>3</cp:revision>
  <dcterms:created xsi:type="dcterms:W3CDTF">2020-10-02T22:16:00Z</dcterms:created>
  <dcterms:modified xsi:type="dcterms:W3CDTF">2020-10-05T12:59:00Z</dcterms:modified>
</cp:coreProperties>
</file>