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B46B84" w:rsidP="000A693E">
            <w:hyperlink r:id="rId6" w:history="1">
              <w:r w:rsidR="0034446F">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B46B84" w:rsidP="000A693E">
            <w:hyperlink r:id="rId7" w:history="1">
              <w:r w:rsidR="00414F6D">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B46B84" w:rsidP="000A693E">
            <w:hyperlink r:id="rId8" w:history="1">
              <w:r w:rsidR="00600DCA">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AA590D" w14:paraId="1CC4F6EC" w14:textId="77777777" w:rsidTr="005F1092">
        <w:tc>
          <w:tcPr>
            <w:tcW w:w="5277" w:type="dxa"/>
          </w:tcPr>
          <w:p w14:paraId="7344D653" w14:textId="11A9BCFE" w:rsidR="00AA590D" w:rsidRDefault="00AA590D" w:rsidP="000A693E">
            <w:r>
              <w:t>BNC to Alligator clip cables (pack of two)</w:t>
            </w:r>
          </w:p>
          <w:p w14:paraId="7B62DEF7" w14:textId="77777777" w:rsidR="00AA590D" w:rsidRDefault="00B46B84" w:rsidP="000A693E">
            <w:hyperlink r:id="rId9"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4073" w:type="dxa"/>
          </w:tcPr>
          <w:p w14:paraId="074C7F86" w14:textId="699A0595" w:rsidR="00AA590D" w:rsidRDefault="00AA590D" w:rsidP="000A693E">
            <w:r>
              <w:t>$7.89</w:t>
            </w:r>
          </w:p>
        </w:tc>
      </w:tr>
      <w:tr w:rsidR="000A693E" w14:paraId="72603B29" w14:textId="77777777" w:rsidTr="005F1092">
        <w:tc>
          <w:tcPr>
            <w:tcW w:w="5277" w:type="dxa"/>
          </w:tcPr>
          <w:p w14:paraId="0072D661" w14:textId="77777777" w:rsidR="000A693E" w:rsidRDefault="000A693E" w:rsidP="000A693E">
            <w:proofErr w:type="spellStart"/>
            <w:r w:rsidRPr="000A693E">
              <w:t>Siglent</w:t>
            </w:r>
            <w:proofErr w:type="spellEnd"/>
            <w:r w:rsidRPr="000A693E">
              <w:t xml:space="preserve"> SDG2042X</w:t>
            </w:r>
            <w:r>
              <w:t xml:space="preserve"> Function Generator</w:t>
            </w:r>
          </w:p>
          <w:p w14:paraId="036E1090" w14:textId="68A99A1C" w:rsidR="0034446F" w:rsidRDefault="00B46B84" w:rsidP="000A693E">
            <w:hyperlink r:id="rId10" w:anchor="customerReviews" w:history="1">
              <w:r w:rsidR="0034446F">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proofErr w:type="spellStart"/>
            <w:r w:rsidRPr="000A693E">
              <w:t>Rigol</w:t>
            </w:r>
            <w:proofErr w:type="spellEnd"/>
            <w:r w:rsidRPr="000A693E">
              <w:t xml:space="preserve"> DS1054Z Digital Oscilloscope</w:t>
            </w:r>
          </w:p>
          <w:p w14:paraId="70CA931F" w14:textId="194F85D5" w:rsidR="0034446F" w:rsidRDefault="00B46B84" w:rsidP="000A693E">
            <w:hyperlink r:id="rId11" w:history="1">
              <w:r w:rsidR="0034446F">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B46B84" w:rsidP="000A693E">
            <w:hyperlink r:id="rId12"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B46B84" w:rsidP="000A693E">
            <w:hyperlink r:id="rId13" w:history="1">
              <w:r w:rsidR="00732835">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5CAE9519" w:rsidR="000A693E" w:rsidRDefault="005F1092" w:rsidP="000A693E">
            <w:r>
              <w:t>$9</w:t>
            </w:r>
            <w:r w:rsidR="00AA590D">
              <w:t>43.60</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lastRenderedPageBreak/>
        <w:t xml:space="preserve">This can be done with a bandsaw or metal shears, preferable electric metal shears for smoother cuts. These have worked well for us: </w:t>
      </w:r>
      <w:hyperlink r:id="rId14"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 xml:space="preserve">Take an impedance measurement of the saline solution. This can be done with an </w:t>
      </w:r>
      <w:proofErr w:type="spellStart"/>
      <w:r>
        <w:rPr>
          <w:sz w:val="24"/>
          <w:szCs w:val="24"/>
        </w:rPr>
        <w:t>Activa</w:t>
      </w:r>
      <w:proofErr w:type="spellEnd"/>
      <w:r>
        <w:rPr>
          <w:sz w:val="24"/>
          <w:szCs w:val="24"/>
        </w:rPr>
        <w:t xml:space="preserve"> PC+S and a DBS electrode, or with a multimeter (I think).</w:t>
      </w:r>
    </w:p>
    <w:p w14:paraId="51F1964C" w14:textId="121F4B9F" w:rsidR="004F5B0E" w:rsidRPr="00EA6D4B"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55A4C8A2" w14:textId="77777777" w:rsidR="00EA6D4B" w:rsidRPr="00EA6D4B" w:rsidRDefault="00EA6D4B" w:rsidP="00EA6D4B">
      <w:pPr>
        <w:pStyle w:val="ListParagraph"/>
        <w:ind w:left="2880"/>
        <w:rPr>
          <w:sz w:val="28"/>
          <w:szCs w:val="28"/>
        </w:rPr>
      </w:pP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16B67262" w14:textId="5C729C31" w:rsidR="001449D7" w:rsidRPr="001922E4" w:rsidRDefault="001449D7" w:rsidP="001449D7">
      <w:pPr>
        <w:pStyle w:val="ListParagraph"/>
        <w:numPr>
          <w:ilvl w:val="1"/>
          <w:numId w:val="1"/>
        </w:numPr>
        <w:rPr>
          <w:sz w:val="28"/>
          <w:szCs w:val="28"/>
        </w:rPr>
      </w:pPr>
      <w:r>
        <w:rPr>
          <w:sz w:val="24"/>
          <w:szCs w:val="24"/>
        </w:rPr>
        <w:t xml:space="preserve">Insert each titanium strip into the tank such that the bottom of the strip touches the bottom of the bucket, and then bend 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p>
    <w:p w14:paraId="33DEF04C" w14:textId="77777777" w:rsidR="001922E4" w:rsidRPr="001922E4" w:rsidRDefault="001922E4" w:rsidP="001922E4">
      <w:pPr>
        <w:pStyle w:val="ListParagraph"/>
        <w:ind w:left="2880"/>
        <w:rPr>
          <w:sz w:val="28"/>
          <w:szCs w:val="28"/>
        </w:rPr>
      </w:pPr>
    </w:p>
    <w:p w14:paraId="65B84E76" w14:textId="3464C938" w:rsidR="001922E4" w:rsidRPr="001922E4" w:rsidRDefault="001922E4" w:rsidP="001922E4">
      <w:pPr>
        <w:pStyle w:val="ListParagraph"/>
        <w:numPr>
          <w:ilvl w:val="0"/>
          <w:numId w:val="1"/>
        </w:numPr>
        <w:rPr>
          <w:sz w:val="28"/>
          <w:szCs w:val="28"/>
        </w:rPr>
      </w:pPr>
      <w:r>
        <w:rPr>
          <w:sz w:val="24"/>
          <w:szCs w:val="24"/>
        </w:rPr>
        <w:t>Set up and attach devices to electrodes</w:t>
      </w:r>
    </w:p>
    <w:p w14:paraId="78BF65CA" w14:textId="77777777" w:rsidR="00720D72" w:rsidRPr="00720D72" w:rsidRDefault="00AA590D" w:rsidP="001922E4">
      <w:pPr>
        <w:pStyle w:val="ListParagraph"/>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1922E4">
      <w:pPr>
        <w:pStyle w:val="ListParagraph"/>
        <w:numPr>
          <w:ilvl w:val="1"/>
          <w:numId w:val="1"/>
        </w:numPr>
        <w:rPr>
          <w:sz w:val="28"/>
          <w:szCs w:val="28"/>
        </w:rPr>
      </w:pPr>
      <w:r>
        <w:rPr>
          <w:sz w:val="24"/>
          <w:szCs w:val="24"/>
        </w:rPr>
        <w:lastRenderedPageBreak/>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A726A4">
      <w:pPr>
        <w:pStyle w:val="Heading1"/>
      </w:pPr>
      <w:r>
        <w:t>Using the Software</w:t>
      </w:r>
    </w:p>
    <w:p w14:paraId="72F236ED" w14:textId="769DEAF3" w:rsidR="00A726A4" w:rsidRDefault="00A726A4" w:rsidP="00A726A4">
      <w:pPr>
        <w:pStyle w:val="Heading2"/>
      </w:pPr>
      <w:r>
        <w:tab/>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34D78D02" w14:textId="0585AD03" w:rsidR="00A726A4" w:rsidRDefault="00A726A4" w:rsidP="00A726A4">
      <w:pPr>
        <w:ind w:left="1800"/>
        <w:rPr>
          <w:sz w:val="24"/>
          <w:szCs w:val="24"/>
        </w:rPr>
      </w:pPr>
      <w:r>
        <w:rPr>
          <w:sz w:val="24"/>
          <w:szCs w:val="24"/>
        </w:rPr>
        <w:t>TODO: Determine if NI-VISA must be installed on user computers in order to run the software, even with the DLL files</w:t>
      </w:r>
    </w:p>
    <w:p w14:paraId="744AEE8E" w14:textId="0F1ECC26" w:rsidR="00A40ED9" w:rsidRPr="00A40ED9" w:rsidRDefault="00A40ED9" w:rsidP="00A40ED9">
      <w:pPr>
        <w:pStyle w:val="ListParagraph"/>
        <w:numPr>
          <w:ilvl w:val="0"/>
          <w:numId w:val="2"/>
        </w:numPr>
        <w:rPr>
          <w:sz w:val="24"/>
          <w:szCs w:val="24"/>
        </w:rPr>
      </w:pPr>
      <w:r>
        <w:rPr>
          <w:sz w:val="24"/>
          <w:szCs w:val="24"/>
        </w:rPr>
        <w:t xml:space="preserve">Make sure both devices are connected via </w:t>
      </w:r>
      <w:proofErr w:type="gramStart"/>
      <w:r>
        <w:rPr>
          <w:sz w:val="24"/>
          <w:szCs w:val="24"/>
        </w:rPr>
        <w:t>USB, and</w:t>
      </w:r>
      <w:proofErr w:type="gramEnd"/>
      <w:r>
        <w:rPr>
          <w:sz w:val="24"/>
          <w:szCs w:val="24"/>
        </w:rPr>
        <w:t xml:space="preserve"> turned on before opening the program.</w:t>
      </w:r>
    </w:p>
    <w:p w14:paraId="5A41CD03" w14:textId="35ABA8FC" w:rsidR="00A726A4" w:rsidRDefault="00A726A4" w:rsidP="0063064F">
      <w:pPr>
        <w:pStyle w:val="Heading2"/>
      </w:pPr>
      <w:r>
        <w:lastRenderedPageBreak/>
        <w:tab/>
      </w:r>
      <w:r w:rsidR="0063064F">
        <w:t>UI Elements:</w:t>
      </w:r>
    </w:p>
    <w:p w14:paraId="157EAE28" w14:textId="03A162C0" w:rsidR="0063064F" w:rsidRDefault="00B46B84" w:rsidP="0063064F">
      <w:r>
        <w:rPr>
          <w:noProof/>
        </w:rPr>
        <mc:AlternateContent>
          <mc:Choice Requires="wps">
            <w:drawing>
              <wp:anchor distT="0" distB="0" distL="114300" distR="114300" simplePos="0" relativeHeight="251665408" behindDoc="0" locked="0" layoutInCell="1" allowOverlap="1" wp14:anchorId="615619D1" wp14:editId="0E8C45E2">
                <wp:simplePos x="0" y="0"/>
                <wp:positionH relativeFrom="column">
                  <wp:posOffset>2415117</wp:posOffset>
                </wp:positionH>
                <wp:positionV relativeFrom="paragraph">
                  <wp:posOffset>1998345</wp:posOffset>
                </wp:positionV>
                <wp:extent cx="1530350" cy="598593"/>
                <wp:effectExtent l="19050" t="19050" r="12700" b="11430"/>
                <wp:wrapNone/>
                <wp:docPr id="13" name="Rectangle 13"/>
                <wp:cNvGraphicFramePr/>
                <a:graphic xmlns:a="http://schemas.openxmlformats.org/drawingml/2006/main">
                  <a:graphicData uri="http://schemas.microsoft.com/office/word/2010/wordprocessingShape">
                    <wps:wsp>
                      <wps:cNvSpPr/>
                      <wps:spPr>
                        <a:xfrm>
                          <a:off x="0" y="0"/>
                          <a:ext cx="1530350" cy="598593"/>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22461" id="Rectangle 13" o:spid="_x0000_s1026" style="position:absolute;margin-left:190.15pt;margin-top:157.35pt;width:120.5pt;height:4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" filled="f" strokecolor="#00b0f0" strokeweight="2.25pt"/>
            </w:pict>
          </mc:Fallback>
        </mc:AlternateContent>
      </w:r>
      <w:r w:rsidR="006D6583">
        <w:rPr>
          <w:noProof/>
        </w:rPr>
        <mc:AlternateContent>
          <mc:Choice Requires="wps">
            <w:drawing>
              <wp:anchor distT="0" distB="0" distL="114300" distR="114300" simplePos="0" relativeHeight="251664384" behindDoc="0" locked="0" layoutInCell="1" allowOverlap="1" wp14:anchorId="570EC175" wp14:editId="1CB60602">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1FEBBF"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764427">
        <w:rPr>
          <w:noProof/>
        </w:rPr>
        <mc:AlternateContent>
          <mc:Choice Requires="wps">
            <w:drawing>
              <wp:anchor distT="0" distB="0" distL="114300" distR="114300" simplePos="0" relativeHeight="251663360" behindDoc="0" locked="0" layoutInCell="1" allowOverlap="1" wp14:anchorId="3DD8F3DF" wp14:editId="1888E3AD">
                <wp:simplePos x="0" y="0"/>
                <wp:positionH relativeFrom="column">
                  <wp:posOffset>2273300</wp:posOffset>
                </wp:positionH>
                <wp:positionV relativeFrom="paragraph">
                  <wp:posOffset>594995</wp:posOffset>
                </wp:positionV>
                <wp:extent cx="1854200" cy="1117600"/>
                <wp:effectExtent l="19050" t="19050" r="12700" b="25400"/>
                <wp:wrapNone/>
                <wp:docPr id="11" name="Rectangle 11"/>
                <wp:cNvGraphicFramePr/>
                <a:graphic xmlns:a="http://schemas.openxmlformats.org/drawingml/2006/main">
                  <a:graphicData uri="http://schemas.microsoft.com/office/word/2010/wordprocessingShape">
                    <wps:wsp>
                      <wps:cNvSpPr/>
                      <wps:spPr>
                        <a:xfrm>
                          <a:off x="0" y="0"/>
                          <a:ext cx="18542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9F9A3" id="Rectangle 11" o:spid="_x0000_s1026" style="position:absolute;margin-left:179pt;margin-top:46.85pt;width:146pt;height: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" filled="f" strokecolor="red"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5E8EE644">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967D4"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rPr>
          <w:noProof/>
        </w:rPr>
        <mc:AlternateContent>
          <mc:Choice Requires="wps">
            <w:drawing>
              <wp:anchor distT="0" distB="0" distL="114300" distR="114300" simplePos="0" relativeHeight="251660288" behindDoc="0" locked="0" layoutInCell="1" allowOverlap="1" wp14:anchorId="257B7033" wp14:editId="1D49E7C8">
                <wp:simplePos x="0" y="0"/>
                <wp:positionH relativeFrom="column">
                  <wp:posOffset>-16933</wp:posOffset>
                </wp:positionH>
                <wp:positionV relativeFrom="paragraph">
                  <wp:posOffset>493395</wp:posOffset>
                </wp:positionV>
                <wp:extent cx="5981700" cy="3898900"/>
                <wp:effectExtent l="38100" t="19050" r="38100" b="44450"/>
                <wp:wrapNone/>
                <wp:docPr id="6" name="Freeform: Shape 6"/>
                <wp:cNvGraphicFramePr/>
                <a:graphic xmlns:a="http://schemas.openxmlformats.org/drawingml/2006/main">
                  <a:graphicData uri="http://schemas.microsoft.com/office/word/2010/wordprocessingShape">
                    <wps:wsp>
                      <wps:cNvSpPr/>
                      <wps:spPr>
                        <a:xfrm>
                          <a:off x="0" y="0"/>
                          <a:ext cx="598170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59738" id="Freeform: Shape 6" o:spid="_x0000_s1026" style="position:absolute;margin-left:-1.35pt;margin-top:38.85pt;width:471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" path="m4258733,l5981700,v-1411,1299633,-2823,2599267,-4234,3898900l,3869267,16933,1955800r4292600,12700l4258733,xe" filled="f" strokecolor="#00b050" strokeweight="2.25pt">
                <v:stroke joinstyle="miter"/>
                <v:path arrowok="t" o:connecttype="custom" o:connectlocs="4258733,0;5981700,0;5977466,3898900;0,3869267;16933,1955800;4309533,1968500;4258733,0" o:connectangles="0,0,0,0,0,0,0"/>
              </v:shape>
            </w:pict>
          </mc:Fallback>
        </mc:AlternateContent>
      </w:r>
      <w:r w:rsidR="0063064F">
        <w:rPr>
          <w:noProof/>
        </w:rPr>
        <mc:AlternateContent>
          <mc:Choice Requires="wps">
            <w:drawing>
              <wp:anchor distT="0" distB="0" distL="114300" distR="114300" simplePos="0" relativeHeight="251659264" behindDoc="0" locked="0" layoutInCell="1" allowOverlap="1" wp14:anchorId="08F39B9B" wp14:editId="46658E8B">
                <wp:simplePos x="0" y="0"/>
                <wp:positionH relativeFrom="column">
                  <wp:posOffset>44450</wp:posOffset>
                </wp:positionH>
                <wp:positionV relativeFrom="paragraph">
                  <wp:posOffset>495512</wp:posOffset>
                </wp:positionV>
                <wp:extent cx="4161366" cy="1932516"/>
                <wp:effectExtent l="19050" t="19050" r="10795" b="10795"/>
                <wp:wrapNone/>
                <wp:docPr id="2" name="Rectangle 2"/>
                <wp:cNvGraphicFramePr/>
                <a:graphic xmlns:a="http://schemas.openxmlformats.org/drawingml/2006/main">
                  <a:graphicData uri="http://schemas.microsoft.com/office/word/2010/wordprocessingShape">
                    <wps:wsp>
                      <wps:cNvSpPr/>
                      <wps:spPr>
                        <a:xfrm>
                          <a:off x="0" y="0"/>
                          <a:ext cx="4161366" cy="1932516"/>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4F3D6" id="Rectangle 2" o:spid="_x0000_s1026" style="position:absolute;margin-left:3.5pt;margin-top:39pt;width:327.65pt;height:1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" filled="f" strokecolor="#ffc000" strokeweight="2.25pt"/>
            </w:pict>
          </mc:Fallback>
        </mc:AlternateContent>
      </w:r>
      <w:r w:rsidR="0063064F">
        <w:tab/>
      </w:r>
      <w:r w:rsidR="0063064F">
        <w:tab/>
      </w:r>
      <w:r w:rsidR="0063064F">
        <w:rPr>
          <w:noProof/>
        </w:rPr>
        <w:drawing>
          <wp:inline distT="0" distB="0" distL="0" distR="0" wp14:anchorId="43E1FAB4" wp14:editId="57F8246D">
            <wp:extent cx="5943600" cy="3977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7005"/>
                    </a:xfrm>
                    <a:prstGeom prst="rect">
                      <a:avLst/>
                    </a:prstGeom>
                  </pic:spPr>
                </pic:pic>
              </a:graphicData>
            </a:graphic>
          </wp:inline>
        </w:drawing>
      </w:r>
    </w:p>
    <w:p w14:paraId="3FA491B6" w14:textId="374DB002" w:rsidR="0063064F" w:rsidRPr="00856616" w:rsidRDefault="0063064F" w:rsidP="0063064F">
      <w:pPr>
        <w:rPr>
          <w:sz w:val="24"/>
          <w:szCs w:val="24"/>
        </w:rPr>
      </w:pPr>
      <w:r w:rsidRPr="00856616">
        <w:rPr>
          <w:sz w:val="24"/>
          <w:szCs w:val="24"/>
        </w:rPr>
        <w:t>The UI elements marked in orange control the function generator part of the testing platform. (Ignore the “Oscilloscope Capture” header)</w:t>
      </w:r>
    </w:p>
    <w:p w14:paraId="3A661A16" w14:textId="6C779130" w:rsidR="0063064F" w:rsidRDefault="0063064F" w:rsidP="0063064F">
      <w:pPr>
        <w:rPr>
          <w:sz w:val="24"/>
          <w:szCs w:val="24"/>
        </w:rPr>
      </w:pPr>
      <w:r w:rsidRPr="00856616">
        <w:rPr>
          <w:sz w:val="24"/>
          <w:szCs w:val="24"/>
        </w:rPr>
        <w:t>The UI elements marked in green control the oscilloscope part of the testing platform. (</w:t>
      </w:r>
      <w:r w:rsidR="00F435BC" w:rsidRPr="00856616">
        <w:rPr>
          <w:sz w:val="24"/>
          <w:szCs w:val="24"/>
        </w:rPr>
        <w:t>Again,</w:t>
      </w:r>
      <w:r w:rsidRPr="00856616">
        <w:rPr>
          <w:sz w:val="24"/>
          <w:szCs w:val="24"/>
        </w:rPr>
        <w:t xml:space="preserve"> ignore the “Oscilloscope Capture” header.)</w:t>
      </w:r>
    </w:p>
    <w:p w14:paraId="4209D2F4" w14:textId="0DEE9F81" w:rsidR="00076FC7" w:rsidRDefault="00076FC7" w:rsidP="0063064F">
      <w:pPr>
        <w:rPr>
          <w:sz w:val="24"/>
          <w:szCs w:val="24"/>
        </w:rPr>
      </w:pPr>
    </w:p>
    <w:p w14:paraId="73403F0F" w14:textId="77777777" w:rsidR="00076FC7" w:rsidRDefault="00076FC7" w:rsidP="00076FC7">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xml:space="preserve">,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w:t>
      </w:r>
      <w:r w:rsidR="00764427">
        <w:rPr>
          <w:sz w:val="24"/>
          <w:szCs w:val="24"/>
        </w:rPr>
        <w:lastRenderedPageBreak/>
        <w:t>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w:t>
      </w:r>
      <w:proofErr w:type="spellStart"/>
      <w:r>
        <w:rPr>
          <w:sz w:val="24"/>
          <w:szCs w:val="24"/>
        </w:rPr>
        <w:t>Siglent’s</w:t>
      </w:r>
      <w:proofErr w:type="spellEnd"/>
      <w:r>
        <w:rPr>
          <w:sz w:val="24"/>
          <w:szCs w:val="24"/>
        </w:rPr>
        <w:t xml:space="preserve">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28F38BE7" w14:textId="33C9F256"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r w:rsidR="00A94EE5">
        <w:rPr>
          <w:sz w:val="24"/>
          <w:szCs w:val="24"/>
        </w:rPr>
        <w:t xml:space="preserve">During playback, waveform files play on repeat until stopped. To restart a waveform at the beginning, click “Restart Waveform” during playback, </w:t>
      </w:r>
      <w:r w:rsidR="00A63B2D">
        <w:rPr>
          <w:sz w:val="24"/>
          <w:szCs w:val="24"/>
        </w:rPr>
        <w:t>the button is the same as the “Play Waveform” button, just with different text. To stop waveform playback for the current waveform, click “Stop Waveform.” To stop waveform playback for all waveforms playing on the function generator, click “Emergency Stop”</w:t>
      </w:r>
    </w:p>
    <w:p w14:paraId="6562A368" w14:textId="1423C8A4" w:rsidR="00A63B2D" w:rsidRDefault="00A63B2D" w:rsidP="0033354B">
      <w:pPr>
        <w:rPr>
          <w:sz w:val="24"/>
          <w:szCs w:val="24"/>
        </w:rPr>
      </w:pPr>
    </w:p>
    <w:p w14:paraId="3BD4F8B8" w14:textId="5B69FF4D" w:rsidR="00A63B2D" w:rsidRDefault="00A63B2D" w:rsidP="00A63B2D">
      <w:pPr>
        <w:pStyle w:val="Heading2"/>
      </w:pPr>
      <w:r>
        <w:t>Waveform Editing:</w:t>
      </w:r>
    </w:p>
    <w:p w14:paraId="14D94DAC" w14:textId="77777777" w:rsidR="00F119A7" w:rsidRDefault="00A63B2D" w:rsidP="00A63B2D">
      <w:pPr>
        <w:rPr>
          <w:sz w:val="24"/>
          <w:szCs w:val="24"/>
        </w:rPr>
      </w:pPr>
      <w:r>
        <w:tab/>
      </w:r>
      <w:r w:rsidR="00B46B84">
        <w:rPr>
          <w:sz w:val="24"/>
          <w:szCs w:val="24"/>
        </w:rPr>
        <w:t xml:space="preserve">Some waveform properties can be edited with the program, specifically the amplitude scale and playback sample rate can be edited. To edit a waveform, select a memory location from the memory location scrollbar, and then check the “edit waveform parameters” checkbox. </w:t>
      </w:r>
    </w:p>
    <w:p w14:paraId="0C741799" w14:textId="73D6DC96" w:rsidR="00A63B2D" w:rsidRDefault="00B46B84" w:rsidP="00F119A7">
      <w:pPr>
        <w:ind w:firstLine="720"/>
        <w:rPr>
          <w:sz w:val="24"/>
          <w:szCs w:val="24"/>
        </w:rPr>
      </w:pPr>
      <w:r>
        <w:rPr>
          <w:sz w:val="24"/>
          <w:szCs w:val="24"/>
        </w:rPr>
        <w:lastRenderedPageBreak/>
        <w:t xml:space="preserve">When the box is checked, the amplitude scale and sample rate can be changed. </w:t>
      </w:r>
      <w:r w:rsidR="00F119A7">
        <w:rPr>
          <w:sz w:val="24"/>
          <w:szCs w:val="24"/>
        </w:rPr>
        <w:t xml:space="preserve">These UI elements are located in the light blue rectangle. After changing the sample rate and/or amplitude scale, click the “Save Waveform” button. The program will then generate your new waveform, and check if the resulting amplitude is too high or if a DC offset has been induced. If this is the case, the program will reject the edits made to the waveform. The edited waveform must be uploaded to the function generator again, and if currently playing, loaded into active memory in order for the output to reflect the edits. There are no changes made to the waveform .txt files during this process. </w:t>
      </w:r>
    </w:p>
    <w:p w14:paraId="4BCBB82B" w14:textId="61653511" w:rsidR="00F119A7" w:rsidRDefault="00F119A7" w:rsidP="00A63B2D">
      <w:pPr>
        <w:rPr>
          <w:sz w:val="24"/>
          <w:szCs w:val="24"/>
        </w:rPr>
      </w:pPr>
    </w:p>
    <w:p w14:paraId="02B1B927" w14:textId="72C0DA67" w:rsidR="00F119A7" w:rsidRDefault="00F119A7" w:rsidP="00F119A7">
      <w:pPr>
        <w:pStyle w:val="Heading2"/>
      </w:pPr>
      <w:r>
        <w:t>Notes:</w:t>
      </w:r>
    </w:p>
    <w:p w14:paraId="6B87A54A" w14:textId="682EEBBC" w:rsidR="00F119A7" w:rsidRPr="00F119A7" w:rsidRDefault="00F119A7" w:rsidP="00F119A7">
      <w:pPr>
        <w:rPr>
          <w:sz w:val="24"/>
          <w:szCs w:val="24"/>
        </w:rPr>
      </w:pPr>
      <w:r>
        <w:tab/>
      </w:r>
      <w:bookmarkStart w:id="0" w:name="_GoBack"/>
      <w:bookmarkEnd w:id="0"/>
    </w:p>
    <w:p w14:paraId="1669C892" w14:textId="77777777" w:rsidR="00076FC7" w:rsidRDefault="00076FC7" w:rsidP="0063064F">
      <w:pPr>
        <w:rPr>
          <w:sz w:val="24"/>
          <w:szCs w:val="24"/>
        </w:rPr>
      </w:pPr>
    </w:p>
    <w:p w14:paraId="78DC282E" w14:textId="30FE729C" w:rsidR="00F435BC" w:rsidRDefault="00F435BC" w:rsidP="0063064F">
      <w:pPr>
        <w:rPr>
          <w:sz w:val="24"/>
          <w:szCs w:val="24"/>
        </w:rPr>
      </w:pPr>
    </w:p>
    <w:p w14:paraId="2C7F94ED" w14:textId="118D9F30" w:rsidR="00F435BC" w:rsidRDefault="00F435BC" w:rsidP="00F435BC">
      <w:pPr>
        <w:pStyle w:val="Heading2"/>
      </w:pPr>
      <w:r>
        <w:t>Waveform File Format:</w:t>
      </w:r>
    </w:p>
    <w:p w14:paraId="0120BDCC" w14:textId="72F586E8"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w:t>
      </w:r>
      <w:proofErr w:type="spellStart"/>
      <w:r w:rsidRPr="00F435BC">
        <w:rPr>
          <w:sz w:val="24"/>
          <w:szCs w:val="24"/>
        </w:rPr>
        <w:t>samplerate</w:t>
      </w:r>
      <w:proofErr w:type="spellEnd"/>
      <w:proofErr w:type="gramStart"/>
      <w:r w:rsidRPr="00F435BC">
        <w:rPr>
          <w:sz w:val="24"/>
          <w:szCs w:val="24"/>
        </w:rPr>
        <w:t>=(</w:t>
      </w:r>
      <w:proofErr w:type="gramEnd"/>
      <w:r w:rsidRPr="00F435BC">
        <w:rPr>
          <w:sz w:val="24"/>
          <w:szCs w:val="24"/>
        </w:rPr>
        <w:t>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w:t>
      </w:r>
      <w:proofErr w:type="spellStart"/>
      <w:r>
        <w:rPr>
          <w:sz w:val="24"/>
          <w:szCs w:val="24"/>
        </w:rPr>
        <w:t>Vpp</w:t>
      </w:r>
      <w:proofErr w:type="spellEnd"/>
      <w:r>
        <w:rPr>
          <w:sz w:val="24"/>
          <w:szCs w:val="24"/>
        </w:rPr>
        <w:t xml:space="preserve"> that a waveform can have is 1. If there is an error in capturing your data, and the resulting waveform has a slight DC offset, but the </w:t>
      </w:r>
      <w:proofErr w:type="spellStart"/>
      <w:r>
        <w:rPr>
          <w:sz w:val="24"/>
          <w:szCs w:val="24"/>
        </w:rPr>
        <w:t>Vpp</w:t>
      </w:r>
      <w:proofErr w:type="spellEnd"/>
      <w:r>
        <w:rPr>
          <w:sz w:val="24"/>
          <w:szCs w:val="24"/>
        </w:rPr>
        <w:t xml:space="preserve"> is still less than or equal to 1, the program will remove the DC offset for you when you open the file. If the </w:t>
      </w:r>
      <w:proofErr w:type="spellStart"/>
      <w:r>
        <w:rPr>
          <w:sz w:val="24"/>
          <w:szCs w:val="24"/>
        </w:rPr>
        <w:t>Vpp</w:t>
      </w:r>
      <w:proofErr w:type="spellEnd"/>
      <w:r>
        <w:rPr>
          <w:sz w:val="24"/>
          <w:szCs w:val="24"/>
        </w:rPr>
        <w:t xml:space="preserve"> of your waveform is greater than 1, the program will reject your waveform when you try to open it. Here is a screenshot of a waveform file opened in notepad.</w:t>
      </w:r>
    </w:p>
    <w:p w14:paraId="5B081E80" w14:textId="4C41E1C7"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77D2B877">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8F3D17"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6337E9C3">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82230"/>
                    </a:xfrm>
                    <a:prstGeom prst="rect">
                      <a:avLst/>
                    </a:prstGeom>
                  </pic:spPr>
                </pic:pic>
              </a:graphicData>
            </a:graphic>
          </wp:inline>
        </w:drawing>
      </w:r>
    </w:p>
    <w:p w14:paraId="7B40DCD9" w14:textId="14360D1F" w:rsidR="00856616" w:rsidRPr="00C35E89" w:rsidRDefault="00C35E89" w:rsidP="0063064F">
      <w:pPr>
        <w:rPr>
          <w:sz w:val="24"/>
          <w:szCs w:val="24"/>
        </w:rPr>
      </w:pPr>
      <w:r w:rsidRPr="00C35E89">
        <w:rPr>
          <w:sz w:val="24"/>
          <w:szCs w:val="24"/>
        </w:rPr>
        <w:t>As you can see, numbers in scientific notation format are allowed.</w:t>
      </w:r>
    </w:p>
    <w:p w14:paraId="0A00CB88" w14:textId="5B8CE5DB" w:rsidR="00F435BC" w:rsidRDefault="00F435BC" w:rsidP="00856616">
      <w:pPr>
        <w:rPr>
          <w:sz w:val="24"/>
          <w:szCs w:val="24"/>
        </w:rPr>
      </w:pPr>
    </w:p>
    <w:p w14:paraId="475ADBC0" w14:textId="033D3D3E" w:rsidR="00F435BC" w:rsidRPr="00856616" w:rsidRDefault="00F435BC" w:rsidP="00F435BC">
      <w:pPr>
        <w:pStyle w:val="Heading2"/>
      </w:pPr>
    </w:p>
    <w:p w14:paraId="13692C5A" w14:textId="77777777" w:rsidR="0063064F" w:rsidRPr="0063064F" w:rsidRDefault="0063064F" w:rsidP="0063064F"/>
    <w:sectPr w:rsidR="0063064F" w:rsidRPr="0063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76FC7"/>
    <w:rsid w:val="000856E8"/>
    <w:rsid w:val="000A3C17"/>
    <w:rsid w:val="000A693E"/>
    <w:rsid w:val="001449D7"/>
    <w:rsid w:val="001922E4"/>
    <w:rsid w:val="001D2345"/>
    <w:rsid w:val="00246826"/>
    <w:rsid w:val="0033354B"/>
    <w:rsid w:val="0034446F"/>
    <w:rsid w:val="00414F6D"/>
    <w:rsid w:val="004F5B0E"/>
    <w:rsid w:val="00567EE4"/>
    <w:rsid w:val="00583146"/>
    <w:rsid w:val="005F1092"/>
    <w:rsid w:val="00600DCA"/>
    <w:rsid w:val="0063064F"/>
    <w:rsid w:val="006D6583"/>
    <w:rsid w:val="00720D72"/>
    <w:rsid w:val="00732835"/>
    <w:rsid w:val="00750166"/>
    <w:rsid w:val="00764427"/>
    <w:rsid w:val="00856616"/>
    <w:rsid w:val="008764A0"/>
    <w:rsid w:val="008B05D2"/>
    <w:rsid w:val="008B26DF"/>
    <w:rsid w:val="00920804"/>
    <w:rsid w:val="00A40ED9"/>
    <w:rsid w:val="00A61394"/>
    <w:rsid w:val="00A63B2D"/>
    <w:rsid w:val="00A726A4"/>
    <w:rsid w:val="00A94EE5"/>
    <w:rsid w:val="00AA5691"/>
    <w:rsid w:val="00AA590D"/>
    <w:rsid w:val="00AB04FC"/>
    <w:rsid w:val="00AD57CC"/>
    <w:rsid w:val="00B46B84"/>
    <w:rsid w:val="00C35E89"/>
    <w:rsid w:val="00D45117"/>
    <w:rsid w:val="00DD74C1"/>
    <w:rsid w:val="00EA6D4B"/>
    <w:rsid w:val="00F119A7"/>
    <w:rsid w:val="00F435BC"/>
    <w:rsid w:val="00F86AC2"/>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WGGE-WG-026-Pieces-Colors-Alligator/dp/B06XX25HFX" TargetMode="External"/><Relationship Id="rId13" Type="http://schemas.openxmlformats.org/officeDocument/2006/relationships/hyperlink" Target="https://store.tmstitanium.com/products/198g/titanium-sheet-plate/cp-grade-2/0.020-thick-12.000-wide-24.000-lo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mazon.com/Morton-Canning-Pickling-Salt-Box/dp/B00GZCEZ4O" TargetMode="External"/><Relationship Id="rId12" Type="http://schemas.openxmlformats.org/officeDocument/2006/relationships/hyperlink" Target="https://store.tmstitanium.com/products/199g/titanium-sheet-plate/cp-grade-2/0.020-thick-24.000-wide-24.000-lo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homedepot.com/p/The-Home-Depot-5-Gal-Homer-Bucket-05GLHD2/100087613" TargetMode="External"/><Relationship Id="rId11" Type="http://schemas.openxmlformats.org/officeDocument/2006/relationships/hyperlink" Target="https://www.amazon.com/Rigol-DS1054Z-Digital-Oscilloscopes-Bandwidth/dp/B012938E76"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amazon.com/Siglent-Technologies-SDG2042X-Arbitrary-Function-Generators/dp/B01410O55U" TargetMode="External"/><Relationship Id="rId4" Type="http://schemas.openxmlformats.org/officeDocument/2006/relationships/settings" Target="settings.xml"/><Relationship Id="rId9" Type="http://schemas.openxmlformats.org/officeDocument/2006/relationships/hyperlink" Target="https://www.amazon.com/Double-Alligator-Cable-Probe-Oscilloscope/dp/B00ORLGNVS/" TargetMode="External"/><Relationship Id="rId14" Type="http://schemas.openxmlformats.org/officeDocument/2006/relationships/hyperlink" Target="https://www.amazon.com/WEN-3650-4-0-Amp-Variable-Electric/dp/B01M5G99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73FE6-E475-444D-A05D-D5CDA115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TotalTime>
  <Pages>8</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36</cp:revision>
  <dcterms:created xsi:type="dcterms:W3CDTF">2019-08-27T20:40:00Z</dcterms:created>
  <dcterms:modified xsi:type="dcterms:W3CDTF">2019-09-19T22:43:00Z</dcterms:modified>
</cp:coreProperties>
</file>