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prueba</w:t>
      </w:r>
    </w:p>
    <w:p/>
    <w:p>
      <w:pPr>
        <w:jc w:val="center"/>
      </w:pPr>
      <w:r>
        <w:rPr>
          <w:b/>
          <w:bCs/>
          <w:sz w:val="24"/>
          <w:szCs w:val="24"/>
        </w:rPr>
        <w:t xml:space="preserve">prueba</w:t>
      </w:r>
    </w:p>
    <w:p/>
    <w:p/>
    <w:p>
      <w:pPr>
        <w:jc w:val="center"/>
      </w:pPr>
      <w:r>
        <w:rPr>
          <w:b/>
          <w:bCs/>
          <w:sz w:val="36"/>
          <w:szCs w:val="36"/>
        </w:rPr>
        <w:t xml:space="preserve">INFORME EJECUTIVO DE SEGUIMIENTO DE CONTROL INTERNO</w:t>
      </w:r>
    </w:p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DIRECCIÓN ADMINISTRATIVA 10 (DA 10)</w:t>
      </w:r>
    </w:p>
    <w:p>
      <w:r>
        <w:t xml:space="preserve">Período de trabajo: 2023</w:t>
      </w:r>
    </w:p>
    <w:p/>
    <w:p>
      <w:r>
        <w:t xml:space="preserve">1. Riesgos reportados para mitigar</w:t>
      </w:r>
    </w:p>
    <w:p>
      <w:r>
        <w:t xml:space="preserve">Período del 1 de enero al 31 de diciembre de 2023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Tolerancia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Severidad (narración)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Control interno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Método de monitoreo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Frecuencia</w:t>
            </w:r>
          </w:p>
        </w:tc>
      </w:tr>
      <w:tr>
        <w:tc>
          <w:p>
            <w:r>
              <w:t xml:space="preserve">DA 10 - O - 1</w:t>
            </w:r>
          </w:p>
        </w:tc>
        <w:tc>
          <w:p>
            <w:r>
              <w:t xml:space="preserve">Posible incumplimiento en la administración de la base de datos institucional de comercio exterior para contar con datos de forma oportuna y automatizada.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Comunicaciones periódicas con la Dirección de Tecnologías de la Información.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DA 10 F - 14</w:t>
            </w:r>
          </w:p>
        </w:tc>
        <w:tc>
          <w:p>
            <w:r>
              <w:t xml:space="preserve">Riesgo nuevo de la dirección 10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Control interno para mitigar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p>
      <w:r>
        <w:t xml:space="preserve">2. Acciones mitigadoras realizadas</w:t>
      </w:r>
    </w:p>
    <w:p>
      <w:r>
        <w:t xml:space="preserve">Acciones mitigadoras realizadas — 2023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Control interno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Método de monitoreo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Frecuencia</w:t>
            </w:r>
          </w:p>
        </w:tc>
      </w:tr>
      <w:tr>
        <w:tc>
          <w:p>
            <w:r>
              <w:t xml:space="preserve">DA 10 - O - 1</w:t>
            </w:r>
          </w:p>
        </w:tc>
        <w:tc>
          <w:p>
            <w:r>
              <w:t xml:space="preserve">Posible incumplimiento en la administración de la base de datos institucional de comercio exterior para contar con datos de forma oportuna y automatizada.</w:t>
            </w:r>
          </w:p>
        </w:tc>
        <w:tc>
          <w:p>
            <w:r>
              <w:t xml:space="preserve">prueba</w:t>
            </w:r>
          </w:p>
        </w:tc>
        <w:tc>
          <w:p>
            <w:r>
              <w:t xml:space="preserve">prueba</w:t>
            </w:r>
          </w:p>
        </w:tc>
        <w:tc>
          <w:p>
            <w:r>
              <w:t xml:space="preserve">prueba</w:t>
            </w:r>
          </w:p>
        </w:tc>
      </w:tr>
      <w:tr>
        <w:tc>
          <w:p>
            <w:r>
              <w:t xml:space="preserve">DA 10 F - 14</w:t>
            </w:r>
          </w:p>
        </w:tc>
        <w:tc>
          <w:p>
            <w:r>
              <w:t xml:space="preserve">Riesgo nuevo de la dirección 10</w:t>
            </w:r>
          </w:p>
        </w:tc>
        <w:tc>
          <w:p>
            <w:r>
              <w:t xml:space="preserve">prueba</w:t>
            </w:r>
          </w:p>
        </w:tc>
        <w:tc>
          <w:p>
            <w:r>
              <w:t xml:space="preserve">prueba</w:t>
            </w:r>
          </w:p>
        </w:tc>
        <w:tc>
          <w:p>
            <w:r>
              <w:t xml:space="preserve">prueba</w:t>
            </w:r>
          </w:p>
        </w:tc>
      </w:tr>
    </w:tbl>
    <w:p/>
    <w:p>
      <w:r>
        <w:t xml:space="preserve">3. Seguimiento y continuidad</w:t>
      </w:r>
    </w:p>
    <w:p>
      <w:r>
        <w:rPr>
          <w:b/>
          <w:bCs/>
        </w:rPr>
        <w:t xml:space="preserve">Estatus del seguimiento y monitoreo — Período del 1 de enero al 31 de diciembre de 2023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Estatus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Coloque ✓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</w:tr>
      <w:tr>
        <w:tc>
          <w:tcPr>
            <w:shd w:fill="F44336" w:color="F44336" w:val="solid"/>
          </w:tcPr>
          <w:p>
            <w:r>
              <w:rPr>
                <w:b/>
                <w:bCs/>
                <w:color w:val="FFFFFF"/>
              </w:rPr>
              <w:t xml:space="preserve">Pendiente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No muestra evidencia de gestión del control interno. Debe observar cumplir con método y frecuencia propuestos.</w:t>
            </w:r>
          </w:p>
        </w:tc>
      </w:tr>
      <w:tr>
        <w:tc>
          <w:tcPr>
            <w:shd w:fill="FF9800" w:color="FF9800" w:val="solid"/>
          </w:tcPr>
          <w:p>
            <w:r>
              <w:rPr>
                <w:b/>
                <w:bCs/>
                <w:color w:val="FFFFFF"/>
              </w:rPr>
              <w:t xml:space="preserve">Ejecución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Control interno con avance en la implementación. Supervisión y monitoreo en curso.</w:t>
            </w:r>
          </w:p>
        </w:tc>
      </w:tr>
      <w:tr>
        <w:tc>
          <w:tcPr>
            <w:shd w:fill="4CAF50" w:color="4CAF50" w:val="solid"/>
          </w:tcPr>
          <w:p>
            <w:r>
              <w:rPr>
                <w:b/>
                <w:bCs/>
                <w:color w:val="FFFFFF"/>
              </w:rPr>
              <w:t xml:space="preserve">Cumple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Acciones implementadas al 100% según lo propuesto para mitigar el riesgo.</w:t>
            </w:r>
          </w:p>
        </w:tc>
      </w:tr>
    </w:tbl>
    <w:p/>
    <w:p>
      <w:r>
        <w:t xml:space="preserve">Resultados principales del período del 1 de enero al 31 de diciembre de 2023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Ref.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shd w:fill="2E4A66" w:color="2E4A66" w:val="solid"/>
          </w:tcPr>
          <w:p>
            <w:r>
              <w:rPr>
                <w:b/>
                <w:bCs/>
                <w:color w:val="FFFFFF"/>
              </w:rPr>
              <w:t xml:space="preserve">Resultados principales</w:t>
            </w:r>
          </w:p>
        </w:tc>
      </w:tr>
      <w:tr>
        <w:tc>
          <w:p>
            <w:r>
              <w:t xml:space="preserve">DA 10 - O - 1</w:t>
            </w:r>
          </w:p>
        </w:tc>
        <w:tc>
          <w:p>
            <w:r>
              <w:t xml:space="preserve">Posible incumplimiento en la administración de la base de datos institucional de comercio exterior para contar con datos de forma oportuna y automatizada.</w:t>
            </w:r>
          </w:p>
        </w:tc>
        <w:tc>
          <w:p>
            <w:r>
              <w:t xml:space="preserve">prueba</w:t>
            </w:r>
          </w:p>
        </w:tc>
      </w:tr>
      <w:tr>
        <w:tc>
          <w:p>
            <w:r>
              <w:t xml:space="preserve">DA 10 F - 14</w:t>
            </w:r>
          </w:p>
        </w:tc>
        <w:tc>
          <w:p>
            <w:r>
              <w:t xml:space="preserve">Riesgo nuevo de la dirección 10</w:t>
            </w:r>
          </w:p>
        </w:tc>
        <w:tc>
          <w:p>
            <w:r>
              <w:t xml:space="preserve">prueba</w:t>
            </w:r>
          </w:p>
        </w:tc>
      </w:tr>
    </w:tbl>
    <w:p/>
    <w:p>
      <w:r>
        <w:t xml:space="preserve">Ajustes a los mitigadores propuestos</w:t>
      </w:r>
    </w:p>
    <w:p>
      <w:r>
        <w:t xml:space="preserve">No se registraron acciones. Justificación y pasos a seguir: prueba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Marzo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2026-04-13T21:37:59.514Z</dcterms:created>
  <dcterms:modified xsi:type="dcterms:W3CDTF">2026-04-13T21:37:59.514Z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