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4"/>
          <w:szCs w:val="44"/>
        </w:rPr>
        <w:t xml:space="preserve">TimelyOps</w:t>
      </w:r>
    </w:p>
    <w:p>
      <w:pPr>
        <w:spacing w:after="80"/>
        <w:jc w:val="center"/>
      </w:pPr>
      <w:r>
        <w:rPr>
          <w:rFonts w:ascii="Arial" w:cs="Arial" w:eastAsia="Arial" w:hAnsi="Arial"/>
          <w:b/>
          <w:bCs/>
          <w:color w:val="2d2d44"/>
          <w:sz w:val="36"/>
          <w:szCs w:val="36"/>
        </w:rPr>
        <w:t xml:space="preserve">Privacy Policy</w:t>
      </w:r>
    </w:p>
    <w:p>
      <w:pPr>
        <w:spacing w:after="400"/>
        <w:jc w:val="center"/>
      </w:pPr>
      <w:r>
        <w:rPr>
          <w:i/>
          <w:iCs/>
          <w:color w:val="666666"/>
          <w:sz w:val="22"/>
          <w:szCs w:val="22"/>
        </w:rPr>
        <w:t xml:space="preserve">Effective Date: March 20, 2026</w:t>
      </w:r>
    </w:p>
    <w:p>
      <w:pPr>
        <w:spacing w:after="160"/>
      </w:pPr>
      <w:r>
        <w:t xml:space="preserve">This Privacy Policy describes how TimelyOps ("we," "us," or "our") collects, uses, stores, and protects your personal data when you use the TimelyOps platform, website (timelyops.com), and related services (the "Service").</w:t>
      </w:r>
    </w:p>
    <w:p>
      <w:pPr>
        <w:spacing w:after="160"/>
      </w:pPr>
      <w:r>
        <w:t xml:space="preserve">TimelyOps is operated from the Netherlands and is committed to protecting your privacy in accordance with the General Data Protection Regulation (GDPR) and other applicable data protection laws.</w:t>
      </w:r>
    </w:p>
    <w:p>
      <w:pPr>
        <w:spacing w:after="160"/>
      </w:pPr>
      <w:r>
        <w:t xml:space="preserve">By using the Service, you acknowledge that you have read and understood this Privacy Policy.</w:t>
      </w:r>
    </w:p>
    <w:p>
      <w:pPr>
        <w:pStyle w:val="Heading1"/>
        <w:spacing w:before="360" w:after="200"/>
      </w:pPr>
      <w:r>
        <w:t xml:space="preserve">1. Data Controller</w:t>
      </w:r>
    </w:p>
    <w:p>
      <w:pPr>
        <w:spacing w:after="160"/>
      </w:pPr>
      <w:r>
        <w:t xml:space="preserve">TimelyOps acts as the data controller for personal data collected through the Service. For questions about data processing, contact us at info@timelyops.com.</w:t>
      </w:r>
    </w:p>
    <w:p>
      <w:pPr>
        <w:spacing w:after="160"/>
      </w:pPr>
      <w:r>
        <w:t xml:space="preserve">When you use TimelyOps to manage your business, you act as the data controller for your end-clients’ personal data, and TimelyOps acts as the data processor on your behalf.</w:t>
      </w:r>
    </w:p>
    <w:p>
      <w:pPr>
        <w:pStyle w:val="Heading1"/>
        <w:spacing w:before="360" w:after="200"/>
      </w:pPr>
      <w:r>
        <w:t xml:space="preserve">2. Data We Collect</w:t>
      </w:r>
    </w:p>
    <w:p>
      <w:pPr>
        <w:pStyle w:val="Heading2"/>
        <w:spacing w:before="280" w:after="160"/>
      </w:pPr>
      <w:r>
        <w:t xml:space="preserve">2.1 Account Data</w:t>
      </w:r>
    </w:p>
    <w:p>
      <w:pPr>
        <w:spacing w:after="160"/>
      </w:pPr>
      <w:r>
        <w:t xml:space="preserve">When you register for the Service, we collect:</w:t>
      </w:r>
    </w:p>
    <w:p>
      <w:pPr>
        <w:pStyle w:val="ListParagraph"/>
        <w:numPr>
          <w:ilvl w:val="0"/>
          <w:numId w:val="2"/>
        </w:numPr>
        <w:spacing w:after="80"/>
      </w:pPr>
      <w:r>
        <w:t xml:space="preserve">Full name</w:t>
      </w:r>
    </w:p>
    <w:p>
      <w:pPr>
        <w:pStyle w:val="ListParagraph"/>
        <w:numPr>
          <w:ilvl w:val="0"/>
          <w:numId w:val="2"/>
        </w:numPr>
        <w:spacing w:after="80"/>
      </w:pPr>
      <w:r>
        <w:t xml:space="preserve">Email address</w:t>
      </w:r>
    </w:p>
    <w:p>
      <w:pPr>
        <w:pStyle w:val="ListParagraph"/>
        <w:numPr>
          <w:ilvl w:val="0"/>
          <w:numId w:val="2"/>
        </w:numPr>
        <w:spacing w:after="80"/>
      </w:pPr>
      <w:r>
        <w:t xml:space="preserve">Phone number (if SMS authentication is used)</w:t>
      </w:r>
    </w:p>
    <w:p>
      <w:pPr>
        <w:pStyle w:val="ListParagraph"/>
        <w:numPr>
          <w:ilvl w:val="0"/>
          <w:numId w:val="2"/>
        </w:numPr>
        <w:spacing w:after="80"/>
      </w:pPr>
      <w:r>
        <w:t xml:space="preserve">Organization/business name</w:t>
      </w:r>
    </w:p>
    <w:p>
      <w:pPr>
        <w:pStyle w:val="ListParagraph"/>
        <w:numPr>
          <w:ilvl w:val="0"/>
          <w:numId w:val="2"/>
        </w:numPr>
        <w:spacing w:after="80"/>
      </w:pPr>
      <w:r>
        <w:t xml:space="preserve">Role within the organization (owner, manager, worker)</w:t>
      </w:r>
    </w:p>
    <w:p>
      <w:pPr>
        <w:pStyle w:val="Heading2"/>
        <w:spacing w:before="280" w:after="160"/>
      </w:pPr>
      <w:r>
        <w:t xml:space="preserve">2.2 Business Data</w:t>
      </w:r>
    </w:p>
    <w:p>
      <w:pPr>
        <w:spacing w:after="160"/>
      </w:pPr>
      <w:r>
        <w:t xml:space="preserve">Through your use of the Service, you may enter:</w:t>
      </w:r>
    </w:p>
    <w:p>
      <w:pPr>
        <w:pStyle w:val="ListParagraph"/>
        <w:numPr>
          <w:ilvl w:val="0"/>
          <w:numId w:val="2"/>
        </w:numPr>
        <w:spacing w:after="80"/>
      </w:pPr>
      <w:r>
        <w:t xml:space="preserve">Client names, addresses, phone numbers, and email addresses</w:t>
      </w:r>
    </w:p>
    <w:p>
      <w:pPr>
        <w:pStyle w:val="ListParagraph"/>
        <w:numPr>
          <w:ilvl w:val="0"/>
          <w:numId w:val="2"/>
        </w:numPr>
        <w:spacing w:after="80"/>
      </w:pPr>
      <w:r>
        <w:t xml:space="preserve">Worker names and contact information</w:t>
      </w:r>
    </w:p>
    <w:p>
      <w:pPr>
        <w:pStyle w:val="ListParagraph"/>
        <w:numPr>
          <w:ilvl w:val="0"/>
          <w:numId w:val="2"/>
        </w:numPr>
        <w:spacing w:after="80"/>
      </w:pPr>
      <w:r>
        <w:t xml:space="preserve">Scheduling and appointment data</w:t>
      </w:r>
    </w:p>
    <w:p>
      <w:pPr>
        <w:pStyle w:val="ListParagraph"/>
        <w:numPr>
          <w:ilvl w:val="0"/>
          <w:numId w:val="2"/>
        </w:numPr>
        <w:spacing w:after="80"/>
      </w:pPr>
      <w:r>
        <w:t xml:space="preserve">Quotes, invoices, and pricing information</w:t>
      </w:r>
    </w:p>
    <w:p>
      <w:pPr>
        <w:pStyle w:val="ListParagraph"/>
        <w:numPr>
          <w:ilvl w:val="0"/>
          <w:numId w:val="2"/>
        </w:numPr>
        <w:spacing w:after="80"/>
      </w:pPr>
      <w:r>
        <w:t xml:space="preserve">Payment records and transaction history</w:t>
      </w:r>
    </w:p>
    <w:p>
      <w:pPr>
        <w:pStyle w:val="ListParagraph"/>
        <w:numPr>
          <w:ilvl w:val="0"/>
          <w:numId w:val="2"/>
        </w:numPr>
        <w:spacing w:after="80"/>
      </w:pPr>
      <w:r>
        <w:t xml:space="preserve">Notes and communications related to jobs</w:t>
      </w:r>
    </w:p>
    <w:p>
      <w:pPr>
        <w:pStyle w:val="Heading2"/>
        <w:spacing w:before="280" w:after="160"/>
      </w:pPr>
      <w:r>
        <w:t xml:space="preserve">2.3 Technical Data</w:t>
      </w:r>
    </w:p>
    <w:p>
      <w:pPr>
        <w:spacing w:after="160"/>
      </w:pPr>
      <w:r>
        <w:t xml:space="preserve">We automatically collect:</w:t>
      </w:r>
    </w:p>
    <w:p>
      <w:pPr>
        <w:pStyle w:val="ListParagraph"/>
        <w:numPr>
          <w:ilvl w:val="0"/>
          <w:numId w:val="2"/>
        </w:numPr>
        <w:spacing w:after="80"/>
      </w:pPr>
      <w:r>
        <w:t xml:space="preserve">IP address and approximate location</w:t>
      </w:r>
    </w:p>
    <w:p>
      <w:pPr>
        <w:pStyle w:val="ListParagraph"/>
        <w:numPr>
          <w:ilvl w:val="0"/>
          <w:numId w:val="2"/>
        </w:numPr>
        <w:spacing w:after="80"/>
      </w:pPr>
      <w:r>
        <w:t xml:space="preserve">Browser type and version</w:t>
      </w:r>
    </w:p>
    <w:p>
      <w:pPr>
        <w:pStyle w:val="ListParagraph"/>
        <w:numPr>
          <w:ilvl w:val="0"/>
          <w:numId w:val="2"/>
        </w:numPr>
        <w:spacing w:after="80"/>
      </w:pPr>
      <w:r>
        <w:t xml:space="preserve">Device type and operating system</w:t>
      </w:r>
    </w:p>
    <w:p>
      <w:pPr>
        <w:pStyle w:val="ListParagraph"/>
        <w:numPr>
          <w:ilvl w:val="0"/>
          <w:numId w:val="2"/>
        </w:numPr>
        <w:spacing w:after="80"/>
      </w:pPr>
      <w:r>
        <w:t xml:space="preserve">Pages visited and features used within the Service</w:t>
      </w:r>
    </w:p>
    <w:p>
      <w:pPr>
        <w:pStyle w:val="ListParagraph"/>
        <w:numPr>
          <w:ilvl w:val="0"/>
          <w:numId w:val="2"/>
        </w:numPr>
        <w:spacing w:after="80"/>
      </w:pPr>
      <w:r>
        <w:t xml:space="preserve">Date and time of access</w:t>
      </w:r>
    </w:p>
    <w:p>
      <w:pPr>
        <w:pStyle w:val="ListParagraph"/>
        <w:numPr>
          <w:ilvl w:val="0"/>
          <w:numId w:val="2"/>
        </w:numPr>
        <w:spacing w:after="80"/>
      </w:pPr>
      <w:r>
        <w:t xml:space="preserve">Authentication logs (login times, methods used)</w:t>
      </w:r>
    </w:p>
    <w:p>
      <w:pPr>
        <w:pStyle w:val="Heading2"/>
        <w:spacing w:before="280" w:after="160"/>
      </w:pPr>
      <w:r>
        <w:t xml:space="preserve">2.4 Data We Do Not Collect</w:t>
      </w:r>
    </w:p>
    <w:p>
      <w:pPr>
        <w:spacing w:after="160"/>
      </w:pPr>
      <w:r>
        <w:t xml:space="preserve">We do not knowingly collect sensitive personal data such as racial or ethnic origin, political opinions, religious beliefs, health data, or biometric data. We do not collect data from children under 18.</w:t>
      </w:r>
    </w:p>
    <w:p>
      <w:pPr>
        <w:pStyle w:val="Heading1"/>
        <w:spacing w:before="360" w:after="200"/>
      </w:pPr>
      <w:r>
        <w:t xml:space="preserve">3. How We Use Your Data</w:t>
      </w:r>
    </w:p>
    <w:p>
      <w:pPr>
        <w:spacing w:after="160"/>
      </w:pPr>
      <w:r>
        <w:t xml:space="preserve">We use your data for the following purposes:</w:t>
      </w:r>
    </w:p>
    <w:p>
      <w:pPr>
        <w:pStyle w:val="ListParagraph"/>
        <w:numPr>
          <w:ilvl w:val="0"/>
          <w:numId w:val="2"/>
        </w:numPr>
        <w:spacing w:after="80"/>
      </w:pPr>
      <w:r>
        <w:rPr>
          <w:b/>
          <w:bCs/>
        </w:rPr>
        <w:t xml:space="preserve">Service delivery: </w:t>
      </w:r>
      <w:r>
        <w:t xml:space="preserve">To operate, maintain, and provide the features of the Service, including scheduling, invoicing, payments, and reporting.</w:t>
      </w:r>
    </w:p>
    <w:p>
      <w:pPr>
        <w:pStyle w:val="ListParagraph"/>
        <w:numPr>
          <w:ilvl w:val="0"/>
          <w:numId w:val="2"/>
        </w:numPr>
        <w:spacing w:after="80"/>
      </w:pPr>
      <w:r>
        <w:rPr>
          <w:b/>
          <w:bCs/>
        </w:rPr>
        <w:t xml:space="preserve">Authentication: </w:t>
      </w:r>
      <w:r>
        <w:t xml:space="preserve">To verify your identity via email OTP or SMS verification.</w:t>
      </w:r>
    </w:p>
    <w:p>
      <w:pPr>
        <w:pStyle w:val="ListParagraph"/>
        <w:numPr>
          <w:ilvl w:val="0"/>
          <w:numId w:val="2"/>
        </w:numPr>
        <w:spacing w:after="80"/>
      </w:pPr>
      <w:r>
        <w:rPr>
          <w:b/>
          <w:bCs/>
        </w:rPr>
        <w:t xml:space="preserve">Communication: </w:t>
      </w:r>
      <w:r>
        <w:t xml:space="preserve">To send you service-related notifications, security alerts, and support messages.</w:t>
      </w:r>
    </w:p>
    <w:p>
      <w:pPr>
        <w:pStyle w:val="ListParagraph"/>
        <w:numPr>
          <w:ilvl w:val="0"/>
          <w:numId w:val="2"/>
        </w:numPr>
        <w:spacing w:after="80"/>
      </w:pPr>
      <w:r>
        <w:rPr>
          <w:b/>
          <w:bCs/>
        </w:rPr>
        <w:t xml:space="preserve">Improvement: </w:t>
      </w:r>
      <w:r>
        <w:t xml:space="preserve">To analyze usage patterns, fix bugs, and improve the Service.</w:t>
      </w:r>
    </w:p>
    <w:p>
      <w:pPr>
        <w:pStyle w:val="ListParagraph"/>
        <w:numPr>
          <w:ilvl w:val="0"/>
          <w:numId w:val="2"/>
        </w:numPr>
        <w:spacing w:after="80"/>
      </w:pPr>
      <w:r>
        <w:rPr>
          <w:b/>
          <w:bCs/>
        </w:rPr>
        <w:t xml:space="preserve">Legal compliance: </w:t>
      </w:r>
      <w:r>
        <w:t xml:space="preserve">To comply with applicable laws, regulations, and legal processes.</w:t>
      </w:r>
    </w:p>
    <w:p>
      <w:pPr>
        <w:pStyle w:val="ListParagraph"/>
        <w:numPr>
          <w:ilvl w:val="0"/>
          <w:numId w:val="2"/>
        </w:numPr>
        <w:spacing w:after="80"/>
      </w:pPr>
      <w:r>
        <w:rPr>
          <w:b/>
          <w:bCs/>
        </w:rPr>
        <w:t xml:space="preserve">Security: </w:t>
      </w:r>
      <w:r>
        <w:t xml:space="preserve">To detect, prevent, and respond to fraud, abuse, or security incidents.</w:t>
      </w:r>
    </w:p>
    <w:p>
      <w:pPr>
        <w:spacing w:after="160"/>
      </w:pPr>
    </w:p>
    <w:p>
      <w:pPr>
        <w:pStyle w:val="Heading1"/>
        <w:spacing w:before="360" w:after="200"/>
      </w:pPr>
      <w:r>
        <w:t xml:space="preserve">4. Legal Basis for Processing (GDPR)</w:t>
      </w:r>
    </w:p>
    <w:p>
      <w:pPr>
        <w:spacing w:after="160"/>
      </w:pPr>
      <w:r>
        <w:t xml:space="preserve">Under the GDPR, we process your personal data based on the following legal grounds:</w:t>
      </w:r>
    </w:p>
    <w:p>
      <w:pPr>
        <w:pStyle w:val="ListParagraph"/>
        <w:numPr>
          <w:ilvl w:val="0"/>
          <w:numId w:val="2"/>
        </w:numPr>
        <w:spacing w:after="80"/>
      </w:pPr>
      <w:r>
        <w:rPr>
          <w:b/>
          <w:bCs/>
        </w:rPr>
        <w:t xml:space="preserve">Contract performance: </w:t>
      </w:r>
      <w:r>
        <w:t xml:space="preserve">Processing necessary to provide the Service you have signed up for (Article 6(1)(b)).</w:t>
      </w:r>
    </w:p>
    <w:p>
      <w:pPr>
        <w:pStyle w:val="ListParagraph"/>
        <w:numPr>
          <w:ilvl w:val="0"/>
          <w:numId w:val="2"/>
        </w:numPr>
        <w:spacing w:after="80"/>
      </w:pPr>
      <w:r>
        <w:rPr>
          <w:b/>
          <w:bCs/>
        </w:rPr>
        <w:t xml:space="preserve">Legitimate interests: </w:t>
      </w:r>
      <w:r>
        <w:t xml:space="preserve">Processing for our legitimate business interests, such as improving the Service and ensuring security, where these interests are not overridden by your rights (Article 6(1)(f)).</w:t>
      </w:r>
    </w:p>
    <w:p>
      <w:pPr>
        <w:pStyle w:val="ListParagraph"/>
        <w:numPr>
          <w:ilvl w:val="0"/>
          <w:numId w:val="2"/>
        </w:numPr>
        <w:spacing w:after="80"/>
      </w:pPr>
      <w:r>
        <w:rPr>
          <w:b/>
          <w:bCs/>
        </w:rPr>
        <w:t xml:space="preserve">Legal obligation: </w:t>
      </w:r>
      <w:r>
        <w:t xml:space="preserve">Processing required to comply with applicable laws (Article 6(1)(c)).</w:t>
      </w:r>
    </w:p>
    <w:p>
      <w:pPr>
        <w:pStyle w:val="ListParagraph"/>
        <w:numPr>
          <w:ilvl w:val="0"/>
          <w:numId w:val="2"/>
        </w:numPr>
        <w:spacing w:after="80"/>
      </w:pPr>
      <w:r>
        <w:rPr>
          <w:b/>
          <w:bCs/>
        </w:rPr>
        <w:t xml:space="preserve">Consent: </w:t>
      </w:r>
      <w:r>
        <w:t xml:space="preserve">Where required, we will obtain your consent before processing (Article 6(1)(a)). You may withdraw consent at any time.</w:t>
      </w:r>
    </w:p>
    <w:p>
      <w:pPr>
        <w:spacing w:after="160"/>
      </w:pPr>
    </w:p>
    <w:p>
      <w:pPr>
        <w:pStyle w:val="Heading1"/>
        <w:spacing w:before="360" w:after="200"/>
      </w:pPr>
      <w:r>
        <w:t xml:space="preserve">5. Data Sharing and Third Parties</w:t>
      </w:r>
    </w:p>
    <w:p>
      <w:pPr>
        <w:spacing w:after="160"/>
      </w:pPr>
      <w:r>
        <w:t xml:space="preserve">We do not sell your personal data. We share data only with the following categories of third parties, and only to the extent necessary to provide the Service:</w:t>
      </w:r>
    </w:p>
    <w:p>
      <w:pPr>
        <w:pStyle w:val="ListParagraph"/>
        <w:numPr>
          <w:ilvl w:val="0"/>
          <w:numId w:val="2"/>
        </w:numPr>
        <w:spacing w:after="80"/>
      </w:pPr>
      <w:r>
        <w:rPr>
          <w:b/>
          <w:bCs/>
        </w:rPr>
        <w:t xml:space="preserve">Supabase (database hosting): </w:t>
      </w:r>
      <w:r>
        <w:t xml:space="preserve">Stores your account and business data. Supabase servers may be located in the United States.</w:t>
      </w:r>
    </w:p>
    <w:p>
      <w:pPr>
        <w:pStyle w:val="ListParagraph"/>
        <w:numPr>
          <w:ilvl w:val="0"/>
          <w:numId w:val="2"/>
        </w:numPr>
        <w:spacing w:after="80"/>
      </w:pPr>
      <w:r>
        <w:rPr>
          <w:b/>
          <w:bCs/>
        </w:rPr>
        <w:t xml:space="preserve">Vercel (web hosting): </w:t>
      </w:r>
      <w:r>
        <w:t xml:space="preserve">Hosts the TimelyOps web application. Vercel servers may be located in the United States and other regions.</w:t>
      </w:r>
    </w:p>
    <w:p>
      <w:pPr>
        <w:pStyle w:val="ListParagraph"/>
        <w:numPr>
          <w:ilvl w:val="0"/>
          <w:numId w:val="2"/>
        </w:numPr>
        <w:spacing w:after="80"/>
      </w:pPr>
      <w:r>
        <w:rPr>
          <w:b/>
          <w:bCs/>
        </w:rPr>
        <w:t xml:space="preserve">Twilio (SMS): </w:t>
      </w:r>
      <w:r>
        <w:t xml:space="preserve">Processes phone numbers for SMS-based authentication. Twilio servers may be located in the United States.</w:t>
      </w:r>
    </w:p>
    <w:p>
      <w:pPr>
        <w:pStyle w:val="ListParagraph"/>
        <w:numPr>
          <w:ilvl w:val="0"/>
          <w:numId w:val="2"/>
        </w:numPr>
        <w:spacing w:after="80"/>
      </w:pPr>
      <w:r>
        <w:rPr>
          <w:b/>
          <w:bCs/>
        </w:rPr>
        <w:t xml:space="preserve">Payment processors: </w:t>
      </w:r>
      <w:r>
        <w:t xml:space="preserve">If payment processing is enabled, transaction data may be shared with our payment processor (e.g., Stripe) to facilitate payments.</w:t>
      </w:r>
    </w:p>
    <w:p>
      <w:pPr>
        <w:spacing w:after="80"/>
      </w:pPr>
    </w:p>
    <w:p>
      <w:pPr>
        <w:spacing w:after="160"/>
      </w:pPr>
      <w:r>
        <w:t xml:space="preserve">We may also disclose data if required by law, court order, or to protect the rights, safety, or property of TimelyOps, our users, or the public.</w:t>
      </w:r>
    </w:p>
    <w:p>
      <w:pPr>
        <w:pStyle w:val="Heading1"/>
        <w:spacing w:before="360" w:after="200"/>
      </w:pPr>
      <w:r>
        <w:t xml:space="preserve">6. International Data Transfers</w:t>
      </w:r>
    </w:p>
    <w:p>
      <w:pPr>
        <w:spacing w:after="160"/>
      </w:pPr>
      <w:r>
        <w:t xml:space="preserve">Some of our third-party service providers are based outside the European Economic Area (EEA), primarily in the United States. When personal data is transferred outside the EEA, we ensure appropriate safeguards are in place, such as:</w:t>
      </w:r>
    </w:p>
    <w:p>
      <w:pPr>
        <w:pStyle w:val="ListParagraph"/>
        <w:numPr>
          <w:ilvl w:val="0"/>
          <w:numId w:val="2"/>
        </w:numPr>
        <w:spacing w:after="80"/>
      </w:pPr>
      <w:r>
        <w:t xml:space="preserve">Standard Contractual Clauses (SCCs) approved by the European Commission</w:t>
      </w:r>
    </w:p>
    <w:p>
      <w:pPr>
        <w:pStyle w:val="ListParagraph"/>
        <w:numPr>
          <w:ilvl w:val="0"/>
          <w:numId w:val="2"/>
        </w:numPr>
        <w:spacing w:after="80"/>
      </w:pPr>
      <w:r>
        <w:t xml:space="preserve">Adequacy decisions by the European Commission</w:t>
      </w:r>
    </w:p>
    <w:p>
      <w:pPr>
        <w:pStyle w:val="ListParagraph"/>
        <w:numPr>
          <w:ilvl w:val="0"/>
          <w:numId w:val="2"/>
        </w:numPr>
        <w:spacing w:after="80"/>
      </w:pPr>
      <w:r>
        <w:t xml:space="preserve">The EU-U.S. Data Privacy Framework, where applicable</w:t>
      </w:r>
    </w:p>
    <w:p>
      <w:pPr>
        <w:spacing w:after="160"/>
      </w:pPr>
    </w:p>
    <w:p>
      <w:pPr>
        <w:pStyle w:val="Heading1"/>
        <w:spacing w:before="360" w:after="200"/>
      </w:pPr>
      <w:r>
        <w:t xml:space="preserve">7. Data Retention</w:t>
      </w:r>
    </w:p>
    <w:p>
      <w:pPr>
        <w:spacing w:after="160"/>
      </w:pPr>
      <w:r>
        <w:t xml:space="preserve">We retain your data for as long as your account is active or as needed to provide the Service. Specifically:</w:t>
      </w:r>
    </w:p>
    <w:p>
      <w:pPr>
        <w:pStyle w:val="ListParagraph"/>
        <w:numPr>
          <w:ilvl w:val="0"/>
          <w:numId w:val="2"/>
        </w:numPr>
        <w:spacing w:after="80"/>
      </w:pPr>
      <w:r>
        <w:rPr>
          <w:b/>
          <w:bCs/>
        </w:rPr>
        <w:t xml:space="preserve">Account data: </w:t>
      </w:r>
      <w:r>
        <w:t xml:space="preserve">Retained while your account is active and for 30 days after account deletion to allow for data export.</w:t>
      </w:r>
    </w:p>
    <w:p>
      <w:pPr>
        <w:pStyle w:val="ListParagraph"/>
        <w:numPr>
          <w:ilvl w:val="0"/>
          <w:numId w:val="2"/>
        </w:numPr>
        <w:spacing w:after="80"/>
      </w:pPr>
      <w:r>
        <w:rPr>
          <w:b/>
          <w:bCs/>
        </w:rPr>
        <w:t xml:space="preserve">Business data: </w:t>
      </w:r>
      <w:r>
        <w:t xml:space="preserve">Retained while your account is active. Deleted within 90 days of account termination (after the 30-day export window).</w:t>
      </w:r>
    </w:p>
    <w:p>
      <w:pPr>
        <w:pStyle w:val="ListParagraph"/>
        <w:numPr>
          <w:ilvl w:val="0"/>
          <w:numId w:val="2"/>
        </w:numPr>
        <w:spacing w:after="80"/>
      </w:pPr>
      <w:r>
        <w:rPr>
          <w:b/>
          <w:bCs/>
        </w:rPr>
        <w:t xml:space="preserve">Technical logs: </w:t>
      </w:r>
      <w:r>
        <w:t xml:space="preserve">Retained for up to 12 months for security and debugging purposes.</w:t>
      </w:r>
    </w:p>
    <w:p>
      <w:pPr>
        <w:pStyle w:val="ListParagraph"/>
        <w:numPr>
          <w:ilvl w:val="0"/>
          <w:numId w:val="2"/>
        </w:numPr>
        <w:spacing w:after="80"/>
      </w:pPr>
      <w:r>
        <w:rPr>
          <w:b/>
          <w:bCs/>
        </w:rPr>
        <w:t xml:space="preserve">Billing records: </w:t>
      </w:r>
      <w:r>
        <w:t xml:space="preserve">Retained as required by tax and accounting laws (typically 7 years).</w:t>
      </w:r>
    </w:p>
    <w:p>
      <w:pPr>
        <w:spacing w:after="160"/>
      </w:pPr>
    </w:p>
    <w:p>
      <w:pPr>
        <w:pStyle w:val="Heading1"/>
        <w:spacing w:before="360" w:after="200"/>
      </w:pPr>
      <w:r>
        <w:t xml:space="preserve">8. Your Rights</w:t>
      </w:r>
    </w:p>
    <w:p>
      <w:pPr>
        <w:spacing w:after="160"/>
      </w:pPr>
      <w:r>
        <w:t xml:space="preserve">Under the GDPR and applicable data protection laws, you have the following rights:</w:t>
      </w:r>
    </w:p>
    <w:p>
      <w:pPr>
        <w:pStyle w:val="ListParagraph"/>
        <w:numPr>
          <w:ilvl w:val="0"/>
          <w:numId w:val="2"/>
        </w:numPr>
        <w:spacing w:after="80"/>
      </w:pPr>
      <w:r>
        <w:rPr>
          <w:b/>
          <w:bCs/>
        </w:rPr>
        <w:t xml:space="preserve">Access: </w:t>
      </w:r>
      <w:r>
        <w:t xml:space="preserve">Request a copy of the personal data we hold about you.</w:t>
      </w:r>
    </w:p>
    <w:p>
      <w:pPr>
        <w:pStyle w:val="ListParagraph"/>
        <w:numPr>
          <w:ilvl w:val="0"/>
          <w:numId w:val="2"/>
        </w:numPr>
        <w:spacing w:after="80"/>
      </w:pPr>
      <w:r>
        <w:rPr>
          <w:b/>
          <w:bCs/>
        </w:rPr>
        <w:t xml:space="preserve">Rectification: </w:t>
      </w:r>
      <w:r>
        <w:t xml:space="preserve">Request correction of inaccurate or incomplete data.</w:t>
      </w:r>
    </w:p>
    <w:p>
      <w:pPr>
        <w:pStyle w:val="ListParagraph"/>
        <w:numPr>
          <w:ilvl w:val="0"/>
          <w:numId w:val="2"/>
        </w:numPr>
        <w:spacing w:after="80"/>
      </w:pPr>
      <w:r>
        <w:rPr>
          <w:b/>
          <w:bCs/>
        </w:rPr>
        <w:t xml:space="preserve">Erasure: </w:t>
      </w:r>
      <w:r>
        <w:t xml:space="preserve">Request deletion of your personal data (“right to be forgotten”), subject to legal retention requirements.</w:t>
      </w:r>
    </w:p>
    <w:p>
      <w:pPr>
        <w:pStyle w:val="ListParagraph"/>
        <w:numPr>
          <w:ilvl w:val="0"/>
          <w:numId w:val="2"/>
        </w:numPr>
        <w:spacing w:after="80"/>
      </w:pPr>
      <w:r>
        <w:rPr>
          <w:b/>
          <w:bCs/>
        </w:rPr>
        <w:t xml:space="preserve">Data portability: </w:t>
      </w:r>
      <w:r>
        <w:t xml:space="preserve">Request your data in a structured, machine-readable format. The Service provides CSV export functionality for this purpose.</w:t>
      </w:r>
    </w:p>
    <w:p>
      <w:pPr>
        <w:pStyle w:val="ListParagraph"/>
        <w:numPr>
          <w:ilvl w:val="0"/>
          <w:numId w:val="2"/>
        </w:numPr>
        <w:spacing w:after="80"/>
      </w:pPr>
      <w:r>
        <w:rPr>
          <w:b/>
          <w:bCs/>
        </w:rPr>
        <w:t xml:space="preserve">Restriction: </w:t>
      </w:r>
      <w:r>
        <w:t xml:space="preserve">Request that we restrict processing of your data in certain circumstances.</w:t>
      </w:r>
    </w:p>
    <w:p>
      <w:pPr>
        <w:pStyle w:val="ListParagraph"/>
        <w:numPr>
          <w:ilvl w:val="0"/>
          <w:numId w:val="2"/>
        </w:numPr>
        <w:spacing w:after="80"/>
      </w:pPr>
      <w:r>
        <w:rPr>
          <w:b/>
          <w:bCs/>
        </w:rPr>
        <w:t xml:space="preserve">Objection: </w:t>
      </w:r>
      <w:r>
        <w:t xml:space="preserve">Object to processing based on legitimate interests.</w:t>
      </w:r>
    </w:p>
    <w:p>
      <w:pPr>
        <w:pStyle w:val="ListParagraph"/>
        <w:numPr>
          <w:ilvl w:val="0"/>
          <w:numId w:val="2"/>
        </w:numPr>
        <w:spacing w:after="80"/>
      </w:pPr>
      <w:r>
        <w:rPr>
          <w:b/>
          <w:bCs/>
        </w:rPr>
        <w:t xml:space="preserve">Withdraw consent: </w:t>
      </w:r>
      <w:r>
        <w:t xml:space="preserve">Where processing is based on consent, withdraw it at any time without affecting prior processing.</w:t>
      </w:r>
    </w:p>
    <w:p>
      <w:pPr>
        <w:spacing w:after="80"/>
      </w:pPr>
    </w:p>
    <w:p>
      <w:pPr>
        <w:spacing w:after="160"/>
      </w:pPr>
      <w:r>
        <w:t xml:space="preserve">To exercise any of these rights, contact us at info@timelyops.com. We will respond within 30 days.</w:t>
      </w:r>
    </w:p>
    <w:p>
      <w:pPr>
        <w:spacing w:after="160"/>
      </w:pPr>
      <w:r>
        <w:t xml:space="preserve">You also have the right to lodge a complaint with a supervisory authority. In the Netherlands, this is the Autoriteit Persoonsgegevens (Dutch Data Protection Authority) at autoriteitpersoonsgegevens.nl.</w:t>
      </w:r>
    </w:p>
    <w:p>
      <w:pPr>
        <w:pStyle w:val="Heading1"/>
        <w:spacing w:before="360" w:after="200"/>
      </w:pPr>
      <w:r>
        <w:t xml:space="preserve">9. Data Security</w:t>
      </w:r>
    </w:p>
    <w:p>
      <w:pPr>
        <w:spacing w:after="160"/>
      </w:pPr>
      <w:r>
        <w:t xml:space="preserve">We implement appropriate technical and organizational measures to protect your data, including:</w:t>
      </w:r>
    </w:p>
    <w:p>
      <w:pPr>
        <w:pStyle w:val="ListParagraph"/>
        <w:numPr>
          <w:ilvl w:val="0"/>
          <w:numId w:val="2"/>
        </w:numPr>
        <w:spacing w:after="80"/>
      </w:pPr>
      <w:r>
        <w:t xml:space="preserve">Encryption in transit (TLS/HTTPS) and at rest</w:t>
      </w:r>
    </w:p>
    <w:p>
      <w:pPr>
        <w:pStyle w:val="ListParagraph"/>
        <w:numPr>
          <w:ilvl w:val="0"/>
          <w:numId w:val="2"/>
        </w:numPr>
        <w:spacing w:after="80"/>
      </w:pPr>
      <w:r>
        <w:t xml:space="preserve">Row-level security policies ensuring data isolation between organizations</w:t>
      </w:r>
    </w:p>
    <w:p>
      <w:pPr>
        <w:pStyle w:val="ListParagraph"/>
        <w:numPr>
          <w:ilvl w:val="0"/>
          <w:numId w:val="2"/>
        </w:numPr>
        <w:spacing w:after="80"/>
      </w:pPr>
      <w:r>
        <w:t xml:space="preserve">Role-based access controls (owner, manager, worker roles with different permission levels)</w:t>
      </w:r>
    </w:p>
    <w:p>
      <w:pPr>
        <w:pStyle w:val="ListParagraph"/>
        <w:numPr>
          <w:ilvl w:val="0"/>
          <w:numId w:val="2"/>
        </w:numPr>
        <w:spacing w:after="80"/>
      </w:pPr>
      <w:r>
        <w:t xml:space="preserve">One-time passcode authentication (no stored passwords)</w:t>
      </w:r>
    </w:p>
    <w:p>
      <w:pPr>
        <w:pStyle w:val="ListParagraph"/>
        <w:numPr>
          <w:ilvl w:val="0"/>
          <w:numId w:val="2"/>
        </w:numPr>
        <w:spacing w:after="80"/>
      </w:pPr>
      <w:r>
        <w:t xml:space="preserve">Regular security reviews and monitoring</w:t>
      </w:r>
    </w:p>
    <w:p>
      <w:pPr>
        <w:spacing w:after="80"/>
      </w:pPr>
    </w:p>
    <w:p>
      <w:pPr>
        <w:spacing w:after="160"/>
      </w:pPr>
      <w:r>
        <w:t xml:space="preserve">No system is completely secure. While we take reasonable precautions, we cannot guarantee absolute security of your data.</w:t>
      </w:r>
    </w:p>
    <w:p>
      <w:pPr>
        <w:pStyle w:val="Heading1"/>
        <w:spacing w:before="360" w:after="200"/>
      </w:pPr>
      <w:r>
        <w:t xml:space="preserve">10. Cookies and Local Storage</w:t>
      </w:r>
    </w:p>
    <w:p>
      <w:pPr>
        <w:spacing w:after="160"/>
      </w:pPr>
      <w:r>
        <w:t xml:space="preserve">The Service uses essential cookies and browser local storage for authentication and session management. These are strictly necessary for the Service to function and do not require consent under the ePrivacy Directive.</w:t>
      </w:r>
    </w:p>
    <w:p>
      <w:pPr>
        <w:spacing w:after="160"/>
      </w:pPr>
      <w:r>
        <w:t xml:space="preserve">We do not use advertising cookies, tracking pixels, or third-party analytics cookies. We do not engage in cross-site tracking.</w:t>
      </w:r>
    </w:p>
    <w:p>
      <w:pPr>
        <w:pStyle w:val="Heading1"/>
        <w:spacing w:before="360" w:after="200"/>
      </w:pPr>
      <w:r>
        <w:t xml:space="preserve">11. Children’s Privacy</w:t>
      </w:r>
    </w:p>
    <w:p>
      <w:pPr>
        <w:spacing w:after="160"/>
      </w:pPr>
      <w:r>
        <w:t xml:space="preserve">The Service is intended for business use by individuals aged 18 and older. We do not knowingly collect personal data from children under 18. If we become aware that we have collected data from a child, we will delete it promptly.</w:t>
      </w:r>
    </w:p>
    <w:p>
      <w:pPr>
        <w:pStyle w:val="Heading1"/>
        <w:spacing w:before="360" w:after="200"/>
      </w:pPr>
      <w:r>
        <w:t xml:space="preserve">12. Your Responsibilities as a Data Controller</w:t>
      </w:r>
    </w:p>
    <w:p>
      <w:pPr>
        <w:spacing w:after="160"/>
      </w:pPr>
      <w:r>
        <w:t xml:space="preserve">When you use TimelyOps to manage your clients’ data, you are the data controller for that data under the GDPR. This means you are responsible for:</w:t>
      </w:r>
    </w:p>
    <w:p>
      <w:pPr>
        <w:pStyle w:val="ListParagraph"/>
        <w:numPr>
          <w:ilvl w:val="0"/>
          <w:numId w:val="2"/>
        </w:numPr>
        <w:spacing w:after="80"/>
      </w:pPr>
      <w:r>
        <w:t xml:space="preserve">Having a lawful basis to collect and process your clients’ personal data</w:t>
      </w:r>
    </w:p>
    <w:p>
      <w:pPr>
        <w:pStyle w:val="ListParagraph"/>
        <w:numPr>
          <w:ilvl w:val="0"/>
          <w:numId w:val="2"/>
        </w:numPr>
        <w:spacing w:after="80"/>
      </w:pPr>
      <w:r>
        <w:t xml:space="preserve">Informing your clients about how their data is used, including that it is stored using the TimelyOps platform</w:t>
      </w:r>
    </w:p>
    <w:p>
      <w:pPr>
        <w:pStyle w:val="ListParagraph"/>
        <w:numPr>
          <w:ilvl w:val="0"/>
          <w:numId w:val="2"/>
        </w:numPr>
        <w:spacing w:after="80"/>
      </w:pPr>
      <w:r>
        <w:t xml:space="preserve">Responding to data access or deletion requests from your clients</w:t>
      </w:r>
    </w:p>
    <w:p>
      <w:pPr>
        <w:pStyle w:val="ListParagraph"/>
        <w:numPr>
          <w:ilvl w:val="0"/>
          <w:numId w:val="2"/>
        </w:numPr>
        <w:spacing w:after="80"/>
      </w:pPr>
      <w:r>
        <w:t xml:space="preserve">Ensuring the accuracy of client data you enter into the Service</w:t>
      </w:r>
    </w:p>
    <w:p>
      <w:pPr>
        <w:spacing w:after="80"/>
      </w:pPr>
    </w:p>
    <w:p>
      <w:pPr>
        <w:spacing w:after="160"/>
      </w:pPr>
      <w:r>
        <w:t xml:space="preserve">We will assist you in fulfilling your obligations as a data controller to the extent required by applicable law.</w:t>
      </w:r>
    </w:p>
    <w:p>
      <w:pPr>
        <w:pStyle w:val="Heading1"/>
        <w:spacing w:before="360" w:after="200"/>
      </w:pPr>
      <w:r>
        <w:t xml:space="preserve">13. Changes to This Privacy Policy</w:t>
      </w:r>
    </w:p>
    <w:p>
      <w:pPr>
        <w:spacing w:after="160"/>
      </w:pPr>
      <w:r>
        <w:t xml:space="preserve">We may update this Privacy Policy from time to time. We will notify you of material changes by email or through the Service at least 30 days before they take effect.</w:t>
      </w:r>
    </w:p>
    <w:p>
      <w:pPr>
        <w:spacing w:after="160"/>
      </w:pPr>
      <w:r>
        <w:t xml:space="preserve">The "Effective Date" at the top of this policy indicates when it was last updated.</w:t>
      </w:r>
    </w:p>
    <w:p>
      <w:pPr>
        <w:pStyle w:val="Heading1"/>
        <w:spacing w:before="360" w:after="200"/>
      </w:pPr>
      <w:r>
        <w:t xml:space="preserve">14. Contact Information</w:t>
      </w:r>
    </w:p>
    <w:p>
      <w:pPr>
        <w:spacing w:after="160"/>
      </w:pPr>
      <w:r>
        <w:t xml:space="preserve">For questions, concerns, or requests related to this Privacy Policy or your personal data, contact us:</w:t>
      </w:r>
    </w:p>
    <w:p>
      <w:pPr>
        <w:spacing w:after="80"/>
      </w:pPr>
      <w:r>
        <w:rPr>
          <w:b/>
          <w:bCs/>
        </w:rPr>
        <w:t xml:space="preserve">Email: </w:t>
      </w:r>
      <w:r>
        <w:t xml:space="preserve">info@timelyops.com</w:t>
      </w:r>
    </w:p>
    <w:p>
      <w:pPr>
        <w:spacing w:after="80"/>
      </w:pPr>
      <w:r>
        <w:rPr>
          <w:b/>
          <w:bCs/>
        </w:rPr>
        <w:t xml:space="preserve">Website: </w:t>
      </w:r>
      <w:r>
        <w:t xml:space="preserve">https://timelyops.com</w:t>
      </w:r>
    </w:p>
    <w:p>
      <w:pPr>
        <w:spacing w:after="200"/>
      </w:pPr>
      <w:r>
        <w:rPr>
          <w:b/>
          <w:bCs/>
        </w:rPr>
        <w:t xml:space="preserve">Location: </w:t>
      </w:r>
      <w:r>
        <w:t xml:space="preserve">The Netherlands</w:t>
      </w:r>
    </w:p>
    <w:p>
      <w:pPr>
        <w:pBdr>
          <w:top w:val="single" w:color="CCCCCC" w:sz="1" w:space="8"/>
        </w:pBdr>
        <w:spacing w:before="400"/>
        <w:jc w:val="center"/>
      </w:pPr>
      <w:r>
        <w:rPr>
          <w:i/>
          <w:iCs/>
          <w:color w:val="999999"/>
          <w:sz w:val="18"/>
          <w:szCs w:val="18"/>
        </w:rPr>
        <w:t xml:space="preserve">© 2026 TimelyOps.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2d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2026-03-20T10:40:40.212Z</dcterms:created>
  <dcterms:modified xsi:type="dcterms:W3CDTF">2026-03-20T10:40:40.212Z</dcterms:modified>
</cp:coreProperties>
</file>

<file path=docProps/custom.xml><?xml version="1.0" encoding="utf-8"?>
<Properties xmlns="http://schemas.openxmlformats.org/officeDocument/2006/custom-properties" xmlns:vt="http://schemas.openxmlformats.org/officeDocument/2006/docPropsVTypes"/>
</file>