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B7F24" w14:textId="24931668" w:rsidR="00F718B5" w:rsidRPr="009354E6" w:rsidRDefault="00AC00F1" w:rsidP="007326A6">
      <w:pPr>
        <w:pStyle w:val="Heading1"/>
        <w:jc w:val="center"/>
      </w:pPr>
      <w:r w:rsidRPr="00756C1A">
        <w:t>A stress-test o</w:t>
      </w:r>
      <w:r w:rsidR="00115ED5" w:rsidRPr="00756C1A">
        <w:t xml:space="preserve">f </w:t>
      </w:r>
      <w:r w:rsidR="005863F9">
        <w:t xml:space="preserve">the </w:t>
      </w:r>
      <w:r w:rsidR="00AF27E0">
        <w:t xml:space="preserve">Ahmedabad </w:t>
      </w:r>
      <w:r w:rsidR="005863F9">
        <w:t>Heat Action Plan</w:t>
      </w:r>
      <w:r w:rsidR="00115ED5" w:rsidRPr="00756C1A">
        <w:t xml:space="preserve"> </w:t>
      </w:r>
      <w:r w:rsidRPr="00756C1A">
        <w:t xml:space="preserve">under </w:t>
      </w:r>
      <w:r w:rsidR="005863F9">
        <w:t>climate change</w:t>
      </w:r>
    </w:p>
    <w:p w14:paraId="593A20DF" w14:textId="47E88D80" w:rsidR="00F718B5" w:rsidRPr="009354E6" w:rsidRDefault="00B10076" w:rsidP="007326A6">
      <w:pPr>
        <w:pStyle w:val="Heading2"/>
      </w:pPr>
      <w:r>
        <w:t>Introduction</w:t>
      </w:r>
    </w:p>
    <w:p w14:paraId="56A39F2C" w14:textId="4327C77D" w:rsidR="00F47AEB" w:rsidRDefault="0011537E" w:rsidP="002C32C8">
      <w:pPr>
        <w:jc w:val="both"/>
      </w:pPr>
      <w:r>
        <w:t>Heat waves</w:t>
      </w:r>
      <w:r w:rsidR="00870509">
        <w:t xml:space="preserve"> can cause a significant increase in morbidity and mortality in vulnerable populations.</w:t>
      </w:r>
      <w:r w:rsidR="005729B4">
        <w:fldChar w:fldCharType="begin" w:fldLock="1"/>
      </w:r>
      <w:r w:rsidR="00360B9A">
        <w:instrText>ADDIN CSL_CITATION { "citationItems" : [ { "id" : "ITEM-1", "itemData" : { "DOI" : "10.1186/1476-069X-8-40", "ISBN" : "1476-069X", "ISSN" : "1476-069X", "PMID" : "19758453", "abstract" : "BACKGROUND: This review examines recent evidence on mortality from elevated ambient temperature for studies published from January 2001 to December 2008. 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 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 CONCLUSION: Many of these outcomes and vulnerable subgroups have only been identified in recent studies and varied by location and study population. Thus, region-specific policies, especially in urban areas, are vital to the mitigation of heat-related deaths.", "author" : [ { "dropping-particle" : "", "family" : "Basu", "given" : "Rupa", "non-dropping-particle" : "", "parse-names" : false, "suffix" : "" } ], "container-title" : "Environmental Health", "id" : "ITEM-1", "issue" : "1", "issued" : { "date-parts" : [ [ "2009" ] ] }, "page" : "40", "title" : "High ambient temperature and mortality: a review of epidemiologic studies from 2001 to 2008", "type" : "article-journal", "volume" : "8" }, "uris" : [ "http://www.mendeley.com/documents/?uuid=421348e3-9c5b-4a0a-8b9d-56fb708e348d", "http://www.mendeley.com/documents/?uuid=4a3c238b-f19d-4589-ab7d-38cd7a1ebe34" ] }, { "id" : "ITEM-2", "itemData" : { "DOI" : "10.1289/ehp.1003198", "ISSN" : "1552-9924", "PMID" : "21824855", "abstract" : "OBJECTIVE: In this paper, we review the epidemiological evidence on the relationship between ambient temperature and morbidity. We assessed the methodological issues in previous studies and proposed future research directions.\\n\\nDATA SOURCES AND DATA EXTRACTION: We searched the PubMed database for epidemiological studies on ambient temperature and morbidity of noncommunicable diseases published in refereed English journals before 30 June 2010. Forty relevant studies were identified. Of these, 24 examined the relationship between ambient temperature and morbidity, 15 investigated the short-term effects of heat wave on morbidity, and 1 assessed both temperature and heat wave effects.\\n\\nDATA SYNTHESIS: Descriptive and time-series studies were the two main research designs used to investigate the temperature-morbidity relationship. Measurements of temperature exposure and health outcomes used in these studies differed widely. The majority of studies reported a significant relationship between ambient temperature and total or cause-specific morbidities. However, there were some inconsistencies in the direction and magnitude of nonlinear lag effects. The lag effect of hot temperature on morbidity was shorter (several days) compared with that of cold temperature (up to a few weeks). The temperature-morbidity relationship may be confounded or modified by sociodemographic factors and air pollution.\\n\\nCONCLUSIONS: There is a significant short-term effect of ambient temperature on total and cause-specific morbidities. However, further research is needed to determine an appropriate temperature measure, consider a diverse range of morbidities, and to use consistent methodology to make different studies more comparable.", "author" : [ { "dropping-particle" : "", "family" : "Ye", "given" : "Xiaofang", "non-dropping-particle" : "", "parse-names" : false, "suffix" : "" }, { "dropping-particle" : "", "family" : "Wolff", "given" : "Rodney", "non-dropping-particle" : "", "parse-names" : false, "suffix" : "" }, { "dropping-particle" : "", "family" : "Yu", "given" : "Weiwei", "non-dropping-particle" : "", "parse-names" : false, "suffix" : "" }, { "dropping-particle" : "", "family" : "Vaneckova", "given" : "Pavla", "non-dropping-particle" : "", "parse-names" : false, "suffix" : "" }, { "dropping-particle" : "", "family" : "Pan", "given" : "Xiaochuan", "non-dropping-particle" : "", "parse-names" : false, "suffix" : "" }, { "dropping-particle" : "", "family" : "Tong", "given" : "Shilu", "non-dropping-particle" : "", "parse-names" : false, "suffix" : "" } ], "container-title" : "Environmental health perspectives", "id" : "ITEM-2", "issue" : "1", "issued" : { "date-parts" : [ [ "2012" ] ] }, "page" : "19-28", "title" : "Ambient temperature and morbidity: a review of epidemiological evidence.", "type" : "article-journal", "volume" : "120" }, "uris" : [ "http://www.mendeley.com/documents/?uuid=6b3bd029-0525-40b3-b338-f61a17bc6b43", "http://www.mendeley.com/documents/?uuid=f019dc8d-900c-43aa-962b-b66d8768a4af" ] } ], "mendeley" : { "formattedCitation" : "&lt;sup&gt;1,2&lt;/sup&gt;", "plainTextFormattedCitation" : "1,2", "previouslyFormattedCitation" : "&lt;sup&gt;1,2&lt;/sup&gt;" }, "properties" : { "noteIndex" : 0 }, "schema" : "https://github.com/citation-style-language/schema/raw/master/csl-citation.json" }</w:instrText>
      </w:r>
      <w:r w:rsidR="005729B4">
        <w:fldChar w:fldCharType="separate"/>
      </w:r>
      <w:r w:rsidR="00D032F7" w:rsidRPr="00D032F7">
        <w:rPr>
          <w:noProof/>
          <w:vertAlign w:val="superscript"/>
        </w:rPr>
        <w:t>1,2</w:t>
      </w:r>
      <w:r w:rsidR="005729B4">
        <w:fldChar w:fldCharType="end"/>
      </w:r>
      <w:r w:rsidR="005729B4">
        <w:t xml:space="preserve"> </w:t>
      </w:r>
      <w:r w:rsidR="00870509">
        <w:t xml:space="preserve">In response, many </w:t>
      </w:r>
      <w:r w:rsidR="00622BCA">
        <w:t>national</w:t>
      </w:r>
      <w:r w:rsidR="00870509">
        <w:t xml:space="preserve"> and </w:t>
      </w:r>
      <w:r w:rsidR="00A23E5A">
        <w:t>regional</w:t>
      </w:r>
      <w:r w:rsidR="00870509">
        <w:t xml:space="preserve"> administrations have developed </w:t>
      </w:r>
      <w:r w:rsidR="0012444D">
        <w:t>their own</w:t>
      </w:r>
      <w:r w:rsidR="00870509">
        <w:t xml:space="preserve"> </w:t>
      </w:r>
      <w:r w:rsidR="00923C53">
        <w:t>h</w:t>
      </w:r>
      <w:r w:rsidR="0073173F">
        <w:t>eat</w:t>
      </w:r>
      <w:r w:rsidR="00923C53">
        <w:t xml:space="preserve"> h</w:t>
      </w:r>
      <w:r w:rsidR="007F0AA4">
        <w:t xml:space="preserve">ealth </w:t>
      </w:r>
      <w:r w:rsidR="00764BA5">
        <w:t>warning systems and action plans</w:t>
      </w:r>
      <w:r w:rsidR="00923C53">
        <w:t xml:space="preserve"> </w:t>
      </w:r>
      <w:r w:rsidR="00195B94">
        <w:t xml:space="preserve">designed to minimise </w:t>
      </w:r>
      <w:r w:rsidR="00B106AC">
        <w:t xml:space="preserve">extreme heat </w:t>
      </w:r>
      <w:r w:rsidR="00195B94">
        <w:t xml:space="preserve">exposure of </w:t>
      </w:r>
      <w:r w:rsidR="00A14FA4">
        <w:t>the most vulnerable</w:t>
      </w:r>
      <w:r w:rsidR="005922C7">
        <w:t>.</w:t>
      </w:r>
      <w:r w:rsidR="007564AF">
        <w:fldChar w:fldCharType="begin" w:fldLock="1"/>
      </w:r>
      <w:r w:rsidR="00CA052B">
        <w:instrText>ADDIN CSL_CITATION { "citationItems" : [ { "id" : "ITEM-1", "itemData" : { "DOI" : "10.3390/ijerph8124623", "ISBN" : "1661-7827", "ISSN" : "16604601", "PMID" : "22408593", "abstract" : "INTRODUCTION: With climate change, there has been an increase in the frequency, intensity and duration of heatwave events. In response to the devastating mortality and morbidity of recent heatwave events, many countries have introduced heatwave early warning systems (HEWS). HEWS are designed to reduce the avoidable human health consequences of heatwaves through timely notification of prevention measures to vulnerable populations.\\n\\nOBJECTIVE: To identify the key characteristics of HEWS in European countries to help inform modification of current, and development of, new systems and plans.\\n\\nMETHODS: We searched the internet to identify HEWS policy or government documents for 33 European countries and requested information from relevant organizations. We translated the HEWS documents and extracted details on the trigger indicators, thresholds for action, notification strategies, message intermediaries, communication and dissemination strategies, prevention strategies recommended and specified target audiences.\\n\\nFINDINGS AND CONCLUSIONS: Twelve European countries have HEWS. Although there are many similarities among the HEWS, there also are differences in key characteristics that could inform improvements in heatwave early warning plans.", "author" : [ { "dropping-particle" : "", "family" : "Lowe", "given" : "Dianne", "non-dropping-particle" : "", "parse-names" : false, "suffix" : "" }, { "dropping-particle" : "", "family" : "Ebi", "given" : "Kristie L.", "non-dropping-particle" : "", "parse-names" : false, "suffix" : "" }, { "dropping-particle" : "", "family" : "Forsberg", "given" : "Bertil", "non-dropping-particle" : "", "parse-names" : false, "suffix" : "" } ], "container-title" : "International Journal of Environmental Research and Public Health", "id" : "ITEM-1", "issue" : "12", "issued" : { "date-parts" : [ [ "2011" ] ] }, "page" : "4623-4648", "title" : "Heatwave early warning systems and adaptation advice to reduce human health consequences of heatwaves", "type" : "article-journal", "volume" : "8" }, "uris" : [ "http://www.mendeley.com/documents/?uuid=b2afd8b2-7c75-4ec2-b459-99fb371e5965" ] }, { "id" : "ITEM-2", "itemData" : { "DOI" : "10.3390/ijerph13020206", "ISBN" : "10.3390/ijerph13020206", "ISSN" : "16604601", "PMID" : "26861369", "abstract" : "Heat waves have been responsible for more fatalities in Europe over the past decades than any other extreme weather event. However, temperature-related illnesses and deaths are largely preventable. Reliable sub-seasonal-to-seasonal (S2S) climate forecasts of extreme temperatures could allow for better short-to-medium-term resource management within heat-health action plans, to protect vulnerable populations and ensure access to preventive measures well in advance. The objective of this study is to assess the extent to which S2S climate forecasts could be incorporated into heat-health action plans, to support timely public health decision-making ahead of imminent heat wave events in Europe. Forecasts of apparent temperature at different lead times (e.g., 1 day, 4 days, 8 days, up to 3 months) were used in a mortality model to produce probabilistic mortality forecasts up to several months ahead of the 2003 heat wave event in Europe. Results were compared to mortality predictions, inferred using observed apparent temperature data in the mortality model. In general, we found a decreasing transition in skill between excellent predictions when using observed temperature, to predictions with no skill when using forecast temperature with lead times greater than one week. However, even at lead-times up to three months, there were some regions in Spain and the United Kingdom where excess mortality was detected with some certainty. This suggests that in some areas of Europe, there is potential for S2S climate forecasts to be incorporated in localised heat-health action plans. In general, these results show that the performance of this climate service framework is not limited by the mortality model itself, but rather by the predictability of the climate variables, at S2S time scales, over Europe.", "author" : [ { "dropping-particle" : "", "family" : "Lowe", "given" : "Rachel", "non-dropping-particle" : "", "parse-names" : false, "suffix" : "" }, { "dropping-particle" : "", "family" : "Garc\u00eda-D\u00edez", "given" : "Markel", "non-dropping-particle" : "", "parse-names" : false, "suffix" : "" }, { "dropping-particle" : "", "family" : "Ballester", "given" : "Joan", "non-dropping-particle" : "", "parse-names" : false, "suffix" : "" }, { "dropping-particle" : "", "family" : "Creswick", "given" : "James", "non-dropping-particle" : "", "parse-names" : false, "suffix" : "" }, { "dropping-particle" : "", "family" : "Robine", "given" : "Jean Marie", "non-dropping-particle" : "", "parse-names" : false, "suffix" : "" }, { "dropping-particle" : "", "family" : "Herrmann", "given" : "Fran\u00e7ois R.", "non-dropping-particle" : "", "parse-names" : false, "suffix" : "" }, { "dropping-particle" : "", "family" : "Rod\u00f3", "given" : "Xavier", "non-dropping-particle" : "", "parse-names" : false, "suffix" : "" } ], "container-title" : "International Journal of Environmental Research and Public Health", "id" : "ITEM-2", "issue" : "2", "issued" : { "date-parts" : [ [ "2016" ] ] }, "title" : "Evaluation of an early-warning system for heat wave-related mortality in Europe: Implications for sub-seasonal to seasonal forecasting and climate services", "type" : "article-journal", "volume" : "13" }, "uris" : [ "http://www.mendeley.com/documents/?uuid=7a393bcf-8dc4-4fba-a81c-991113b2c1fa" ] } ], "mendeley" : { "formattedCitation" : "&lt;sup&gt;3,4&lt;/sup&gt;", "plainTextFormattedCitation" : "3,4", "previouslyFormattedCitation" : "&lt;sup&gt;3,4&lt;/sup&gt;" }, "properties" : { "noteIndex" : 0 }, "schema" : "https://github.com/citation-style-language/schema/raw/master/csl-citation.json" }</w:instrText>
      </w:r>
      <w:r w:rsidR="007564AF">
        <w:fldChar w:fldCharType="separate"/>
      </w:r>
      <w:r w:rsidR="007564AF" w:rsidRPr="007564AF">
        <w:rPr>
          <w:noProof/>
          <w:vertAlign w:val="superscript"/>
        </w:rPr>
        <w:t>3,4</w:t>
      </w:r>
      <w:r w:rsidR="007564AF">
        <w:fldChar w:fldCharType="end"/>
      </w:r>
    </w:p>
    <w:p w14:paraId="14230ACD" w14:textId="77777777" w:rsidR="00A62542" w:rsidRDefault="00A62542" w:rsidP="002C32C8">
      <w:pPr>
        <w:jc w:val="both"/>
      </w:pPr>
    </w:p>
    <w:p w14:paraId="0191865B" w14:textId="0B9D2247" w:rsidR="00A7417C" w:rsidRDefault="0011537E" w:rsidP="002C32C8">
      <w:pPr>
        <w:jc w:val="both"/>
      </w:pPr>
      <w:r>
        <w:t>Heat waves</w:t>
      </w:r>
      <w:r w:rsidR="00A62542">
        <w:t xml:space="preserve">, </w:t>
      </w:r>
      <w:r w:rsidR="00BC149E">
        <w:t xml:space="preserve">however </w:t>
      </w:r>
      <w:r w:rsidR="00FF6A23">
        <w:t>reasonably defined</w:t>
      </w:r>
      <w:r w:rsidR="00A62542">
        <w:t>, are expected to increase in frequency</w:t>
      </w:r>
      <w:r w:rsidR="00235E78">
        <w:t xml:space="preserve"> and duration </w:t>
      </w:r>
      <w:r w:rsidR="00F41FDA">
        <w:t xml:space="preserve">over the next century </w:t>
      </w:r>
      <w:r w:rsidR="00235E78">
        <w:t>under all viable future climate change scenarios.</w:t>
      </w:r>
      <w:r w:rsidR="00CA052B">
        <w:fldChar w:fldCharType="begin" w:fldLock="1"/>
      </w:r>
      <w:r w:rsidR="000F3A6A">
        <w:instrText>ADDIN CSL_CITATION { "citationItems" : [ { "id" : "ITEM-1",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"CEUR Workshop Proceedings", "id" : "ITEM-1", "issued" : { "date-parts" : [ [ "2015" ] ] }, "page" : "33-36", "title" : "Summary for Policymakers. In: Climate Change 2013: The Physical Science Basis. Contribution of Working Group I to the Fifth Assessment Report of the Intergovernmental Panel on Climate Change", "type" : "article-journal", "volume" : "1542" }, "uris" : [ "http://www.mendeley.com/documents/?uuid=df62b8c0-e806-4b2c-943c-a8b841d628ac" ] } ], "mendeley" : { "formattedCitation" : "&lt;sup&gt;5&lt;/sup&gt;", "plainTextFormattedCitation" : "5", "previouslyFormattedCitation" : "&lt;sup&gt;5&lt;/sup&gt;" }, "properties" : { "noteIndex" : 0 }, "schema" : "https://github.com/citation-style-language/schema/raw/master/csl-citation.json" }</w:instrText>
      </w:r>
      <w:r w:rsidR="00CA052B">
        <w:fldChar w:fldCharType="separate"/>
      </w:r>
      <w:r w:rsidR="00CA052B" w:rsidRPr="00CA052B">
        <w:rPr>
          <w:noProof/>
          <w:vertAlign w:val="superscript"/>
        </w:rPr>
        <w:t>5</w:t>
      </w:r>
      <w:r w:rsidR="00CA052B">
        <w:fldChar w:fldCharType="end"/>
      </w:r>
      <w:r w:rsidR="0073173F">
        <w:t xml:space="preserve"> This casts a special focus on how </w:t>
      </w:r>
      <w:r w:rsidR="0071418E">
        <w:t xml:space="preserve">action plans </w:t>
      </w:r>
      <w:r w:rsidR="0073173F">
        <w:t>are</w:t>
      </w:r>
      <w:r w:rsidR="002C636B">
        <w:t xml:space="preserve"> designed and equipped to </w:t>
      </w:r>
      <w:r w:rsidR="00BB55F7">
        <w:t>handle</w:t>
      </w:r>
      <w:r w:rsidR="00541922">
        <w:t xml:space="preserve"> </w:t>
      </w:r>
      <w:r>
        <w:t>heat wave</w:t>
      </w:r>
      <w:r w:rsidR="00E628EF">
        <w:t>s</w:t>
      </w:r>
      <w:r w:rsidR="00645F93">
        <w:t xml:space="preserve"> in the next century</w:t>
      </w:r>
      <w:r w:rsidR="00E628EF">
        <w:t>.</w:t>
      </w:r>
      <w:r w:rsidR="001C778E">
        <w:t xml:space="preserve"> I</w:t>
      </w:r>
      <w:r w:rsidR="00BF3CD7">
        <w:t>t is</w:t>
      </w:r>
      <w:r w:rsidR="001C778E">
        <w:t xml:space="preserve"> </w:t>
      </w:r>
      <w:r w:rsidR="00644A7E">
        <w:t>thus</w:t>
      </w:r>
      <w:r w:rsidR="006803F3">
        <w:t xml:space="preserve"> </w:t>
      </w:r>
      <w:r w:rsidR="00CE1F3A">
        <w:t>incumbent on</w:t>
      </w:r>
      <w:r w:rsidR="00805C1D">
        <w:t xml:space="preserve"> those in the </w:t>
      </w:r>
      <w:r w:rsidR="00ED4D78">
        <w:t>climate and health</w:t>
      </w:r>
      <w:r w:rsidR="00805C1D">
        <w:t xml:space="preserve"> </w:t>
      </w:r>
      <w:r w:rsidR="00E93B1A">
        <w:t xml:space="preserve">research communities to scrutinise the </w:t>
      </w:r>
      <w:r w:rsidR="007138A7">
        <w:t xml:space="preserve">limits and </w:t>
      </w:r>
      <w:r w:rsidR="001C778E">
        <w:t>tolerance level</w:t>
      </w:r>
      <w:r w:rsidR="00E93B1A">
        <w:t>s</w:t>
      </w:r>
      <w:r w:rsidR="0073039A">
        <w:t xml:space="preserve"> of such plans</w:t>
      </w:r>
      <w:r w:rsidR="00C96B61">
        <w:t xml:space="preserve">, and to understand how </w:t>
      </w:r>
      <w:r w:rsidR="00155080">
        <w:t xml:space="preserve">prepared </w:t>
      </w:r>
      <w:r w:rsidR="00952122">
        <w:t>we will need to be for</w:t>
      </w:r>
      <w:r w:rsidR="00155080">
        <w:t xml:space="preserve"> future</w:t>
      </w:r>
      <w:r>
        <w:t xml:space="preserve"> heat waves</w:t>
      </w:r>
      <w:r w:rsidR="008278D1">
        <w:t>.</w:t>
      </w:r>
    </w:p>
    <w:p w14:paraId="46DC1000" w14:textId="77777777" w:rsidR="00A7417C" w:rsidRDefault="00A7417C" w:rsidP="002C32C8">
      <w:pPr>
        <w:jc w:val="both"/>
      </w:pPr>
    </w:p>
    <w:p w14:paraId="0D9E362F" w14:textId="3A484495" w:rsidR="00CB71E1" w:rsidRDefault="00725260" w:rsidP="002C32C8">
      <w:pPr>
        <w:jc w:val="both"/>
      </w:pPr>
      <w:r>
        <w:t>In our analysis, w</w:t>
      </w:r>
      <w:r w:rsidR="00201E5C">
        <w:t>e</w:t>
      </w:r>
      <w:r w:rsidR="00F30227">
        <w:t xml:space="preserve"> </w:t>
      </w:r>
      <w:r>
        <w:t>‘</w:t>
      </w:r>
      <w:r w:rsidR="00F30227">
        <w:t>stress-test</w:t>
      </w:r>
      <w:r>
        <w:t>’</w:t>
      </w:r>
      <w:r w:rsidR="00595B6E">
        <w:t xml:space="preserve"> a </w:t>
      </w:r>
      <w:r>
        <w:t xml:space="preserve">representative </w:t>
      </w:r>
      <w:r w:rsidR="00595B6E">
        <w:t xml:space="preserve">selection of </w:t>
      </w:r>
      <w:r w:rsidR="00FB6B9E">
        <w:t>warning system and action plans</w:t>
      </w:r>
      <w:r w:rsidR="001C778E">
        <w:t>. By using a fu</w:t>
      </w:r>
      <w:r w:rsidR="00B37009">
        <w:t>ture global climate projections</w:t>
      </w:r>
      <w:r w:rsidR="00D72B71">
        <w:t xml:space="preserve"> of the 21</w:t>
      </w:r>
      <w:r w:rsidR="00D72B71" w:rsidRPr="00D72B71">
        <w:rPr>
          <w:vertAlign w:val="superscript"/>
        </w:rPr>
        <w:t>st</w:t>
      </w:r>
      <w:r w:rsidR="002E14EA">
        <w:t xml:space="preserve"> centu</w:t>
      </w:r>
      <w:r w:rsidR="00D72B71">
        <w:t>ry</w:t>
      </w:r>
      <w:r w:rsidR="001C778E">
        <w:t xml:space="preserve"> </w:t>
      </w:r>
      <w:r w:rsidR="00B37009">
        <w:t>in conjunction with</w:t>
      </w:r>
      <w:r w:rsidR="00633F4E">
        <w:t xml:space="preserve"> thresholds explicit in </w:t>
      </w:r>
      <w:r w:rsidR="00956A91">
        <w:t xml:space="preserve">identified </w:t>
      </w:r>
      <w:r w:rsidR="00633F4E">
        <w:t>warning systems</w:t>
      </w:r>
      <w:r w:rsidR="00F82E2F">
        <w:t>, we w</w:t>
      </w:r>
      <w:r w:rsidR="00661174">
        <w:t xml:space="preserve">ill </w:t>
      </w:r>
      <w:r w:rsidR="009A03AD">
        <w:t xml:space="preserve">assess the number of times </w:t>
      </w:r>
      <w:r w:rsidR="0072443D">
        <w:t xml:space="preserve">actions plans will need to be </w:t>
      </w:r>
      <w:r w:rsidR="0064386E">
        <w:t>implemented</w:t>
      </w:r>
      <w:r w:rsidR="00B95F5C">
        <w:t>, as well as how exposure to alert days are projected to change by using population projections</w:t>
      </w:r>
      <w:r w:rsidR="007C3B9D">
        <w:t>.</w:t>
      </w:r>
    </w:p>
    <w:p w14:paraId="3BB87E84" w14:textId="77777777" w:rsidR="000C4ED8" w:rsidRDefault="000C4ED8" w:rsidP="002C32C8">
      <w:pPr>
        <w:jc w:val="both"/>
      </w:pPr>
    </w:p>
    <w:p w14:paraId="42116937" w14:textId="71C2600E" w:rsidR="006A591E" w:rsidRDefault="000C4ED8" w:rsidP="002C32C8">
      <w:pPr>
        <w:jc w:val="both"/>
      </w:pPr>
      <w:r>
        <w:t xml:space="preserve">This </w:t>
      </w:r>
      <w:r w:rsidR="002C691B">
        <w:t>study will</w:t>
      </w:r>
      <w:r>
        <w:t xml:space="preserve"> </w:t>
      </w:r>
      <w:r w:rsidR="009C0D6E">
        <w:t xml:space="preserve">provide </w:t>
      </w:r>
      <w:r>
        <w:t xml:space="preserve">a quantitative </w:t>
      </w:r>
      <w:r w:rsidR="00AF127D">
        <w:t xml:space="preserve">framework </w:t>
      </w:r>
      <w:r w:rsidR="00E6752F">
        <w:t>on the requirements of</w:t>
      </w:r>
      <w:r w:rsidR="00AF127D">
        <w:t xml:space="preserve"> future </w:t>
      </w:r>
      <w:r w:rsidR="00244D2A">
        <w:t>action, in terms of financial and human cost</w:t>
      </w:r>
      <w:r w:rsidR="00E33BFE">
        <w:t>.</w:t>
      </w:r>
      <w:r w:rsidR="007F0E2A" w:rsidRPr="00F929CA">
        <w:t xml:space="preserve"> </w:t>
      </w:r>
      <w:r w:rsidR="007C3B9D">
        <w:t xml:space="preserve">The aim </w:t>
      </w:r>
      <w:r w:rsidR="004E661F">
        <w:t xml:space="preserve">of the study is </w:t>
      </w:r>
      <w:r w:rsidR="007C3B9D">
        <w:t>to judge the feasibility of such action plans under projected climate change.</w:t>
      </w:r>
      <w:r w:rsidR="00B1632F">
        <w:t xml:space="preserve"> The aim is also to highlight the importance of iterating </w:t>
      </w:r>
      <w:r w:rsidR="005A7DED">
        <w:t>Heat Health Warning Systems</w:t>
      </w:r>
      <w:r w:rsidR="00D961FB">
        <w:t xml:space="preserve"> </w:t>
      </w:r>
      <w:r w:rsidR="000C771B">
        <w:t>to adapt in order to become sustainable and consistently effective in the future.</w:t>
      </w:r>
      <w:r w:rsidR="000C771B">
        <w:fldChar w:fldCharType="begin" w:fldLock="1"/>
      </w:r>
      <w:r w:rsidR="00D7380F">
        <w:instrText>ADDIN CSL_CITATION { "citationItems" : [ { "id" : "ITEM-1", "itemData" : { "DOI" : "10.1111/nyas.13258", "ISSN" : "17496632", "PMID" : "27788557", "abstract" : "Extreme heat is a leading weather-related cause of morbidity and mortality, with heat exposure becoming more widespread, frequent, and intense as climates change. The use of heat early warning and response systems (HEWSs) that integrate weather forecasts with risk assessment, communication, and reduction activities is increasingly widespread. HEWSs are frequently touted as an adaptation to climate change, but little attention has been paid to the question of how best to ensure effectiveness of HEWSs as climates change further. In this paper, we discuss findings showing that HEWSs satisfy the tenets of an intervention that facilitates adaptation, but climate change poses challenges infrequently addressed in heat action plans, particularly changes in the onset, duration, and intensity of dangerously warm temperatures, and changes over time in the relationships between temperature and health outcomes. Iterative management should be central to a HEWS, and iteration cycles should be of 5 years or less. Climate change adaptation and implementation science research frameworks can be used to identify HEWS modifications to improve their effectiveness as temperature continues to rise, incorporating scientific insights and new understanding of effective interventions. We conclude that, at a minimum, iterative management activities should involve planned reassessment at least every 5 years of hazard distribution, population-level vulnerability, and HEWS effectiveness.", "author" : [ { "dropping-particle" : "", "family" : "Hess", "given" : "Jeremy J.", "non-dropping-particle" : "", "parse-names" : false, "suffix" : "" }, { "dropping-particle" : "", "family" : "Ebi", "given" : "Kristie L.", "non-dropping-particle" : "", "parse-names" : false, "suffix" : "" } ], "container-title" : "Annals of the New York Academy of Sciences", "id" : "ITEM-1", "issued" : { "date-parts" : [ [ "2016" ] ] }, "page" : "21-30", "title" : "Iterative management of heat early warning systems in a changing climate", "type" : "article-newspaper" }, "uris" : [ "http://www.mendeley.com/documents/?uuid=8d1b8af1-24a0-4442-acfa-d751913b8bf4" ] } ], "mendeley" : { "formattedCitation" : "&lt;sup&gt;6&lt;/sup&gt;", "plainTextFormattedCitation" : "6", "previouslyFormattedCitation" : "&lt;sup&gt;6&lt;/sup&gt;" }, "properties" : { "noteIndex" : 0 }, "schema" : "https://github.com/citation-style-language/schema/raw/master/csl-citation.json" }</w:instrText>
      </w:r>
      <w:r w:rsidR="000C771B">
        <w:fldChar w:fldCharType="separate"/>
      </w:r>
      <w:r w:rsidR="000C771B" w:rsidRPr="000C771B">
        <w:rPr>
          <w:noProof/>
          <w:vertAlign w:val="superscript"/>
        </w:rPr>
        <w:t>6</w:t>
      </w:r>
      <w:r w:rsidR="000C771B">
        <w:fldChar w:fldCharType="end"/>
      </w:r>
    </w:p>
    <w:p w14:paraId="7E8ECBF9" w14:textId="77777777" w:rsidR="001A1DC9" w:rsidRDefault="001A1DC9" w:rsidP="002C32C8">
      <w:pPr>
        <w:jc w:val="both"/>
      </w:pPr>
    </w:p>
    <w:p w14:paraId="6C6B715D" w14:textId="4E9B573E" w:rsidR="000606A9" w:rsidRDefault="00E10CC8" w:rsidP="00A15D93">
      <w:pPr>
        <w:pStyle w:val="Heading2"/>
      </w:pPr>
      <w:r>
        <w:t>Ahmedabad Heat Action Plan</w:t>
      </w:r>
      <w:r w:rsidR="00A15D93">
        <w:t xml:space="preserve"> 2017</w:t>
      </w:r>
    </w:p>
    <w:p w14:paraId="6E8CC40C" w14:textId="77777777" w:rsidR="00A15D93" w:rsidRDefault="00A15D93" w:rsidP="00562640">
      <w:pPr>
        <w:widowControl w:val="0"/>
        <w:autoSpaceDE w:val="0"/>
        <w:autoSpaceDN w:val="0"/>
        <w:adjustRightInd w:val="0"/>
        <w:ind w:left="640" w:hanging="640"/>
        <w:jc w:val="both"/>
      </w:pPr>
    </w:p>
    <w:p w14:paraId="2F5C894C" w14:textId="554207A4" w:rsidR="00562640" w:rsidRDefault="003E1592" w:rsidP="000606A9">
      <w:pPr>
        <w:widowControl w:val="0"/>
        <w:autoSpaceDE w:val="0"/>
        <w:autoSpaceDN w:val="0"/>
        <w:adjustRightInd w:val="0"/>
        <w:ind w:left="640" w:hanging="640"/>
        <w:jc w:val="both"/>
      </w:pPr>
      <w:r>
        <w:t>T</w:t>
      </w:r>
      <w:r w:rsidR="000606A9" w:rsidRPr="000606A9">
        <w:t>he Ahmedabad Heat Action Plan</w:t>
      </w:r>
      <w:r w:rsidR="00FD4B86">
        <w:t xml:space="preserve"> 2017</w:t>
      </w:r>
      <w:r w:rsidR="000606A9" w:rsidRPr="000606A9">
        <w:fldChar w:fldCharType="begin" w:fldLock="1"/>
      </w:r>
      <w:r w:rsidR="00D7380F">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"&lt;sup&gt;7&lt;/sup&gt;", "plainTextFormattedCitation" : "7", "previouslyFormattedCitation" : "&lt;sup&gt;7&lt;/sup&gt;" }, "properties" : { "noteIndex" : 0 }, "schema" : "https://github.com/citation-style-language/schema/raw/master/csl-citation.json" }</w:instrText>
      </w:r>
      <w:r w:rsidR="000606A9" w:rsidRPr="000606A9">
        <w:fldChar w:fldCharType="separate"/>
      </w:r>
      <w:r w:rsidR="000C771B" w:rsidRPr="000C771B">
        <w:rPr>
          <w:noProof/>
          <w:vertAlign w:val="superscript"/>
        </w:rPr>
        <w:t>7</w:t>
      </w:r>
      <w:r w:rsidR="000606A9" w:rsidRPr="000606A9">
        <w:fldChar w:fldCharType="end"/>
      </w:r>
      <w:r>
        <w:t xml:space="preserve"> provides </w:t>
      </w:r>
      <w:r w:rsidR="000606A9" w:rsidRPr="000606A9">
        <w:t>warning thresholds</w:t>
      </w:r>
      <w:r>
        <w:t xml:space="preserve"> for maximum daily </w:t>
      </w:r>
      <w:r w:rsidR="000606A9" w:rsidRPr="000606A9">
        <w:t>temperature (</w:t>
      </w:r>
      <w:proofErr w:type="spellStart"/>
      <w:r w:rsidR="000606A9" w:rsidRPr="000606A9">
        <w:t>T</w:t>
      </w:r>
      <w:r w:rsidR="000606A9" w:rsidRPr="000606A9">
        <w:rPr>
          <w:vertAlign w:val="subscript"/>
        </w:rPr>
        <w:t>max</w:t>
      </w:r>
      <w:proofErr w:type="spellEnd"/>
      <w:r w:rsidR="000606A9">
        <w:t>)</w:t>
      </w:r>
      <w:r w:rsidR="000606A9" w:rsidRPr="000606A9">
        <w:t xml:space="preserve"> </w:t>
      </w:r>
      <w:r w:rsidR="00A15D93">
        <w:t>(</w:t>
      </w:r>
      <w:r w:rsidR="00A15D93">
        <w:fldChar w:fldCharType="begin"/>
      </w:r>
      <w:r w:rsidR="00A15D93">
        <w:instrText xml:space="preserve"> REF _Ref494986697 \h </w:instrText>
      </w:r>
      <w:r w:rsidR="00A15D93">
        <w:fldChar w:fldCharType="separate"/>
      </w:r>
      <w:r w:rsidR="00A15D93" w:rsidRPr="00D17881">
        <w:rPr>
          <w:color w:val="000000" w:themeColor="text1"/>
        </w:rPr>
        <w:t xml:space="preserve">Table </w:t>
      </w:r>
      <w:r w:rsidR="00A15D93" w:rsidRPr="00D17881">
        <w:rPr>
          <w:noProof/>
          <w:color w:val="000000" w:themeColor="text1"/>
        </w:rPr>
        <w:t>1</w:t>
      </w:r>
      <w:r w:rsidR="00A15D93">
        <w:fldChar w:fldCharType="end"/>
      </w:r>
      <w:r w:rsidR="000606A9">
        <w:t>):</w:t>
      </w:r>
    </w:p>
    <w:p w14:paraId="0C0BFEC8" w14:textId="77777777" w:rsidR="00562640" w:rsidRDefault="00562640" w:rsidP="002D40DB">
      <w:pPr>
        <w:widowControl w:val="0"/>
        <w:autoSpaceDE w:val="0"/>
        <w:autoSpaceDN w:val="0"/>
        <w:adjustRightInd w:val="0"/>
        <w:ind w:left="640" w:hanging="640"/>
        <w:jc w:val="center"/>
      </w:pPr>
    </w:p>
    <w:p w14:paraId="00900563" w14:textId="2E831F9D" w:rsidR="00074E9C" w:rsidRPr="00D17881" w:rsidRDefault="00074E9C" w:rsidP="00074E9C">
      <w:pPr>
        <w:pStyle w:val="Caption"/>
        <w:keepNext/>
        <w:jc w:val="center"/>
        <w:rPr>
          <w:color w:val="000000" w:themeColor="text1"/>
        </w:rPr>
      </w:pPr>
      <w:bookmarkStart w:id="0" w:name="_Ref494986697"/>
      <w:r w:rsidRPr="00D17881">
        <w:rPr>
          <w:color w:val="000000" w:themeColor="text1"/>
        </w:rPr>
        <w:t xml:space="preserve">Table </w:t>
      </w:r>
      <w:r w:rsidRPr="00D17881">
        <w:rPr>
          <w:color w:val="000000" w:themeColor="text1"/>
        </w:rPr>
        <w:fldChar w:fldCharType="begin"/>
      </w:r>
      <w:r w:rsidRPr="00D17881">
        <w:rPr>
          <w:color w:val="000000" w:themeColor="text1"/>
        </w:rPr>
        <w:instrText xml:space="preserve"> SEQ Table \* ARABIC </w:instrText>
      </w:r>
      <w:r w:rsidRPr="00D17881">
        <w:rPr>
          <w:color w:val="000000" w:themeColor="text1"/>
        </w:rPr>
        <w:fldChar w:fldCharType="separate"/>
      </w:r>
      <w:r w:rsidRPr="00D17881">
        <w:rPr>
          <w:noProof/>
          <w:color w:val="000000" w:themeColor="text1"/>
        </w:rPr>
        <w:t>1</w:t>
      </w:r>
      <w:r w:rsidRPr="00D17881">
        <w:rPr>
          <w:color w:val="000000" w:themeColor="text1"/>
        </w:rPr>
        <w:fldChar w:fldCharType="end"/>
      </w:r>
      <w:bookmarkEnd w:id="0"/>
      <w:r w:rsidRPr="00D17881">
        <w:rPr>
          <w:color w:val="000000" w:themeColor="text1"/>
        </w:rPr>
        <w:t>. Ahmedabad Heat Action Plan warning thresholds based on daily maximum temperatures</w:t>
      </w:r>
    </w:p>
    <w:tbl>
      <w:tblPr>
        <w:tblStyle w:val="TableGrid"/>
        <w:tblW w:w="0" w:type="auto"/>
        <w:jc w:val="center"/>
        <w:tblLook w:val="04A0" w:firstRow="1" w:lastRow="0" w:firstColumn="1" w:lastColumn="0" w:noHBand="0" w:noVBand="1"/>
      </w:tblPr>
      <w:tblGrid>
        <w:gridCol w:w="3003"/>
        <w:gridCol w:w="3003"/>
        <w:gridCol w:w="3004"/>
      </w:tblGrid>
      <w:tr w:rsidR="002D40DB" w14:paraId="79D8176F" w14:textId="77777777" w:rsidTr="002D40DB">
        <w:trPr>
          <w:jc w:val="center"/>
        </w:trPr>
        <w:tc>
          <w:tcPr>
            <w:tcW w:w="3003" w:type="dxa"/>
          </w:tcPr>
          <w:p w14:paraId="40776865" w14:textId="71CD4884" w:rsidR="002D40DB" w:rsidRPr="00CE6968" w:rsidRDefault="002D40DB" w:rsidP="002D40DB">
            <w:pPr>
              <w:widowControl w:val="0"/>
              <w:autoSpaceDE w:val="0"/>
              <w:autoSpaceDN w:val="0"/>
              <w:adjustRightInd w:val="0"/>
              <w:jc w:val="center"/>
              <w:rPr>
                <w:b/>
              </w:rPr>
            </w:pPr>
            <w:r w:rsidRPr="00CE6968">
              <w:rPr>
                <w:b/>
                <w:highlight w:val="yellow"/>
              </w:rPr>
              <w:t>Yellow alert</w:t>
            </w:r>
          </w:p>
        </w:tc>
        <w:tc>
          <w:tcPr>
            <w:tcW w:w="3003" w:type="dxa"/>
          </w:tcPr>
          <w:p w14:paraId="3FECC4AE" w14:textId="334D7699" w:rsidR="002D40DB" w:rsidRPr="002D40DB" w:rsidRDefault="002D40DB" w:rsidP="002D40DB">
            <w:pPr>
              <w:widowControl w:val="0"/>
              <w:autoSpaceDE w:val="0"/>
              <w:autoSpaceDN w:val="0"/>
              <w:adjustRightInd w:val="0"/>
              <w:jc w:val="center"/>
            </w:pPr>
            <w:r w:rsidRPr="002D40DB">
              <w:t>Hot Day Advisory</w:t>
            </w:r>
          </w:p>
        </w:tc>
        <w:tc>
          <w:tcPr>
            <w:tcW w:w="3004" w:type="dxa"/>
          </w:tcPr>
          <w:p w14:paraId="794226D1" w14:textId="68016A6A" w:rsidR="002D40DB" w:rsidRPr="002D40DB" w:rsidRDefault="002D40DB" w:rsidP="002D40DB">
            <w:pPr>
              <w:widowControl w:val="0"/>
              <w:autoSpaceDE w:val="0"/>
              <w:autoSpaceDN w:val="0"/>
              <w:adjustRightInd w:val="0"/>
              <w:jc w:val="center"/>
            </w:pPr>
            <w:r w:rsidRPr="002D40DB">
              <w:t>41.1-43°C</w:t>
            </w:r>
          </w:p>
        </w:tc>
      </w:tr>
      <w:tr w:rsidR="002D40DB" w14:paraId="2C07D3CD" w14:textId="77777777" w:rsidTr="002D40DB">
        <w:trPr>
          <w:jc w:val="center"/>
        </w:trPr>
        <w:tc>
          <w:tcPr>
            <w:tcW w:w="3003" w:type="dxa"/>
          </w:tcPr>
          <w:p w14:paraId="7207F2BC" w14:textId="32E674BC" w:rsidR="002D40DB" w:rsidRPr="00CE6968" w:rsidRDefault="002D40DB" w:rsidP="002D40DB">
            <w:pPr>
              <w:widowControl w:val="0"/>
              <w:autoSpaceDE w:val="0"/>
              <w:autoSpaceDN w:val="0"/>
              <w:adjustRightInd w:val="0"/>
              <w:jc w:val="center"/>
              <w:rPr>
                <w:b/>
              </w:rPr>
            </w:pPr>
            <w:r w:rsidRPr="006C12E4">
              <w:rPr>
                <w:b/>
                <w:color w:val="ED7D31" w:themeColor="accent2"/>
              </w:rPr>
              <w:t>Orange alert</w:t>
            </w:r>
          </w:p>
        </w:tc>
        <w:tc>
          <w:tcPr>
            <w:tcW w:w="3003" w:type="dxa"/>
          </w:tcPr>
          <w:p w14:paraId="35F8086A" w14:textId="3DCBA7F8" w:rsidR="002D40DB" w:rsidRPr="002D40DB" w:rsidRDefault="002D40DB" w:rsidP="002D40DB">
            <w:pPr>
              <w:widowControl w:val="0"/>
              <w:autoSpaceDE w:val="0"/>
              <w:autoSpaceDN w:val="0"/>
              <w:adjustRightInd w:val="0"/>
              <w:jc w:val="center"/>
            </w:pPr>
            <w:r w:rsidRPr="002D40DB">
              <w:t>Heat Alert Day</w:t>
            </w:r>
          </w:p>
        </w:tc>
        <w:tc>
          <w:tcPr>
            <w:tcW w:w="3004" w:type="dxa"/>
          </w:tcPr>
          <w:p w14:paraId="07679690" w14:textId="04FE54EB" w:rsidR="002D40DB" w:rsidRPr="002D40DB" w:rsidRDefault="002D40DB" w:rsidP="002D40DB">
            <w:pPr>
              <w:widowControl w:val="0"/>
              <w:autoSpaceDE w:val="0"/>
              <w:autoSpaceDN w:val="0"/>
              <w:adjustRightInd w:val="0"/>
              <w:jc w:val="center"/>
            </w:pPr>
            <w:r w:rsidRPr="002D40DB">
              <w:t>43.1-44.9°C</w:t>
            </w:r>
          </w:p>
        </w:tc>
      </w:tr>
      <w:tr w:rsidR="002D40DB" w14:paraId="18FE609E" w14:textId="77777777" w:rsidTr="003E1592">
        <w:trPr>
          <w:trHeight w:val="260"/>
          <w:jc w:val="center"/>
        </w:trPr>
        <w:tc>
          <w:tcPr>
            <w:tcW w:w="3003" w:type="dxa"/>
          </w:tcPr>
          <w:p w14:paraId="43552FDF" w14:textId="4E191528" w:rsidR="002D40DB" w:rsidRPr="00CE6968" w:rsidRDefault="002D40DB" w:rsidP="002D40DB">
            <w:pPr>
              <w:widowControl w:val="0"/>
              <w:autoSpaceDE w:val="0"/>
              <w:autoSpaceDN w:val="0"/>
              <w:adjustRightInd w:val="0"/>
              <w:jc w:val="center"/>
              <w:rPr>
                <w:b/>
              </w:rPr>
            </w:pPr>
            <w:r w:rsidRPr="00CE6968">
              <w:rPr>
                <w:b/>
                <w:highlight w:val="red"/>
              </w:rPr>
              <w:t>Red alert</w:t>
            </w:r>
          </w:p>
        </w:tc>
        <w:tc>
          <w:tcPr>
            <w:tcW w:w="3003" w:type="dxa"/>
          </w:tcPr>
          <w:p w14:paraId="361A5408" w14:textId="48F7AD82" w:rsidR="002D40DB" w:rsidRDefault="002D40DB" w:rsidP="002D40DB">
            <w:pPr>
              <w:widowControl w:val="0"/>
              <w:autoSpaceDE w:val="0"/>
              <w:autoSpaceDN w:val="0"/>
              <w:adjustRightInd w:val="0"/>
              <w:jc w:val="center"/>
            </w:pPr>
            <w:r>
              <w:t>Extreme Heat Alert Day</w:t>
            </w:r>
          </w:p>
        </w:tc>
        <w:tc>
          <w:tcPr>
            <w:tcW w:w="3004" w:type="dxa"/>
          </w:tcPr>
          <w:p w14:paraId="2B167E77" w14:textId="74DFC2AC" w:rsidR="002D40DB" w:rsidRDefault="002D40DB" w:rsidP="002D40DB">
            <w:pPr>
              <w:widowControl w:val="0"/>
              <w:autoSpaceDE w:val="0"/>
              <w:autoSpaceDN w:val="0"/>
              <w:adjustRightInd w:val="0"/>
              <w:jc w:val="center"/>
            </w:pPr>
            <w:r>
              <w:t>≥45°C</w:t>
            </w:r>
          </w:p>
        </w:tc>
      </w:tr>
    </w:tbl>
    <w:p w14:paraId="78FDDD6B" w14:textId="5E83F4B2" w:rsidR="00416553" w:rsidRDefault="00416553" w:rsidP="00CB71E1">
      <w:pPr>
        <w:jc w:val="both"/>
      </w:pPr>
    </w:p>
    <w:p w14:paraId="6577591E" w14:textId="77777777" w:rsidR="00CB71E1" w:rsidRDefault="00CB71E1" w:rsidP="00E933A5">
      <w:pPr>
        <w:widowControl w:val="0"/>
        <w:autoSpaceDE w:val="0"/>
        <w:autoSpaceDN w:val="0"/>
        <w:adjustRightInd w:val="0"/>
        <w:ind w:left="640" w:hanging="640"/>
        <w:jc w:val="both"/>
      </w:pPr>
    </w:p>
    <w:p w14:paraId="718C95D1" w14:textId="77777777" w:rsidR="00F463B3" w:rsidRDefault="00CB71E1" w:rsidP="00F463B3">
      <w:pPr>
        <w:jc w:val="both"/>
      </w:pPr>
      <w:r w:rsidRPr="00CB71E1">
        <w:t xml:space="preserve">Using the KNMI Climate Explorer, projections for daily </w:t>
      </w:r>
      <w:proofErr w:type="spellStart"/>
      <w:r w:rsidRPr="00CB71E1">
        <w:t>T</w:t>
      </w:r>
      <w:r w:rsidR="00971CD0" w:rsidRPr="00971CD0">
        <w:rPr>
          <w:vertAlign w:val="subscript"/>
        </w:rPr>
        <w:t>max</w:t>
      </w:r>
      <w:proofErr w:type="spellEnd"/>
      <w:r w:rsidRPr="00CB71E1">
        <w:t xml:space="preserve"> in</w:t>
      </w:r>
      <w:r w:rsidR="006E37C9">
        <w:t xml:space="preserve"> </w:t>
      </w:r>
      <w:r w:rsidR="008F341E">
        <w:t>1961-2000,</w:t>
      </w:r>
      <w:r w:rsidRPr="00CB71E1">
        <w:t xml:space="preserve"> 2046-2065 and 2081-2100 were obtained for the Ahmedabad grid square using </w:t>
      </w:r>
      <w:r w:rsidR="00372D74">
        <w:t>the Canadian Centre for Climate Modelling and Analysis (</w:t>
      </w:r>
      <w:proofErr w:type="spellStart"/>
      <w:r w:rsidR="00372D74">
        <w:t>CCCma</w:t>
      </w:r>
      <w:proofErr w:type="spellEnd"/>
      <w:r w:rsidR="00372D74">
        <w:t>) Coupled Global Climate Model</w:t>
      </w:r>
      <w:r w:rsidRPr="00CB71E1">
        <w:t xml:space="preserve"> </w:t>
      </w:r>
      <w:r w:rsidR="00372D74">
        <w:t>(</w:t>
      </w:r>
      <w:r w:rsidR="008F341E">
        <w:t>CGCM</w:t>
      </w:r>
      <w:r w:rsidR="00372D74">
        <w:t xml:space="preserve">) </w:t>
      </w:r>
      <w:r w:rsidR="008F341E">
        <w:t>3.1</w:t>
      </w:r>
      <w:r w:rsidRPr="00CB71E1">
        <w:t xml:space="preserve"> </w:t>
      </w:r>
      <w:r w:rsidR="00360B9A">
        <w:t>under</w:t>
      </w:r>
      <w:r w:rsidR="00484B47">
        <w:t xml:space="preserve"> the A2 scenario.</w:t>
      </w:r>
      <w:r w:rsidR="00D7380F">
        <w:fldChar w:fldCharType="begin" w:fldLock="1"/>
      </w:r>
      <w:r w:rsidR="00D7380F">
        <w:instrText>ADDIN CSL_CITATION { "citationItems" : [ { "id" : "ITEM-1", "itemData" : { "URL" : "http://www.ipcc-data.org/ar4/model-CCCMA-CGCM3_1-T47-change.html", "accessed" : { "date-parts" : [ [ "2017", "10", "5" ] ] }, "author" : [ { "dropping-particle" : "", "family" : "IPCC", "given" : "", "non-dropping-particle" : "", "parse-names" : false, "suffix" : "" } ], "id" : "ITEM-1", "issued" : { "date-parts" : [ [ "0" ] ] }, "title" : "IPCC Data Distribution Centre", "type" : "webpage" }, "uris" : [ "http://www.mendeley.com/documents/?uuid=d13c088c-8502-40fb-9e21-9dd0bdef70d2" ] } ], "mendeley" : { "formattedCitation" : "&lt;sup&gt;8&lt;/sup&gt;", "plainTextFormattedCitation" : "8", "previouslyFormattedCitation" : "&lt;sup&gt;8&lt;/sup&gt;" }, "properties" : { "noteIndex" : 1 }, "schema" : "https://github.com/citation-style-language/schema/raw/master/csl-citation.json" }</w:instrText>
      </w:r>
      <w:r w:rsidR="00D7380F">
        <w:fldChar w:fldCharType="separate"/>
      </w:r>
      <w:r w:rsidR="00D7380F" w:rsidRPr="00D7380F">
        <w:rPr>
          <w:noProof/>
          <w:vertAlign w:val="superscript"/>
        </w:rPr>
        <w:t>8</w:t>
      </w:r>
      <w:r w:rsidR="00D7380F">
        <w:fldChar w:fldCharType="end"/>
      </w:r>
      <w:r w:rsidR="00F463B3">
        <w:t xml:space="preserve"> </w:t>
      </w:r>
    </w:p>
    <w:p w14:paraId="270AB528" w14:textId="77777777" w:rsidR="00F463B3" w:rsidRDefault="00F463B3" w:rsidP="00F463B3">
      <w:pPr>
        <w:jc w:val="both"/>
      </w:pPr>
    </w:p>
    <w:p w14:paraId="31DA5E13" w14:textId="4E2F103D" w:rsidR="00F463B3" w:rsidRDefault="00F463B3" w:rsidP="00F463B3">
      <w:pPr>
        <w:jc w:val="both"/>
      </w:pPr>
      <w:r>
        <w:t xml:space="preserve">The A2 scenario </w:t>
      </w:r>
      <w:r w:rsidRPr="00F463B3">
        <w:t xml:space="preserve">family </w:t>
      </w:r>
      <w:r>
        <w:t>‘</w:t>
      </w:r>
      <w:r w:rsidRPr="00F463B3">
        <w:t xml:space="preserve">describes a very heterogeneous world. The underlying theme is self-reliance and preservation of local identities. Fertility patterns across regions converge very </w:t>
      </w:r>
      <w:r w:rsidRPr="00F463B3">
        <w:lastRenderedPageBreak/>
        <w:t>slowly, which results in continuously increasing global population. Economic development is primarily regionally oriented and per capita economic growth and technological change are more fragmented and slower than in other storylines.</w:t>
      </w:r>
      <w:r>
        <w:t>’</w:t>
      </w:r>
      <w:r w:rsidR="001A1DC9">
        <w:t xml:space="preserve"> [ref]</w:t>
      </w:r>
    </w:p>
    <w:p w14:paraId="3E8BFF7D" w14:textId="77777777" w:rsidR="00F84187" w:rsidRDefault="00F84187" w:rsidP="00F463B3">
      <w:pPr>
        <w:jc w:val="both"/>
      </w:pPr>
    </w:p>
    <w:p w14:paraId="47340B2A" w14:textId="50DDABFF" w:rsidR="001A1DC9" w:rsidRDefault="001A1DC9" w:rsidP="001A1DC9">
      <w:pPr>
        <w:pStyle w:val="Heading2"/>
      </w:pPr>
      <w:r>
        <w:t>Results</w:t>
      </w:r>
    </w:p>
    <w:p w14:paraId="329D1FE7" w14:textId="77777777" w:rsidR="001A1DC9" w:rsidRPr="00F463B3" w:rsidRDefault="001A1DC9" w:rsidP="00F463B3">
      <w:pPr>
        <w:jc w:val="both"/>
      </w:pPr>
    </w:p>
    <w:p w14:paraId="0DDB482F" w14:textId="404D4F80" w:rsidR="00D267A7" w:rsidRDefault="00D267A7" w:rsidP="00AD6CF9">
      <w:pPr>
        <w:jc w:val="both"/>
      </w:pPr>
      <w:r>
        <w:t>The stat</w:t>
      </w:r>
      <w:r w:rsidR="000239A7">
        <w:t xml:space="preserve">istics of the alert days under the A2 scenario </w:t>
      </w:r>
      <w:r w:rsidR="00AD6CF9">
        <w:t xml:space="preserve">are shown in </w:t>
      </w:r>
      <w:r w:rsidR="00AD6CF9">
        <w:fldChar w:fldCharType="begin"/>
      </w:r>
      <w:r w:rsidR="00AD6CF9">
        <w:instrText xml:space="preserve"> REF _Ref494986592 \h </w:instrText>
      </w:r>
      <w:r w:rsidR="00AD6CF9">
        <w:fldChar w:fldCharType="separate"/>
      </w:r>
      <w:r w:rsidR="00AD6CF9" w:rsidRPr="00D17881">
        <w:rPr>
          <w:color w:val="000000" w:themeColor="text1"/>
        </w:rPr>
        <w:t xml:space="preserve">Table </w:t>
      </w:r>
      <w:r w:rsidR="00AD6CF9" w:rsidRPr="00D17881">
        <w:rPr>
          <w:noProof/>
          <w:color w:val="000000" w:themeColor="text1"/>
        </w:rPr>
        <w:t>2</w:t>
      </w:r>
      <w:r w:rsidR="00AD6CF9">
        <w:fldChar w:fldCharType="end"/>
      </w:r>
      <w:r w:rsidR="005F63C7">
        <w:t>, where it can be shown that there is a change</w:t>
      </w:r>
      <w:r w:rsidR="00AD6CF9">
        <w:t xml:space="preserve"> of over 20 days to the number of Red alert days when comparing 1961-2000 to 2081-2100.</w:t>
      </w:r>
    </w:p>
    <w:p w14:paraId="6CE0CD43" w14:textId="77777777" w:rsidR="00AD6CF9" w:rsidRDefault="00AD6CF9" w:rsidP="00AD6CF9">
      <w:pPr>
        <w:jc w:val="both"/>
      </w:pPr>
    </w:p>
    <w:p w14:paraId="7C20322B" w14:textId="5FF89236" w:rsidR="00074E9C" w:rsidRPr="00D17881" w:rsidRDefault="00074E9C" w:rsidP="00074E9C">
      <w:pPr>
        <w:pStyle w:val="Caption"/>
        <w:keepNext/>
        <w:rPr>
          <w:color w:val="000000" w:themeColor="text1"/>
        </w:rPr>
      </w:pPr>
      <w:bookmarkStart w:id="1" w:name="_Ref494986592"/>
      <w:r w:rsidRPr="00D17881">
        <w:rPr>
          <w:color w:val="000000" w:themeColor="text1"/>
        </w:rPr>
        <w:t xml:space="preserve">Table </w:t>
      </w:r>
      <w:r w:rsidRPr="00D17881">
        <w:rPr>
          <w:color w:val="000000" w:themeColor="text1"/>
        </w:rPr>
        <w:fldChar w:fldCharType="begin"/>
      </w:r>
      <w:r w:rsidRPr="00D17881">
        <w:rPr>
          <w:color w:val="000000" w:themeColor="text1"/>
        </w:rPr>
        <w:instrText xml:space="preserve"> SEQ Table \* ARABIC </w:instrText>
      </w:r>
      <w:r w:rsidRPr="00D17881">
        <w:rPr>
          <w:color w:val="000000" w:themeColor="text1"/>
        </w:rPr>
        <w:fldChar w:fldCharType="separate"/>
      </w:r>
      <w:r w:rsidRPr="00D17881">
        <w:rPr>
          <w:noProof/>
          <w:color w:val="000000" w:themeColor="text1"/>
        </w:rPr>
        <w:t>2</w:t>
      </w:r>
      <w:r w:rsidRPr="00D17881">
        <w:rPr>
          <w:color w:val="000000" w:themeColor="text1"/>
        </w:rPr>
        <w:fldChar w:fldCharType="end"/>
      </w:r>
      <w:bookmarkEnd w:id="1"/>
      <w:r w:rsidRPr="00D17881">
        <w:rPr>
          <w:color w:val="000000" w:themeColor="text1"/>
        </w:rPr>
        <w:t>. Statistics of average number of alert days in Ahmedabad for 1961-2000, 2046-2065, 2081-2100 under A2 scenario.</w:t>
      </w:r>
    </w:p>
    <w:tbl>
      <w:tblPr>
        <w:tblStyle w:val="TableGrid"/>
        <w:tblW w:w="0" w:type="auto"/>
        <w:jc w:val="center"/>
        <w:tblLook w:val="04A0" w:firstRow="1" w:lastRow="0" w:firstColumn="1" w:lastColumn="0" w:noHBand="0" w:noVBand="1"/>
      </w:tblPr>
      <w:tblGrid>
        <w:gridCol w:w="1764"/>
        <w:gridCol w:w="1609"/>
        <w:gridCol w:w="2060"/>
        <w:gridCol w:w="1886"/>
      </w:tblGrid>
      <w:tr w:rsidR="006E37C9" w14:paraId="47E69CCA" w14:textId="77777777" w:rsidTr="006E37C9">
        <w:trPr>
          <w:jc w:val="center"/>
        </w:trPr>
        <w:tc>
          <w:tcPr>
            <w:tcW w:w="1764" w:type="dxa"/>
            <w:vMerge w:val="restart"/>
          </w:tcPr>
          <w:p w14:paraId="6194915B" w14:textId="518F549C" w:rsidR="006E37C9" w:rsidRPr="009A4293" w:rsidRDefault="006E37C9" w:rsidP="006E37C9">
            <w:pPr>
              <w:jc w:val="center"/>
              <w:rPr>
                <w:b/>
              </w:rPr>
            </w:pPr>
            <w:r w:rsidRPr="009A4293">
              <w:rPr>
                <w:b/>
              </w:rPr>
              <w:t>Alert level</w:t>
            </w:r>
          </w:p>
        </w:tc>
        <w:tc>
          <w:tcPr>
            <w:tcW w:w="5555" w:type="dxa"/>
            <w:gridSpan w:val="3"/>
          </w:tcPr>
          <w:p w14:paraId="72A311D8" w14:textId="70818D91" w:rsidR="006E37C9" w:rsidRPr="009A4293" w:rsidRDefault="006E37C9" w:rsidP="000C349C">
            <w:pPr>
              <w:jc w:val="center"/>
              <w:rPr>
                <w:b/>
              </w:rPr>
            </w:pPr>
            <w:r>
              <w:rPr>
                <w:b/>
              </w:rPr>
              <w:t>Average number of alert days</w:t>
            </w:r>
          </w:p>
        </w:tc>
      </w:tr>
      <w:tr w:rsidR="006E37C9" w14:paraId="568D4ABB" w14:textId="5B1E5C69" w:rsidTr="006E37C9">
        <w:trPr>
          <w:jc w:val="center"/>
        </w:trPr>
        <w:tc>
          <w:tcPr>
            <w:tcW w:w="1764" w:type="dxa"/>
            <w:vMerge/>
          </w:tcPr>
          <w:p w14:paraId="766B9434" w14:textId="4788436C" w:rsidR="006E37C9" w:rsidRPr="009A4293" w:rsidRDefault="006E37C9" w:rsidP="00833BEF">
            <w:pPr>
              <w:jc w:val="both"/>
              <w:rPr>
                <w:b/>
              </w:rPr>
            </w:pPr>
          </w:p>
        </w:tc>
        <w:tc>
          <w:tcPr>
            <w:tcW w:w="1609" w:type="dxa"/>
          </w:tcPr>
          <w:p w14:paraId="32FA4CA4" w14:textId="4E0B902C" w:rsidR="006E37C9" w:rsidRPr="009A4293" w:rsidRDefault="006B2608" w:rsidP="00833BEF">
            <w:pPr>
              <w:jc w:val="both"/>
              <w:rPr>
                <w:b/>
              </w:rPr>
            </w:pPr>
            <w:r>
              <w:rPr>
                <w:b/>
              </w:rPr>
              <w:t>1961-2000</w:t>
            </w:r>
          </w:p>
        </w:tc>
        <w:tc>
          <w:tcPr>
            <w:tcW w:w="2060" w:type="dxa"/>
          </w:tcPr>
          <w:p w14:paraId="182174DF" w14:textId="6136A3F5" w:rsidR="006E37C9" w:rsidRPr="009A4293" w:rsidRDefault="006E37C9" w:rsidP="006E37C9">
            <w:pPr>
              <w:jc w:val="both"/>
              <w:rPr>
                <w:b/>
              </w:rPr>
            </w:pPr>
            <w:r w:rsidRPr="009A4293">
              <w:rPr>
                <w:b/>
              </w:rPr>
              <w:t>2046-2065</w:t>
            </w:r>
          </w:p>
        </w:tc>
        <w:tc>
          <w:tcPr>
            <w:tcW w:w="1886" w:type="dxa"/>
          </w:tcPr>
          <w:p w14:paraId="30B2C02E" w14:textId="083CD51C" w:rsidR="006E37C9" w:rsidRPr="009A4293" w:rsidRDefault="006E37C9" w:rsidP="00833BEF">
            <w:pPr>
              <w:jc w:val="both"/>
              <w:rPr>
                <w:b/>
              </w:rPr>
            </w:pPr>
            <w:r w:rsidRPr="009A4293">
              <w:rPr>
                <w:b/>
              </w:rPr>
              <w:t>2081-2100</w:t>
            </w:r>
          </w:p>
        </w:tc>
      </w:tr>
      <w:tr w:rsidR="006E37C9" w14:paraId="76B2A658" w14:textId="4FADC197" w:rsidTr="006E37C9">
        <w:trPr>
          <w:jc w:val="center"/>
        </w:trPr>
        <w:tc>
          <w:tcPr>
            <w:tcW w:w="1764" w:type="dxa"/>
          </w:tcPr>
          <w:p w14:paraId="0578B8DC" w14:textId="6F250956" w:rsidR="006E37C9" w:rsidRPr="0079124B" w:rsidRDefault="006E37C9" w:rsidP="00833BEF">
            <w:pPr>
              <w:jc w:val="both"/>
              <w:rPr>
                <w:b/>
              </w:rPr>
            </w:pPr>
            <w:r w:rsidRPr="0079124B">
              <w:rPr>
                <w:b/>
              </w:rPr>
              <w:t>No alert</w:t>
            </w:r>
          </w:p>
        </w:tc>
        <w:tc>
          <w:tcPr>
            <w:tcW w:w="1609" w:type="dxa"/>
          </w:tcPr>
          <w:p w14:paraId="092C2F11" w14:textId="41A2F38C" w:rsidR="006E37C9" w:rsidRDefault="00E406C1" w:rsidP="00833BEF">
            <w:pPr>
              <w:jc w:val="both"/>
            </w:pPr>
            <w:r>
              <w:t>245.6</w:t>
            </w:r>
          </w:p>
        </w:tc>
        <w:tc>
          <w:tcPr>
            <w:tcW w:w="2060" w:type="dxa"/>
          </w:tcPr>
          <w:p w14:paraId="035889FF" w14:textId="63BD4429" w:rsidR="006E37C9" w:rsidRDefault="00E406C1" w:rsidP="00952AF7">
            <w:pPr>
              <w:jc w:val="both"/>
            </w:pPr>
            <w:r>
              <w:t>229.2</w:t>
            </w:r>
          </w:p>
        </w:tc>
        <w:tc>
          <w:tcPr>
            <w:tcW w:w="1886" w:type="dxa"/>
          </w:tcPr>
          <w:p w14:paraId="52028B42" w14:textId="66091F52" w:rsidR="006E37C9" w:rsidRDefault="00536A5E" w:rsidP="00833BEF">
            <w:pPr>
              <w:jc w:val="both"/>
            </w:pPr>
            <w:r>
              <w:t>237.6</w:t>
            </w:r>
          </w:p>
        </w:tc>
      </w:tr>
      <w:tr w:rsidR="006E37C9" w14:paraId="6F828750" w14:textId="147FF1C4" w:rsidTr="00952AF7">
        <w:trPr>
          <w:trHeight w:val="305"/>
          <w:jc w:val="center"/>
        </w:trPr>
        <w:tc>
          <w:tcPr>
            <w:tcW w:w="1764" w:type="dxa"/>
          </w:tcPr>
          <w:p w14:paraId="3EA46C57" w14:textId="75742DFE" w:rsidR="006E37C9" w:rsidRPr="0079124B" w:rsidRDefault="006E37C9" w:rsidP="00833BEF">
            <w:pPr>
              <w:jc w:val="both"/>
              <w:rPr>
                <w:b/>
              </w:rPr>
            </w:pPr>
            <w:r w:rsidRPr="0079124B">
              <w:rPr>
                <w:b/>
                <w:highlight w:val="yellow"/>
              </w:rPr>
              <w:t>Yellow alert</w:t>
            </w:r>
          </w:p>
        </w:tc>
        <w:tc>
          <w:tcPr>
            <w:tcW w:w="1609" w:type="dxa"/>
          </w:tcPr>
          <w:p w14:paraId="15BB6A5C" w14:textId="23661807" w:rsidR="006E37C9" w:rsidRDefault="00E406C1" w:rsidP="00833BEF">
            <w:pPr>
              <w:jc w:val="both"/>
            </w:pPr>
            <w:r>
              <w:t>23.0</w:t>
            </w:r>
          </w:p>
        </w:tc>
        <w:tc>
          <w:tcPr>
            <w:tcW w:w="2060" w:type="dxa"/>
          </w:tcPr>
          <w:p w14:paraId="44DD0E83" w14:textId="6B5AA5CB" w:rsidR="006E37C9" w:rsidRDefault="00536A5E" w:rsidP="00833BEF">
            <w:pPr>
              <w:jc w:val="both"/>
            </w:pPr>
            <w:r>
              <w:t>21.2</w:t>
            </w:r>
          </w:p>
        </w:tc>
        <w:tc>
          <w:tcPr>
            <w:tcW w:w="1886" w:type="dxa"/>
          </w:tcPr>
          <w:p w14:paraId="4D7F5F90" w14:textId="781B6F19" w:rsidR="006E37C9" w:rsidRDefault="000F7F25" w:rsidP="00833BEF">
            <w:pPr>
              <w:jc w:val="both"/>
            </w:pPr>
            <w:r>
              <w:t>16.8</w:t>
            </w:r>
          </w:p>
        </w:tc>
      </w:tr>
      <w:tr w:rsidR="006E37C9" w14:paraId="4DC69752" w14:textId="15292020" w:rsidTr="006E37C9">
        <w:trPr>
          <w:jc w:val="center"/>
        </w:trPr>
        <w:tc>
          <w:tcPr>
            <w:tcW w:w="1764" w:type="dxa"/>
          </w:tcPr>
          <w:p w14:paraId="7D8DEC17" w14:textId="051568E1" w:rsidR="006E37C9" w:rsidRPr="0079124B" w:rsidRDefault="006E37C9" w:rsidP="00833BEF">
            <w:pPr>
              <w:jc w:val="both"/>
              <w:rPr>
                <w:b/>
              </w:rPr>
            </w:pPr>
            <w:r w:rsidRPr="0079124B">
              <w:rPr>
                <w:b/>
                <w:color w:val="ED7D31" w:themeColor="accent2"/>
              </w:rPr>
              <w:t>Orange alert</w:t>
            </w:r>
          </w:p>
        </w:tc>
        <w:tc>
          <w:tcPr>
            <w:tcW w:w="1609" w:type="dxa"/>
          </w:tcPr>
          <w:p w14:paraId="6958E44A" w14:textId="1EB49A0A" w:rsidR="006E37C9" w:rsidRDefault="00E406C1" w:rsidP="00833BEF">
            <w:pPr>
              <w:jc w:val="both"/>
            </w:pPr>
            <w:r>
              <w:t>23.0</w:t>
            </w:r>
          </w:p>
        </w:tc>
        <w:tc>
          <w:tcPr>
            <w:tcW w:w="2060" w:type="dxa"/>
          </w:tcPr>
          <w:p w14:paraId="48A71B14" w14:textId="0F974FFD" w:rsidR="006E37C9" w:rsidRDefault="00536A5E" w:rsidP="00833BEF">
            <w:pPr>
              <w:jc w:val="both"/>
            </w:pPr>
            <w:r>
              <w:t>22.3</w:t>
            </w:r>
          </w:p>
        </w:tc>
        <w:tc>
          <w:tcPr>
            <w:tcW w:w="1886" w:type="dxa"/>
          </w:tcPr>
          <w:p w14:paraId="54248CD3" w14:textId="53B1FFB1" w:rsidR="006E37C9" w:rsidRDefault="002104E7" w:rsidP="00833BEF">
            <w:pPr>
              <w:jc w:val="both"/>
            </w:pPr>
            <w:r>
              <w:t>16.4</w:t>
            </w:r>
          </w:p>
        </w:tc>
      </w:tr>
      <w:tr w:rsidR="006E37C9" w14:paraId="7DDE6EB4" w14:textId="664F162A" w:rsidTr="006E37C9">
        <w:trPr>
          <w:trHeight w:val="269"/>
          <w:jc w:val="center"/>
        </w:trPr>
        <w:tc>
          <w:tcPr>
            <w:tcW w:w="1764" w:type="dxa"/>
          </w:tcPr>
          <w:p w14:paraId="56A80273" w14:textId="2165401B" w:rsidR="006E37C9" w:rsidRPr="0079124B" w:rsidRDefault="006E37C9" w:rsidP="00833BEF">
            <w:pPr>
              <w:jc w:val="both"/>
              <w:rPr>
                <w:b/>
              </w:rPr>
            </w:pPr>
            <w:r w:rsidRPr="0079124B">
              <w:rPr>
                <w:b/>
                <w:highlight w:val="red"/>
              </w:rPr>
              <w:t>Red alert</w:t>
            </w:r>
          </w:p>
        </w:tc>
        <w:tc>
          <w:tcPr>
            <w:tcW w:w="1609" w:type="dxa"/>
          </w:tcPr>
          <w:p w14:paraId="7576E968" w14:textId="11862EC7" w:rsidR="006E37C9" w:rsidRDefault="00E406C1" w:rsidP="00833BEF">
            <w:pPr>
              <w:jc w:val="both"/>
            </w:pPr>
            <w:r>
              <w:t>73.4</w:t>
            </w:r>
          </w:p>
        </w:tc>
        <w:tc>
          <w:tcPr>
            <w:tcW w:w="2060" w:type="dxa"/>
          </w:tcPr>
          <w:p w14:paraId="0672D191" w14:textId="3AE45E79" w:rsidR="006E37C9" w:rsidRDefault="00536A5E" w:rsidP="00833BEF">
            <w:pPr>
              <w:jc w:val="both"/>
            </w:pPr>
            <w:r>
              <w:t>92.3</w:t>
            </w:r>
          </w:p>
        </w:tc>
        <w:tc>
          <w:tcPr>
            <w:tcW w:w="1886" w:type="dxa"/>
          </w:tcPr>
          <w:p w14:paraId="159526E5" w14:textId="6EAAF8F2" w:rsidR="006E37C9" w:rsidRDefault="002104E7" w:rsidP="00833BEF">
            <w:pPr>
              <w:jc w:val="both"/>
            </w:pPr>
            <w:r>
              <w:t>93.8</w:t>
            </w:r>
          </w:p>
        </w:tc>
      </w:tr>
    </w:tbl>
    <w:p w14:paraId="63916E74" w14:textId="77777777" w:rsidR="00D17881" w:rsidRDefault="00D17881" w:rsidP="00D17881">
      <w:pPr>
        <w:pStyle w:val="Caption"/>
        <w:jc w:val="center"/>
        <w:rPr>
          <w:i w:val="0"/>
          <w:color w:val="000000" w:themeColor="text1"/>
          <w:sz w:val="24"/>
          <w:szCs w:val="24"/>
        </w:rPr>
      </w:pPr>
    </w:p>
    <w:p w14:paraId="562E6F86" w14:textId="711056F4" w:rsidR="00D17881" w:rsidRDefault="00AD6CF9" w:rsidP="00D17881">
      <w:r>
        <w:t>The information is also displayed graphi</w:t>
      </w:r>
      <w:r w:rsidRPr="00AD6CF9">
        <w:t xml:space="preserve">cally in </w:t>
      </w:r>
      <w:r w:rsidRPr="00AD6CF9">
        <w:fldChar w:fldCharType="begin"/>
      </w:r>
      <w:r w:rsidRPr="00AD6CF9">
        <w:instrText xml:space="preserve"> REF _Ref494986603 \h </w:instrText>
      </w:r>
      <w:r w:rsidRPr="00AD6CF9">
        <w:instrText xml:space="preserve"> \* MERGEFORMAT </w:instrText>
      </w:r>
      <w:r w:rsidRPr="00AD6CF9">
        <w:fldChar w:fldCharType="separate"/>
      </w:r>
      <w:r w:rsidRPr="00AD6CF9">
        <w:rPr>
          <w:color w:val="000000" w:themeColor="text1"/>
        </w:rPr>
        <w:t>Fi</w:t>
      </w:r>
      <w:r w:rsidRPr="00AD6CF9">
        <w:rPr>
          <w:color w:val="000000" w:themeColor="text1"/>
        </w:rPr>
        <w:t>g</w:t>
      </w:r>
      <w:r w:rsidRPr="00AD6CF9">
        <w:rPr>
          <w:color w:val="000000" w:themeColor="text1"/>
        </w:rPr>
        <w:t xml:space="preserve">ure </w:t>
      </w:r>
      <w:r w:rsidRPr="00AD6CF9">
        <w:rPr>
          <w:noProof/>
          <w:color w:val="000000" w:themeColor="text1"/>
        </w:rPr>
        <w:t>1</w:t>
      </w:r>
      <w:r w:rsidRPr="00AD6CF9">
        <w:fldChar w:fldCharType="end"/>
      </w:r>
      <w:r>
        <w:t>.</w:t>
      </w:r>
    </w:p>
    <w:p w14:paraId="4E7958D2" w14:textId="61B5391B" w:rsidR="00D17881" w:rsidRPr="00D17881" w:rsidRDefault="00D17881" w:rsidP="00D17881"/>
    <w:p w14:paraId="5E43A157" w14:textId="193FE0F8" w:rsidR="00D17881" w:rsidRPr="006E5F34" w:rsidRDefault="00D17881" w:rsidP="00D17881">
      <w:pPr>
        <w:pStyle w:val="Caption"/>
        <w:jc w:val="center"/>
        <w:rPr>
          <w:i w:val="0"/>
          <w:color w:val="000000" w:themeColor="text1"/>
          <w:sz w:val="24"/>
          <w:szCs w:val="24"/>
        </w:rPr>
      </w:pPr>
      <w:bookmarkStart w:id="2" w:name="_Ref494986603"/>
      <w:r w:rsidRPr="00D17881">
        <w:rPr>
          <w:noProof/>
          <w:color w:val="000000" w:themeColor="text1"/>
          <w:lang w:eastAsia="en-GB"/>
        </w:rPr>
        <w:drawing>
          <wp:anchor distT="0" distB="0" distL="114300" distR="114300" simplePos="0" relativeHeight="251658240" behindDoc="0" locked="0" layoutInCell="1" allowOverlap="1" wp14:anchorId="5C99BFA4" wp14:editId="5568ECD0">
            <wp:simplePos x="0" y="0"/>
            <wp:positionH relativeFrom="column">
              <wp:posOffset>-285750</wp:posOffset>
            </wp:positionH>
            <wp:positionV relativeFrom="paragraph">
              <wp:posOffset>201930</wp:posOffset>
            </wp:positionV>
            <wp:extent cx="6168390" cy="4095115"/>
            <wp:effectExtent l="0" t="0" r="0" b="0"/>
            <wp:wrapSquare wrapText="bothSides"/>
            <wp:docPr id="1" name="Picture 1" descr="../../../../../output/alert_stats/ahmedabad/cccma_cgcm3_1/ahmedabad_cccma_cgcm3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alert_stats/ahmedabad/cccma_cgcm3_1/ahmedabad_cccma_cgcm3_1.pdf"/>
                    <pic:cNvPicPr>
                      <a:picLocks noChangeAspect="1" noChangeArrowheads="1"/>
                    </pic:cNvPicPr>
                  </pic:nvPicPr>
                  <pic:blipFill rotWithShape="1">
                    <a:blip r:embed="rId6">
                      <a:extLst>
                        <a:ext uri="{28A0092B-C50C-407E-A947-70E740481C1C}">
                          <a14:useLocalDpi xmlns:a14="http://schemas.microsoft.com/office/drawing/2010/main" val="0"/>
                        </a:ext>
                      </a:extLst>
                    </a:blip>
                    <a:srcRect t="6158"/>
                    <a:stretch/>
                  </pic:blipFill>
                  <pic:spPr bwMode="auto">
                    <a:xfrm>
                      <a:off x="0" y="0"/>
                      <a:ext cx="6168390" cy="409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7881">
        <w:rPr>
          <w:color w:val="000000" w:themeColor="text1"/>
        </w:rPr>
        <w:t xml:space="preserve">Figure </w:t>
      </w:r>
      <w:r w:rsidRPr="00D17881">
        <w:rPr>
          <w:color w:val="000000" w:themeColor="text1"/>
        </w:rPr>
        <w:fldChar w:fldCharType="begin"/>
      </w:r>
      <w:r w:rsidRPr="00D17881">
        <w:rPr>
          <w:color w:val="000000" w:themeColor="text1"/>
        </w:rPr>
        <w:instrText xml:space="preserve"> SEQ Figure \* ARABIC </w:instrText>
      </w:r>
      <w:r w:rsidRPr="00D17881">
        <w:rPr>
          <w:color w:val="000000" w:themeColor="text1"/>
        </w:rPr>
        <w:fldChar w:fldCharType="separate"/>
      </w:r>
      <w:r w:rsidRPr="00D17881">
        <w:rPr>
          <w:noProof/>
          <w:color w:val="000000" w:themeColor="text1"/>
        </w:rPr>
        <w:t>1</w:t>
      </w:r>
      <w:r w:rsidRPr="00D17881">
        <w:rPr>
          <w:color w:val="000000" w:themeColor="text1"/>
        </w:rPr>
        <w:fldChar w:fldCharType="end"/>
      </w:r>
      <w:bookmarkEnd w:id="2"/>
      <w:r w:rsidRPr="00D17881">
        <w:rPr>
          <w:color w:val="000000" w:themeColor="text1"/>
        </w:rPr>
        <w:t xml:space="preserve">. Statistics of average number of alert days in Ahmedabad for 1961-2000, 2046-2065, 2081-2100 under A2 </w:t>
      </w:r>
      <w:r>
        <w:t>scenario.</w:t>
      </w:r>
    </w:p>
    <w:p w14:paraId="5FF95423" w14:textId="6220504C" w:rsidR="00BC069C" w:rsidRDefault="00524D34" w:rsidP="00524D34">
      <w:pPr>
        <w:pStyle w:val="Heading2"/>
      </w:pPr>
      <w:r>
        <w:t>Discussion</w:t>
      </w:r>
    </w:p>
    <w:p w14:paraId="02F73E5E" w14:textId="34C913D4" w:rsidR="00524D34" w:rsidRDefault="00524D34" w:rsidP="00775A53">
      <w:pPr>
        <w:widowControl w:val="0"/>
        <w:autoSpaceDE w:val="0"/>
        <w:autoSpaceDN w:val="0"/>
        <w:adjustRightInd w:val="0"/>
        <w:jc w:val="both"/>
      </w:pPr>
      <w:bookmarkStart w:id="3" w:name="_GoBack"/>
    </w:p>
    <w:p w14:paraId="4E8AA0AF" w14:textId="6EF6110E" w:rsidR="00AE255A" w:rsidRDefault="00BC069C" w:rsidP="00775A53">
      <w:pPr>
        <w:widowControl w:val="0"/>
        <w:autoSpaceDE w:val="0"/>
        <w:autoSpaceDN w:val="0"/>
        <w:adjustRightInd w:val="0"/>
        <w:jc w:val="both"/>
      </w:pPr>
      <w:r>
        <w:t xml:space="preserve">Under this framework, we have a quantitative analysis of the </w:t>
      </w:r>
      <w:r w:rsidR="00E96DCF">
        <w:t xml:space="preserve">frequency of the alert days, as </w:t>
      </w:r>
      <w:r>
        <w:t xml:space="preserve">well as </w:t>
      </w:r>
      <w:r w:rsidR="00D258D4">
        <w:t>the population exposed.</w:t>
      </w:r>
      <w:r w:rsidR="00070B42">
        <w:t xml:space="preserve"> </w:t>
      </w:r>
      <w:r w:rsidR="00C9635F">
        <w:t>It could be a framework for pre</w:t>
      </w:r>
      <w:r w:rsidR="00A2341B">
        <w:t>-</w:t>
      </w:r>
      <w:r w:rsidR="00C9635F">
        <w:t xml:space="preserve">analysis of </w:t>
      </w:r>
      <w:r w:rsidR="00A15D93">
        <w:t xml:space="preserve">future </w:t>
      </w:r>
      <w:r w:rsidR="00C30391">
        <w:t xml:space="preserve">viability of </w:t>
      </w:r>
      <w:r w:rsidR="00B2564E">
        <w:t xml:space="preserve">the Ahmedabad Heat Action Plan, </w:t>
      </w:r>
      <w:r w:rsidR="00D26339">
        <w:t>and contributes an essential component of ea</w:t>
      </w:r>
      <w:r w:rsidR="00101239">
        <w:t>ch review of a heat action plan, as recommended every few years.</w:t>
      </w:r>
      <w:r w:rsidR="00101239">
        <w:fldChar w:fldCharType="begin" w:fldLock="1"/>
      </w:r>
      <w:r w:rsidR="00101239">
        <w:instrText>ADDIN CSL_CITATION { "citationItems" : [ { "id" : "ITEM-1", "itemData" : { "DOI" : "10.1111/nyas.13258", "ISSN" : "17496632", "PMID" : "27788557", "abstract" : "Extreme heat is a leading weather-related cause of morbidity and mortality, with heat exposure becoming more widespread, frequent, and intense as climates change. The use of heat early warning and response systems (HEWSs) that integrate weather forecasts with risk assessment, communication, and reduction activities is increasingly widespread. HEWSs are frequently touted as an adaptation to climate change, but little attention has been paid to the question of how best to ensure effectiveness of HEWSs as climates change further. In this paper, we discuss findings showing that HEWSs satisfy the tenets of an intervention that facilitates adaptation, but climate change poses challenges infrequently addressed in heat action plans, particularly changes in the onset, duration, and intensity of dangerously warm temperatures, and changes over time in the relationships between temperature and health outcomes. Iterative management should be central to a HEWS, and iteration cycles should be of 5 years or less. Climate change adaptation and implementation science research frameworks can be used to identify HEWS modifications to improve their effectiveness as temperature continues to rise, incorporating scientific insights and new understanding of effective interventions. We conclude that, at a minimum, iterative management activities should involve planned reassessment at least every 5 years of hazard distribution, population-level vulnerability, and HEWS effectiveness.", "author" : [ { "dropping-particle" : "", "family" : "Hess", "given" : "Jeremy J.", "non-dropping-particle" : "", "parse-names" : false, "suffix" : "" }, { "dropping-particle" : "", "family" : "Ebi", "given" : "Kristie L.", "non-dropping-particle" : "", "parse-names" : false, "suffix" : "" } ], "container-title" : "Annals of the New York Academy of Sciences", "id" : "ITEM-1", "issued" : { "date-parts" : [ [ "2016" ] ] }, "page" : "21-30", "title" : "Iterative management of heat early warning systems in a changing climate", "type" : "article-newspaper" }, "uris" : [ "http://www.mendeley.com/documents/?uuid=8d1b8af1-24a0-4442-acfa-d751913b8bf4" ] } ], "mendeley" : { "formattedCitation" : "&lt;sup&gt;6&lt;/sup&gt;", "plainTextFormattedCitation" : "6", "previouslyFormattedCitation" : "&lt;sup&gt;6&lt;/sup&gt;" }, "properties" : { "noteIndex" : 3 }, "schema" : "https://github.com/citation-style-language/schema/raw/master/csl-citation.json" }</w:instrText>
      </w:r>
      <w:r w:rsidR="00101239">
        <w:fldChar w:fldCharType="separate"/>
      </w:r>
      <w:r w:rsidR="00101239" w:rsidRPr="00101239">
        <w:rPr>
          <w:noProof/>
          <w:vertAlign w:val="superscript"/>
        </w:rPr>
        <w:t>6</w:t>
      </w:r>
      <w:r w:rsidR="00101239">
        <w:fldChar w:fldCharType="end"/>
      </w:r>
    </w:p>
    <w:p w14:paraId="32FA1559" w14:textId="77777777" w:rsidR="008F18EB" w:rsidRDefault="008F18EB" w:rsidP="00775A53">
      <w:pPr>
        <w:widowControl w:val="0"/>
        <w:autoSpaceDE w:val="0"/>
        <w:autoSpaceDN w:val="0"/>
        <w:adjustRightInd w:val="0"/>
        <w:jc w:val="both"/>
      </w:pPr>
    </w:p>
    <w:p w14:paraId="3F11CF86" w14:textId="6CCF46F1" w:rsidR="008F18EB" w:rsidRDefault="008F18EB" w:rsidP="00775A53">
      <w:pPr>
        <w:widowControl w:val="0"/>
        <w:autoSpaceDE w:val="0"/>
        <w:autoSpaceDN w:val="0"/>
        <w:adjustRightInd w:val="0"/>
        <w:jc w:val="both"/>
      </w:pPr>
      <w:r>
        <w:t xml:space="preserve">Other scenarios apart from A2 will be analysed, and </w:t>
      </w:r>
      <w:r w:rsidR="00B67599">
        <w:t xml:space="preserve">uncertainty will be obtained from using an ensemble of models, available in the IPCC </w:t>
      </w:r>
      <w:r w:rsidR="001665AA">
        <w:t>CMIP5 ensemble.</w:t>
      </w:r>
    </w:p>
    <w:p w14:paraId="7DE9EA98" w14:textId="77777777" w:rsidR="00B51322" w:rsidRDefault="00B51322" w:rsidP="00775A53">
      <w:pPr>
        <w:widowControl w:val="0"/>
        <w:autoSpaceDE w:val="0"/>
        <w:autoSpaceDN w:val="0"/>
        <w:adjustRightInd w:val="0"/>
        <w:jc w:val="both"/>
      </w:pPr>
    </w:p>
    <w:p w14:paraId="0CCB51DB" w14:textId="77CC912A" w:rsidR="00A15D93" w:rsidRDefault="00A15D93" w:rsidP="00775A53">
      <w:pPr>
        <w:widowControl w:val="0"/>
        <w:autoSpaceDE w:val="0"/>
        <w:autoSpaceDN w:val="0"/>
        <w:adjustRightInd w:val="0"/>
        <w:jc w:val="both"/>
      </w:pPr>
      <w:r>
        <w:t xml:space="preserve">This also provides a good quantitative framework to understand how plans in other cities will </w:t>
      </w:r>
      <w:r w:rsidR="00B51322">
        <w:t xml:space="preserve">perform under climate change. </w:t>
      </w:r>
    </w:p>
    <w:bookmarkEnd w:id="3"/>
    <w:p w14:paraId="25B4894B" w14:textId="77777777" w:rsidR="006E5F34" w:rsidRDefault="006E5F34" w:rsidP="007A5C45">
      <w:pPr>
        <w:widowControl w:val="0"/>
        <w:autoSpaceDE w:val="0"/>
        <w:autoSpaceDN w:val="0"/>
        <w:adjustRightInd w:val="0"/>
      </w:pPr>
    </w:p>
    <w:p w14:paraId="474ADB61" w14:textId="018AA9C7" w:rsidR="006E5F34" w:rsidRDefault="006E5F34" w:rsidP="006E5F34">
      <w:pPr>
        <w:keepNext/>
        <w:widowControl w:val="0"/>
        <w:autoSpaceDE w:val="0"/>
        <w:autoSpaceDN w:val="0"/>
        <w:adjustRightInd w:val="0"/>
        <w:jc w:val="center"/>
      </w:pPr>
    </w:p>
    <w:p w14:paraId="428B7DE9" w14:textId="77777777" w:rsidR="008F26C0" w:rsidRDefault="008F26C0">
      <w:pPr>
        <w:rPr>
          <w:rFonts w:asciiTheme="majorHAnsi" w:eastAsiaTheme="majorEastAsia" w:hAnsiTheme="majorHAnsi" w:cstheme="majorBidi"/>
          <w:color w:val="2F5496" w:themeColor="accent1" w:themeShade="BF"/>
          <w:sz w:val="32"/>
          <w:szCs w:val="32"/>
        </w:rPr>
      </w:pPr>
      <w:r>
        <w:br w:type="page"/>
      </w:r>
    </w:p>
    <w:p w14:paraId="2804F215" w14:textId="56C444AD" w:rsidR="005729B4" w:rsidRPr="005729B4" w:rsidRDefault="005729B4" w:rsidP="009354E6">
      <w:pPr>
        <w:pStyle w:val="Heading1"/>
      </w:pPr>
      <w:r w:rsidRPr="005729B4">
        <w:t>References</w:t>
      </w:r>
    </w:p>
    <w:p w14:paraId="6FD26887" w14:textId="423F66DE" w:rsidR="00101239" w:rsidRPr="00101239" w:rsidRDefault="005729B4" w:rsidP="0010123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01239" w:rsidRPr="00101239">
        <w:rPr>
          <w:rFonts w:ascii="Calibri" w:eastAsia="Times New Roman" w:hAnsi="Calibri" w:cs="Times New Roman"/>
          <w:noProof/>
        </w:rPr>
        <w:t>1</w:t>
      </w:r>
      <w:r w:rsidR="00101239" w:rsidRPr="00101239">
        <w:rPr>
          <w:rFonts w:ascii="Calibri" w:eastAsia="Times New Roman" w:hAnsi="Calibri" w:cs="Times New Roman"/>
          <w:noProof/>
        </w:rPr>
        <w:tab/>
        <w:t xml:space="preserve">Basu R. High ambient temperature and mortality: a review of epidemiologic studies from 2001 to 2008. </w:t>
      </w:r>
      <w:r w:rsidR="00101239" w:rsidRPr="00101239">
        <w:rPr>
          <w:rFonts w:ascii="Calibri" w:eastAsia="Times New Roman" w:hAnsi="Calibri" w:cs="Times New Roman"/>
          <w:i/>
          <w:iCs/>
          <w:noProof/>
        </w:rPr>
        <w:t>Environ Heal</w:t>
      </w:r>
      <w:r w:rsidR="00101239" w:rsidRPr="00101239">
        <w:rPr>
          <w:rFonts w:ascii="Calibri" w:eastAsia="Times New Roman" w:hAnsi="Calibri" w:cs="Times New Roman"/>
          <w:noProof/>
        </w:rPr>
        <w:t xml:space="preserve"> 2009; </w:t>
      </w:r>
      <w:r w:rsidR="00101239" w:rsidRPr="00101239">
        <w:rPr>
          <w:rFonts w:ascii="Calibri" w:eastAsia="Times New Roman" w:hAnsi="Calibri" w:cs="Times New Roman"/>
          <w:b/>
          <w:bCs/>
          <w:noProof/>
        </w:rPr>
        <w:t>8</w:t>
      </w:r>
      <w:r w:rsidR="00101239" w:rsidRPr="00101239">
        <w:rPr>
          <w:rFonts w:ascii="Calibri" w:eastAsia="Times New Roman" w:hAnsi="Calibri" w:cs="Times New Roman"/>
          <w:noProof/>
        </w:rPr>
        <w:t>: 40.</w:t>
      </w:r>
    </w:p>
    <w:p w14:paraId="7600FC33"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2</w:t>
      </w:r>
      <w:r w:rsidRPr="00101239">
        <w:rPr>
          <w:rFonts w:ascii="Calibri" w:eastAsia="Times New Roman" w:hAnsi="Calibri" w:cs="Times New Roman"/>
          <w:noProof/>
        </w:rPr>
        <w:tab/>
        <w:t xml:space="preserve">Ye X, Wolff R, Yu W, Vaneckova P, Pan X, Tong S. Ambient temperature and morbidity: a review of epidemiological evidence. </w:t>
      </w:r>
      <w:r w:rsidRPr="00101239">
        <w:rPr>
          <w:rFonts w:ascii="Calibri" w:eastAsia="Times New Roman" w:hAnsi="Calibri" w:cs="Times New Roman"/>
          <w:i/>
          <w:iCs/>
          <w:noProof/>
        </w:rPr>
        <w:t>Environ Health Perspect</w:t>
      </w:r>
      <w:r w:rsidRPr="00101239">
        <w:rPr>
          <w:rFonts w:ascii="Calibri" w:eastAsia="Times New Roman" w:hAnsi="Calibri" w:cs="Times New Roman"/>
          <w:noProof/>
        </w:rPr>
        <w:t xml:space="preserve"> 2012; </w:t>
      </w:r>
      <w:r w:rsidRPr="00101239">
        <w:rPr>
          <w:rFonts w:ascii="Calibri" w:eastAsia="Times New Roman" w:hAnsi="Calibri" w:cs="Times New Roman"/>
          <w:b/>
          <w:bCs/>
          <w:noProof/>
        </w:rPr>
        <w:t>120</w:t>
      </w:r>
      <w:r w:rsidRPr="00101239">
        <w:rPr>
          <w:rFonts w:ascii="Calibri" w:eastAsia="Times New Roman" w:hAnsi="Calibri" w:cs="Times New Roman"/>
          <w:noProof/>
        </w:rPr>
        <w:t>: 19–28.</w:t>
      </w:r>
    </w:p>
    <w:p w14:paraId="1ED825CB"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3</w:t>
      </w:r>
      <w:r w:rsidRPr="00101239">
        <w:rPr>
          <w:rFonts w:ascii="Calibri" w:eastAsia="Times New Roman" w:hAnsi="Calibri" w:cs="Times New Roman"/>
          <w:noProof/>
        </w:rPr>
        <w:tab/>
        <w:t xml:space="preserve">Lowe D, Ebi KL, Forsberg B. Heatwave early warning systems and adaptation advice to reduce human health consequences of heatwaves. </w:t>
      </w:r>
      <w:r w:rsidRPr="00101239">
        <w:rPr>
          <w:rFonts w:ascii="Calibri" w:eastAsia="Times New Roman" w:hAnsi="Calibri" w:cs="Times New Roman"/>
          <w:i/>
          <w:iCs/>
          <w:noProof/>
        </w:rPr>
        <w:t>Int J Environ Res Public Health</w:t>
      </w:r>
      <w:r w:rsidRPr="00101239">
        <w:rPr>
          <w:rFonts w:ascii="Calibri" w:eastAsia="Times New Roman" w:hAnsi="Calibri" w:cs="Times New Roman"/>
          <w:noProof/>
        </w:rPr>
        <w:t xml:space="preserve"> 2011; </w:t>
      </w:r>
      <w:r w:rsidRPr="00101239">
        <w:rPr>
          <w:rFonts w:ascii="Calibri" w:eastAsia="Times New Roman" w:hAnsi="Calibri" w:cs="Times New Roman"/>
          <w:b/>
          <w:bCs/>
          <w:noProof/>
        </w:rPr>
        <w:t>8</w:t>
      </w:r>
      <w:r w:rsidRPr="00101239">
        <w:rPr>
          <w:rFonts w:ascii="Calibri" w:eastAsia="Times New Roman" w:hAnsi="Calibri" w:cs="Times New Roman"/>
          <w:noProof/>
        </w:rPr>
        <w:t>: 4623–48.</w:t>
      </w:r>
    </w:p>
    <w:p w14:paraId="652E9A8F"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4</w:t>
      </w:r>
      <w:r w:rsidRPr="00101239">
        <w:rPr>
          <w:rFonts w:ascii="Calibri" w:eastAsia="Times New Roman" w:hAnsi="Calibri" w:cs="Times New Roman"/>
          <w:noProof/>
        </w:rPr>
        <w:tab/>
        <w:t xml:space="preserve">Lowe R, García-Díez M, Ballester J, </w:t>
      </w:r>
      <w:r w:rsidRPr="00101239">
        <w:rPr>
          <w:rFonts w:ascii="Calibri" w:eastAsia="Times New Roman" w:hAnsi="Calibri" w:cs="Times New Roman"/>
          <w:i/>
          <w:iCs/>
          <w:noProof/>
        </w:rPr>
        <w:t>et al.</w:t>
      </w:r>
      <w:r w:rsidRPr="00101239">
        <w:rPr>
          <w:rFonts w:ascii="Calibri" w:eastAsia="Times New Roman" w:hAnsi="Calibri" w:cs="Times New Roman"/>
          <w:noProof/>
        </w:rPr>
        <w:t xml:space="preserve"> Evaluation of an early-warning system for heat wave-related mortality in Europe: Implications for sub-seasonal to seasonal forecasting and climate services. </w:t>
      </w:r>
      <w:r w:rsidRPr="00101239">
        <w:rPr>
          <w:rFonts w:ascii="Calibri" w:eastAsia="Times New Roman" w:hAnsi="Calibri" w:cs="Times New Roman"/>
          <w:i/>
          <w:iCs/>
          <w:noProof/>
        </w:rPr>
        <w:t>Int J Environ Res Public Health</w:t>
      </w:r>
      <w:r w:rsidRPr="00101239">
        <w:rPr>
          <w:rFonts w:ascii="Calibri" w:eastAsia="Times New Roman" w:hAnsi="Calibri" w:cs="Times New Roman"/>
          <w:noProof/>
        </w:rPr>
        <w:t xml:space="preserve"> 2016; </w:t>
      </w:r>
      <w:r w:rsidRPr="00101239">
        <w:rPr>
          <w:rFonts w:ascii="Calibri" w:eastAsia="Times New Roman" w:hAnsi="Calibri" w:cs="Times New Roman"/>
          <w:b/>
          <w:bCs/>
          <w:noProof/>
        </w:rPr>
        <w:t>13</w:t>
      </w:r>
      <w:r w:rsidRPr="00101239">
        <w:rPr>
          <w:rFonts w:ascii="Calibri" w:eastAsia="Times New Roman" w:hAnsi="Calibri" w:cs="Times New Roman"/>
          <w:noProof/>
        </w:rPr>
        <w:t>. DOI:10.3390/ijerph13020206.</w:t>
      </w:r>
    </w:p>
    <w:p w14:paraId="47EC5A88"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5</w:t>
      </w:r>
      <w:r w:rsidRPr="00101239">
        <w:rPr>
          <w:rFonts w:ascii="Calibri" w:eastAsia="Times New Roman" w:hAnsi="Calibri" w:cs="Times New Roman"/>
          <w:noProof/>
        </w:rPr>
        <w:tab/>
        <w:t xml:space="preserve">Stocker, T.F., D. Qin, G.-K. Plattner, M. Tignor, S.K. Allen, J. Boschung, A. Nauels, Y. Xia VB and PMM (eds. . Summary for Policymakers. In: Climate Change 2013: The Physical Science Basis. Contribution of Working Group I to the Fifth Assessment Report of the Intergovernmental Panel on Climate Change. </w:t>
      </w:r>
      <w:r w:rsidRPr="00101239">
        <w:rPr>
          <w:rFonts w:ascii="Calibri" w:eastAsia="Times New Roman" w:hAnsi="Calibri" w:cs="Times New Roman"/>
          <w:i/>
          <w:iCs/>
          <w:noProof/>
        </w:rPr>
        <w:t>CEUR Workshop Proc</w:t>
      </w:r>
      <w:r w:rsidRPr="00101239">
        <w:rPr>
          <w:rFonts w:ascii="Calibri" w:eastAsia="Times New Roman" w:hAnsi="Calibri" w:cs="Times New Roman"/>
          <w:noProof/>
        </w:rPr>
        <w:t xml:space="preserve"> 2015; </w:t>
      </w:r>
      <w:r w:rsidRPr="00101239">
        <w:rPr>
          <w:rFonts w:ascii="Calibri" w:eastAsia="Times New Roman" w:hAnsi="Calibri" w:cs="Times New Roman"/>
          <w:b/>
          <w:bCs/>
          <w:noProof/>
        </w:rPr>
        <w:t>1542</w:t>
      </w:r>
      <w:r w:rsidRPr="00101239">
        <w:rPr>
          <w:rFonts w:ascii="Calibri" w:eastAsia="Times New Roman" w:hAnsi="Calibri" w:cs="Times New Roman"/>
          <w:noProof/>
        </w:rPr>
        <w:t>: 33–6.</w:t>
      </w:r>
    </w:p>
    <w:p w14:paraId="5159F38A"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6</w:t>
      </w:r>
      <w:r w:rsidRPr="00101239">
        <w:rPr>
          <w:rFonts w:ascii="Calibri" w:eastAsia="Times New Roman" w:hAnsi="Calibri" w:cs="Times New Roman"/>
          <w:noProof/>
        </w:rPr>
        <w:tab/>
        <w:t>Hess JJ, Ebi KL. Iterative management of heat early warning systems in a changing climate. Ann. N. Y. Acad. Sci. 2016; : 21–30.</w:t>
      </w:r>
    </w:p>
    <w:p w14:paraId="02E0D0B3"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7</w:t>
      </w:r>
      <w:r w:rsidRPr="00101239">
        <w:rPr>
          <w:rFonts w:ascii="Calibri" w:eastAsia="Times New Roman" w:hAnsi="Calibri" w:cs="Times New Roman"/>
          <w:noProof/>
        </w:rPr>
        <w:tab/>
        <w:t xml:space="preserve">Azhar GS, Mavalankar D, Nori-Sarma A, </w:t>
      </w:r>
      <w:r w:rsidRPr="00101239">
        <w:rPr>
          <w:rFonts w:ascii="Calibri" w:eastAsia="Times New Roman" w:hAnsi="Calibri" w:cs="Times New Roman"/>
          <w:i/>
          <w:iCs/>
          <w:noProof/>
        </w:rPr>
        <w:t>et al.</w:t>
      </w:r>
      <w:r w:rsidRPr="00101239">
        <w:rPr>
          <w:rFonts w:ascii="Calibri" w:eastAsia="Times New Roman" w:hAnsi="Calibri" w:cs="Times New Roman"/>
          <w:noProof/>
        </w:rPr>
        <w:t xml:space="preserve"> Ahmedabad Heat Action Plan 2017. 2014; </w:t>
      </w:r>
      <w:r w:rsidRPr="00101239">
        <w:rPr>
          <w:rFonts w:ascii="Calibri" w:eastAsia="Times New Roman" w:hAnsi="Calibri" w:cs="Times New Roman"/>
          <w:b/>
          <w:bCs/>
          <w:noProof/>
        </w:rPr>
        <w:t>9</w:t>
      </w:r>
      <w:r w:rsidRPr="00101239">
        <w:rPr>
          <w:rFonts w:ascii="Calibri" w:eastAsia="Times New Roman" w:hAnsi="Calibri" w:cs="Times New Roman"/>
          <w:noProof/>
        </w:rPr>
        <w:t>. DOI:10.1371/journal.pone.0091831.</w:t>
      </w:r>
    </w:p>
    <w:p w14:paraId="05B31529" w14:textId="77777777" w:rsidR="00101239" w:rsidRPr="00101239" w:rsidRDefault="00101239" w:rsidP="00101239">
      <w:pPr>
        <w:widowControl w:val="0"/>
        <w:autoSpaceDE w:val="0"/>
        <w:autoSpaceDN w:val="0"/>
        <w:adjustRightInd w:val="0"/>
        <w:ind w:left="640" w:hanging="640"/>
        <w:rPr>
          <w:rFonts w:ascii="Calibri" w:hAnsi="Calibri"/>
          <w:noProof/>
        </w:rPr>
      </w:pPr>
      <w:r w:rsidRPr="00101239">
        <w:rPr>
          <w:rFonts w:ascii="Calibri" w:eastAsia="Times New Roman" w:hAnsi="Calibri" w:cs="Times New Roman"/>
          <w:noProof/>
        </w:rPr>
        <w:t>8</w:t>
      </w:r>
      <w:r w:rsidRPr="00101239">
        <w:rPr>
          <w:rFonts w:ascii="Calibri" w:eastAsia="Times New Roman" w:hAnsi="Calibri" w:cs="Times New Roman"/>
          <w:noProof/>
        </w:rPr>
        <w:tab/>
        <w:t>IPCC. IPCC Data Distribution Centre. http://www.ipcc-data.org/ar4/model-CCCMA-CGCM3_1-T47-change.html (accessed Oct 5, 2017).</w:t>
      </w:r>
    </w:p>
    <w:p w14:paraId="2302CE05" w14:textId="70F93594" w:rsidR="004E18EF" w:rsidRDefault="005729B4" w:rsidP="00101239">
      <w:pPr>
        <w:widowControl w:val="0"/>
        <w:autoSpaceDE w:val="0"/>
        <w:autoSpaceDN w:val="0"/>
        <w:adjustRightInd w:val="0"/>
        <w:ind w:left="640" w:hanging="640"/>
      </w:pPr>
      <w:r>
        <w:fldChar w:fldCharType="end"/>
      </w:r>
    </w:p>
    <w:sectPr w:rsidR="004E18EF"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310D5"/>
    <w:multiLevelType w:val="multilevel"/>
    <w:tmpl w:val="021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C21CD"/>
    <w:multiLevelType w:val="hybridMultilevel"/>
    <w:tmpl w:val="232A8E6A"/>
    <w:lvl w:ilvl="0" w:tplc="3DC05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1D44F1"/>
    <w:multiLevelType w:val="hybridMultilevel"/>
    <w:tmpl w:val="58029C9C"/>
    <w:lvl w:ilvl="0" w:tplc="6D4C7964">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436955"/>
    <w:multiLevelType w:val="hybridMultilevel"/>
    <w:tmpl w:val="88CEB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491C98"/>
    <w:multiLevelType w:val="hybridMultilevel"/>
    <w:tmpl w:val="B5809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571C80"/>
    <w:multiLevelType w:val="hybridMultilevel"/>
    <w:tmpl w:val="9AB0BE80"/>
    <w:lvl w:ilvl="0" w:tplc="BE3482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C"/>
    <w:rsid w:val="0000461D"/>
    <w:rsid w:val="00014171"/>
    <w:rsid w:val="0001480C"/>
    <w:rsid w:val="00020DE0"/>
    <w:rsid w:val="000223DB"/>
    <w:rsid w:val="000239A7"/>
    <w:rsid w:val="00035305"/>
    <w:rsid w:val="0003657E"/>
    <w:rsid w:val="00036FFA"/>
    <w:rsid w:val="000544A3"/>
    <w:rsid w:val="000606A9"/>
    <w:rsid w:val="000633EF"/>
    <w:rsid w:val="00066C53"/>
    <w:rsid w:val="0007073A"/>
    <w:rsid w:val="00070B42"/>
    <w:rsid w:val="000732F5"/>
    <w:rsid w:val="00073B6B"/>
    <w:rsid w:val="00074E9C"/>
    <w:rsid w:val="00077CA0"/>
    <w:rsid w:val="0008315C"/>
    <w:rsid w:val="000870BD"/>
    <w:rsid w:val="0009325C"/>
    <w:rsid w:val="000B0D4A"/>
    <w:rsid w:val="000B45D5"/>
    <w:rsid w:val="000B6495"/>
    <w:rsid w:val="000B68BB"/>
    <w:rsid w:val="000B7625"/>
    <w:rsid w:val="000C0E55"/>
    <w:rsid w:val="000C349C"/>
    <w:rsid w:val="000C4ED8"/>
    <w:rsid w:val="000C7277"/>
    <w:rsid w:val="000C771B"/>
    <w:rsid w:val="000D5F12"/>
    <w:rsid w:val="000E154F"/>
    <w:rsid w:val="000E21BF"/>
    <w:rsid w:val="000E27EF"/>
    <w:rsid w:val="000E50E3"/>
    <w:rsid w:val="000F3A6A"/>
    <w:rsid w:val="000F7F25"/>
    <w:rsid w:val="00101239"/>
    <w:rsid w:val="00103CBB"/>
    <w:rsid w:val="00103EF1"/>
    <w:rsid w:val="0011537E"/>
    <w:rsid w:val="00115ED5"/>
    <w:rsid w:val="001231F4"/>
    <w:rsid w:val="0012444D"/>
    <w:rsid w:val="00127E01"/>
    <w:rsid w:val="00132C6C"/>
    <w:rsid w:val="00151D89"/>
    <w:rsid w:val="0015479D"/>
    <w:rsid w:val="00155080"/>
    <w:rsid w:val="00156FC7"/>
    <w:rsid w:val="00161E98"/>
    <w:rsid w:val="00165F05"/>
    <w:rsid w:val="001665AA"/>
    <w:rsid w:val="00167BD7"/>
    <w:rsid w:val="00184273"/>
    <w:rsid w:val="00184959"/>
    <w:rsid w:val="00195B94"/>
    <w:rsid w:val="001A1DC9"/>
    <w:rsid w:val="001A1F00"/>
    <w:rsid w:val="001A39E7"/>
    <w:rsid w:val="001B23D1"/>
    <w:rsid w:val="001B5260"/>
    <w:rsid w:val="001C613C"/>
    <w:rsid w:val="001C778E"/>
    <w:rsid w:val="001E4959"/>
    <w:rsid w:val="001E564C"/>
    <w:rsid w:val="001F0FFF"/>
    <w:rsid w:val="001F75CE"/>
    <w:rsid w:val="001F7D80"/>
    <w:rsid w:val="00201E5C"/>
    <w:rsid w:val="002104E7"/>
    <w:rsid w:val="00220C4B"/>
    <w:rsid w:val="00221B31"/>
    <w:rsid w:val="0022219B"/>
    <w:rsid w:val="002231AC"/>
    <w:rsid w:val="00235E78"/>
    <w:rsid w:val="0024400E"/>
    <w:rsid w:val="00244D2A"/>
    <w:rsid w:val="00251899"/>
    <w:rsid w:val="00255582"/>
    <w:rsid w:val="0026033D"/>
    <w:rsid w:val="00260B02"/>
    <w:rsid w:val="00287DCA"/>
    <w:rsid w:val="00293935"/>
    <w:rsid w:val="00296A5E"/>
    <w:rsid w:val="002B1609"/>
    <w:rsid w:val="002C32C8"/>
    <w:rsid w:val="002C35EA"/>
    <w:rsid w:val="002C363C"/>
    <w:rsid w:val="002C636B"/>
    <w:rsid w:val="002C691B"/>
    <w:rsid w:val="002D0130"/>
    <w:rsid w:val="002D40DB"/>
    <w:rsid w:val="002D73B9"/>
    <w:rsid w:val="002E14EA"/>
    <w:rsid w:val="002F02C9"/>
    <w:rsid w:val="002F4DC5"/>
    <w:rsid w:val="003043B6"/>
    <w:rsid w:val="0030457C"/>
    <w:rsid w:val="00306685"/>
    <w:rsid w:val="003119A8"/>
    <w:rsid w:val="00336B09"/>
    <w:rsid w:val="00351EF0"/>
    <w:rsid w:val="00360A06"/>
    <w:rsid w:val="00360B9A"/>
    <w:rsid w:val="00372D74"/>
    <w:rsid w:val="00376B34"/>
    <w:rsid w:val="00381E0E"/>
    <w:rsid w:val="00387E05"/>
    <w:rsid w:val="0039269A"/>
    <w:rsid w:val="0039751B"/>
    <w:rsid w:val="003A391F"/>
    <w:rsid w:val="003A3A3F"/>
    <w:rsid w:val="003C1065"/>
    <w:rsid w:val="003C153C"/>
    <w:rsid w:val="003C27F8"/>
    <w:rsid w:val="003C451D"/>
    <w:rsid w:val="003D32A1"/>
    <w:rsid w:val="003E1592"/>
    <w:rsid w:val="003E4C41"/>
    <w:rsid w:val="003F1EEC"/>
    <w:rsid w:val="003F22B3"/>
    <w:rsid w:val="004018CB"/>
    <w:rsid w:val="00402D6F"/>
    <w:rsid w:val="004060EF"/>
    <w:rsid w:val="004074F7"/>
    <w:rsid w:val="00410813"/>
    <w:rsid w:val="00416553"/>
    <w:rsid w:val="00424341"/>
    <w:rsid w:val="00430834"/>
    <w:rsid w:val="00433EDB"/>
    <w:rsid w:val="00437E72"/>
    <w:rsid w:val="0044730F"/>
    <w:rsid w:val="00461A14"/>
    <w:rsid w:val="004742FF"/>
    <w:rsid w:val="004769DC"/>
    <w:rsid w:val="00484B47"/>
    <w:rsid w:val="00485256"/>
    <w:rsid w:val="004A5369"/>
    <w:rsid w:val="004C140E"/>
    <w:rsid w:val="004C3449"/>
    <w:rsid w:val="004D5D22"/>
    <w:rsid w:val="004D77E6"/>
    <w:rsid w:val="004E18EF"/>
    <w:rsid w:val="004E2786"/>
    <w:rsid w:val="004E36B5"/>
    <w:rsid w:val="004E3783"/>
    <w:rsid w:val="004E661F"/>
    <w:rsid w:val="004E7B07"/>
    <w:rsid w:val="004F1615"/>
    <w:rsid w:val="004F404D"/>
    <w:rsid w:val="004F60F9"/>
    <w:rsid w:val="004F7FD8"/>
    <w:rsid w:val="005028B3"/>
    <w:rsid w:val="0050545C"/>
    <w:rsid w:val="00506AF4"/>
    <w:rsid w:val="0051227E"/>
    <w:rsid w:val="005130C5"/>
    <w:rsid w:val="00524D34"/>
    <w:rsid w:val="00531992"/>
    <w:rsid w:val="00536A5E"/>
    <w:rsid w:val="00541922"/>
    <w:rsid w:val="0054318F"/>
    <w:rsid w:val="005546F4"/>
    <w:rsid w:val="00557B7D"/>
    <w:rsid w:val="00561F2E"/>
    <w:rsid w:val="00562640"/>
    <w:rsid w:val="00565475"/>
    <w:rsid w:val="00565B41"/>
    <w:rsid w:val="0056771B"/>
    <w:rsid w:val="005729B4"/>
    <w:rsid w:val="00574152"/>
    <w:rsid w:val="005759A5"/>
    <w:rsid w:val="005863F9"/>
    <w:rsid w:val="005922C7"/>
    <w:rsid w:val="0059357D"/>
    <w:rsid w:val="005945A4"/>
    <w:rsid w:val="00594F9B"/>
    <w:rsid w:val="00595B6E"/>
    <w:rsid w:val="005A7DED"/>
    <w:rsid w:val="005B1ED4"/>
    <w:rsid w:val="005B5156"/>
    <w:rsid w:val="005B5C38"/>
    <w:rsid w:val="005C511C"/>
    <w:rsid w:val="005D63A3"/>
    <w:rsid w:val="005E28FE"/>
    <w:rsid w:val="005F34A4"/>
    <w:rsid w:val="005F3963"/>
    <w:rsid w:val="005F63C7"/>
    <w:rsid w:val="00610890"/>
    <w:rsid w:val="00610A54"/>
    <w:rsid w:val="006124E6"/>
    <w:rsid w:val="00620B2C"/>
    <w:rsid w:val="00622BCA"/>
    <w:rsid w:val="00633F4E"/>
    <w:rsid w:val="00635D5D"/>
    <w:rsid w:val="00641AF0"/>
    <w:rsid w:val="0064386E"/>
    <w:rsid w:val="00644A7E"/>
    <w:rsid w:val="00645F93"/>
    <w:rsid w:val="00647FE8"/>
    <w:rsid w:val="00653D10"/>
    <w:rsid w:val="00657EBE"/>
    <w:rsid w:val="00661174"/>
    <w:rsid w:val="00661DE5"/>
    <w:rsid w:val="006633AD"/>
    <w:rsid w:val="00671CEB"/>
    <w:rsid w:val="006803F3"/>
    <w:rsid w:val="00680D50"/>
    <w:rsid w:val="006934E5"/>
    <w:rsid w:val="00694786"/>
    <w:rsid w:val="006A55CC"/>
    <w:rsid w:val="006A591E"/>
    <w:rsid w:val="006A5B04"/>
    <w:rsid w:val="006B2608"/>
    <w:rsid w:val="006B4A03"/>
    <w:rsid w:val="006C0D41"/>
    <w:rsid w:val="006C12E4"/>
    <w:rsid w:val="006C50E6"/>
    <w:rsid w:val="006E37C9"/>
    <w:rsid w:val="006E5F34"/>
    <w:rsid w:val="006E74F7"/>
    <w:rsid w:val="006F382C"/>
    <w:rsid w:val="00703C47"/>
    <w:rsid w:val="00706950"/>
    <w:rsid w:val="00712B98"/>
    <w:rsid w:val="00712E39"/>
    <w:rsid w:val="007138A7"/>
    <w:rsid w:val="0071418E"/>
    <w:rsid w:val="0072443D"/>
    <w:rsid w:val="00725260"/>
    <w:rsid w:val="0073039A"/>
    <w:rsid w:val="0073173F"/>
    <w:rsid w:val="007326A6"/>
    <w:rsid w:val="00740CC7"/>
    <w:rsid w:val="007564AF"/>
    <w:rsid w:val="00756C1A"/>
    <w:rsid w:val="00764BA5"/>
    <w:rsid w:val="00765671"/>
    <w:rsid w:val="007657EB"/>
    <w:rsid w:val="00775A53"/>
    <w:rsid w:val="007813F1"/>
    <w:rsid w:val="0079124B"/>
    <w:rsid w:val="00795E96"/>
    <w:rsid w:val="007A01EC"/>
    <w:rsid w:val="007A11B2"/>
    <w:rsid w:val="007A5C45"/>
    <w:rsid w:val="007B545A"/>
    <w:rsid w:val="007C3B9D"/>
    <w:rsid w:val="007D4B75"/>
    <w:rsid w:val="007D5330"/>
    <w:rsid w:val="007E13E7"/>
    <w:rsid w:val="007E2EC8"/>
    <w:rsid w:val="007E75E0"/>
    <w:rsid w:val="007E7DB0"/>
    <w:rsid w:val="007F0AA4"/>
    <w:rsid w:val="007F0E2A"/>
    <w:rsid w:val="007F2E1E"/>
    <w:rsid w:val="00800663"/>
    <w:rsid w:val="00805C1D"/>
    <w:rsid w:val="00811049"/>
    <w:rsid w:val="0081132E"/>
    <w:rsid w:val="008278D1"/>
    <w:rsid w:val="00833BEF"/>
    <w:rsid w:val="008544E0"/>
    <w:rsid w:val="00866DDE"/>
    <w:rsid w:val="00870509"/>
    <w:rsid w:val="00890E51"/>
    <w:rsid w:val="008A6465"/>
    <w:rsid w:val="008A7646"/>
    <w:rsid w:val="008B4276"/>
    <w:rsid w:val="008B7DDD"/>
    <w:rsid w:val="008C1B0F"/>
    <w:rsid w:val="008C4931"/>
    <w:rsid w:val="008C4B74"/>
    <w:rsid w:val="008D151B"/>
    <w:rsid w:val="008E35E5"/>
    <w:rsid w:val="008E4AA6"/>
    <w:rsid w:val="008E570E"/>
    <w:rsid w:val="008F16FF"/>
    <w:rsid w:val="008F18EB"/>
    <w:rsid w:val="008F26C0"/>
    <w:rsid w:val="008F341E"/>
    <w:rsid w:val="00911EE8"/>
    <w:rsid w:val="009122FC"/>
    <w:rsid w:val="009147E4"/>
    <w:rsid w:val="00922FFB"/>
    <w:rsid w:val="00923C53"/>
    <w:rsid w:val="00932BD5"/>
    <w:rsid w:val="009354E6"/>
    <w:rsid w:val="00937AF1"/>
    <w:rsid w:val="00946A53"/>
    <w:rsid w:val="00952122"/>
    <w:rsid w:val="00952AF7"/>
    <w:rsid w:val="009535FF"/>
    <w:rsid w:val="00956A91"/>
    <w:rsid w:val="009719A8"/>
    <w:rsid w:val="00971CD0"/>
    <w:rsid w:val="00974800"/>
    <w:rsid w:val="0098603C"/>
    <w:rsid w:val="00986803"/>
    <w:rsid w:val="0099386C"/>
    <w:rsid w:val="009A03AD"/>
    <w:rsid w:val="009A4293"/>
    <w:rsid w:val="009A475F"/>
    <w:rsid w:val="009A4D56"/>
    <w:rsid w:val="009B275D"/>
    <w:rsid w:val="009B62BB"/>
    <w:rsid w:val="009C0D6E"/>
    <w:rsid w:val="009C5745"/>
    <w:rsid w:val="009D5647"/>
    <w:rsid w:val="009E25B4"/>
    <w:rsid w:val="009E450A"/>
    <w:rsid w:val="009E630D"/>
    <w:rsid w:val="009F6AF5"/>
    <w:rsid w:val="00A03875"/>
    <w:rsid w:val="00A043CE"/>
    <w:rsid w:val="00A10491"/>
    <w:rsid w:val="00A14FA4"/>
    <w:rsid w:val="00A1519D"/>
    <w:rsid w:val="00A15D93"/>
    <w:rsid w:val="00A2341B"/>
    <w:rsid w:val="00A23E5A"/>
    <w:rsid w:val="00A2557E"/>
    <w:rsid w:val="00A25BFD"/>
    <w:rsid w:val="00A32284"/>
    <w:rsid w:val="00A5100E"/>
    <w:rsid w:val="00A55A47"/>
    <w:rsid w:val="00A62542"/>
    <w:rsid w:val="00A718C6"/>
    <w:rsid w:val="00A7417C"/>
    <w:rsid w:val="00A82B05"/>
    <w:rsid w:val="00A96DBA"/>
    <w:rsid w:val="00AA1780"/>
    <w:rsid w:val="00AC00F1"/>
    <w:rsid w:val="00AC344A"/>
    <w:rsid w:val="00AC58AB"/>
    <w:rsid w:val="00AC6A7C"/>
    <w:rsid w:val="00AD2DD2"/>
    <w:rsid w:val="00AD6CF9"/>
    <w:rsid w:val="00AE255A"/>
    <w:rsid w:val="00AF127D"/>
    <w:rsid w:val="00AF27E0"/>
    <w:rsid w:val="00AF59A5"/>
    <w:rsid w:val="00AF69F6"/>
    <w:rsid w:val="00B10076"/>
    <w:rsid w:val="00B106AC"/>
    <w:rsid w:val="00B14336"/>
    <w:rsid w:val="00B1632F"/>
    <w:rsid w:val="00B16EF4"/>
    <w:rsid w:val="00B20F22"/>
    <w:rsid w:val="00B22552"/>
    <w:rsid w:val="00B2564E"/>
    <w:rsid w:val="00B32F6C"/>
    <w:rsid w:val="00B35312"/>
    <w:rsid w:val="00B37009"/>
    <w:rsid w:val="00B464B2"/>
    <w:rsid w:val="00B51322"/>
    <w:rsid w:val="00B518B8"/>
    <w:rsid w:val="00B526C6"/>
    <w:rsid w:val="00B61BBE"/>
    <w:rsid w:val="00B67599"/>
    <w:rsid w:val="00B70782"/>
    <w:rsid w:val="00B84680"/>
    <w:rsid w:val="00B91584"/>
    <w:rsid w:val="00B95F5C"/>
    <w:rsid w:val="00BB1084"/>
    <w:rsid w:val="00BB55F7"/>
    <w:rsid w:val="00BC069C"/>
    <w:rsid w:val="00BC149E"/>
    <w:rsid w:val="00BC7680"/>
    <w:rsid w:val="00BD16DB"/>
    <w:rsid w:val="00BE164A"/>
    <w:rsid w:val="00BE5840"/>
    <w:rsid w:val="00BE7C5B"/>
    <w:rsid w:val="00BF0976"/>
    <w:rsid w:val="00BF3CD7"/>
    <w:rsid w:val="00C02149"/>
    <w:rsid w:val="00C041FC"/>
    <w:rsid w:val="00C1290D"/>
    <w:rsid w:val="00C165AB"/>
    <w:rsid w:val="00C25541"/>
    <w:rsid w:val="00C26296"/>
    <w:rsid w:val="00C30391"/>
    <w:rsid w:val="00C368F0"/>
    <w:rsid w:val="00C439FE"/>
    <w:rsid w:val="00C4447B"/>
    <w:rsid w:val="00C543E7"/>
    <w:rsid w:val="00C7796C"/>
    <w:rsid w:val="00C77FA7"/>
    <w:rsid w:val="00C80739"/>
    <w:rsid w:val="00C815B1"/>
    <w:rsid w:val="00C824EC"/>
    <w:rsid w:val="00C82D31"/>
    <w:rsid w:val="00C901C7"/>
    <w:rsid w:val="00C93D92"/>
    <w:rsid w:val="00C9635F"/>
    <w:rsid w:val="00C96719"/>
    <w:rsid w:val="00C96B61"/>
    <w:rsid w:val="00CA052B"/>
    <w:rsid w:val="00CB4065"/>
    <w:rsid w:val="00CB62F6"/>
    <w:rsid w:val="00CB71E1"/>
    <w:rsid w:val="00CC06D4"/>
    <w:rsid w:val="00CC0E84"/>
    <w:rsid w:val="00CE1DCB"/>
    <w:rsid w:val="00CE1F3A"/>
    <w:rsid w:val="00CE3E2E"/>
    <w:rsid w:val="00CE6968"/>
    <w:rsid w:val="00CF318B"/>
    <w:rsid w:val="00CF4741"/>
    <w:rsid w:val="00CF5298"/>
    <w:rsid w:val="00CF7A2B"/>
    <w:rsid w:val="00D00531"/>
    <w:rsid w:val="00D032F7"/>
    <w:rsid w:val="00D06988"/>
    <w:rsid w:val="00D117B9"/>
    <w:rsid w:val="00D13C39"/>
    <w:rsid w:val="00D17881"/>
    <w:rsid w:val="00D24DC4"/>
    <w:rsid w:val="00D258D4"/>
    <w:rsid w:val="00D26339"/>
    <w:rsid w:val="00D267A7"/>
    <w:rsid w:val="00D27415"/>
    <w:rsid w:val="00D349E0"/>
    <w:rsid w:val="00D435B3"/>
    <w:rsid w:val="00D5218A"/>
    <w:rsid w:val="00D53DFD"/>
    <w:rsid w:val="00D56CDF"/>
    <w:rsid w:val="00D64CF4"/>
    <w:rsid w:val="00D66759"/>
    <w:rsid w:val="00D67F55"/>
    <w:rsid w:val="00D72B71"/>
    <w:rsid w:val="00D7364D"/>
    <w:rsid w:val="00D7380F"/>
    <w:rsid w:val="00D75325"/>
    <w:rsid w:val="00D85B5A"/>
    <w:rsid w:val="00D87485"/>
    <w:rsid w:val="00D92672"/>
    <w:rsid w:val="00D92A88"/>
    <w:rsid w:val="00D961FB"/>
    <w:rsid w:val="00DA0FD4"/>
    <w:rsid w:val="00DA577C"/>
    <w:rsid w:val="00DB2CE4"/>
    <w:rsid w:val="00DC1680"/>
    <w:rsid w:val="00DC4D50"/>
    <w:rsid w:val="00DD0F87"/>
    <w:rsid w:val="00DD5B72"/>
    <w:rsid w:val="00DD6451"/>
    <w:rsid w:val="00DF15E1"/>
    <w:rsid w:val="00E06999"/>
    <w:rsid w:val="00E10CC8"/>
    <w:rsid w:val="00E11CF9"/>
    <w:rsid w:val="00E12013"/>
    <w:rsid w:val="00E21F96"/>
    <w:rsid w:val="00E33BFE"/>
    <w:rsid w:val="00E406C1"/>
    <w:rsid w:val="00E42E99"/>
    <w:rsid w:val="00E55F23"/>
    <w:rsid w:val="00E628EF"/>
    <w:rsid w:val="00E63B39"/>
    <w:rsid w:val="00E6752F"/>
    <w:rsid w:val="00E77A16"/>
    <w:rsid w:val="00E827DA"/>
    <w:rsid w:val="00E85B65"/>
    <w:rsid w:val="00E86ABD"/>
    <w:rsid w:val="00E87F45"/>
    <w:rsid w:val="00E9130F"/>
    <w:rsid w:val="00E933A5"/>
    <w:rsid w:val="00E93B1A"/>
    <w:rsid w:val="00E959E4"/>
    <w:rsid w:val="00E96DCF"/>
    <w:rsid w:val="00EA601C"/>
    <w:rsid w:val="00EA74DE"/>
    <w:rsid w:val="00EB7434"/>
    <w:rsid w:val="00ED3EB5"/>
    <w:rsid w:val="00ED4D78"/>
    <w:rsid w:val="00EE34B8"/>
    <w:rsid w:val="00EE6A1A"/>
    <w:rsid w:val="00EF0DEC"/>
    <w:rsid w:val="00F01B41"/>
    <w:rsid w:val="00F03F59"/>
    <w:rsid w:val="00F04E4E"/>
    <w:rsid w:val="00F147B2"/>
    <w:rsid w:val="00F162B3"/>
    <w:rsid w:val="00F16BE0"/>
    <w:rsid w:val="00F22901"/>
    <w:rsid w:val="00F30227"/>
    <w:rsid w:val="00F40035"/>
    <w:rsid w:val="00F41FDA"/>
    <w:rsid w:val="00F43484"/>
    <w:rsid w:val="00F4610C"/>
    <w:rsid w:val="00F463B3"/>
    <w:rsid w:val="00F47AEB"/>
    <w:rsid w:val="00F5245D"/>
    <w:rsid w:val="00F636D9"/>
    <w:rsid w:val="00F718B5"/>
    <w:rsid w:val="00F73CE1"/>
    <w:rsid w:val="00F82DB9"/>
    <w:rsid w:val="00F82E2F"/>
    <w:rsid w:val="00F84187"/>
    <w:rsid w:val="00F8439D"/>
    <w:rsid w:val="00F929CA"/>
    <w:rsid w:val="00FA081E"/>
    <w:rsid w:val="00FA4918"/>
    <w:rsid w:val="00FA5FA5"/>
    <w:rsid w:val="00FB162A"/>
    <w:rsid w:val="00FB5645"/>
    <w:rsid w:val="00FB6151"/>
    <w:rsid w:val="00FB6B9E"/>
    <w:rsid w:val="00FC0D6A"/>
    <w:rsid w:val="00FD4B86"/>
    <w:rsid w:val="00FE5FE6"/>
    <w:rsid w:val="00FF6A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5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4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6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7E"/>
    <w:pPr>
      <w:ind w:left="720"/>
      <w:contextualSpacing/>
    </w:pPr>
  </w:style>
  <w:style w:type="table" w:styleId="TableGrid">
    <w:name w:val="Table Grid"/>
    <w:basedOn w:val="TableNormal"/>
    <w:uiPriority w:val="39"/>
    <w:rsid w:val="002D4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E6968"/>
    <w:rPr>
      <w:sz w:val="18"/>
      <w:szCs w:val="18"/>
    </w:rPr>
  </w:style>
  <w:style w:type="paragraph" w:styleId="CommentText">
    <w:name w:val="annotation text"/>
    <w:basedOn w:val="Normal"/>
    <w:link w:val="CommentTextChar"/>
    <w:uiPriority w:val="99"/>
    <w:semiHidden/>
    <w:unhideWhenUsed/>
    <w:rsid w:val="00CE6968"/>
  </w:style>
  <w:style w:type="character" w:customStyle="1" w:styleId="CommentTextChar">
    <w:name w:val="Comment Text Char"/>
    <w:basedOn w:val="DefaultParagraphFont"/>
    <w:link w:val="CommentText"/>
    <w:uiPriority w:val="99"/>
    <w:semiHidden/>
    <w:rsid w:val="00CE6968"/>
    <w:rPr>
      <w:lang w:val="en-GB"/>
    </w:rPr>
  </w:style>
  <w:style w:type="paragraph" w:styleId="CommentSubject">
    <w:name w:val="annotation subject"/>
    <w:basedOn w:val="CommentText"/>
    <w:next w:val="CommentText"/>
    <w:link w:val="CommentSubjectChar"/>
    <w:uiPriority w:val="99"/>
    <w:semiHidden/>
    <w:unhideWhenUsed/>
    <w:rsid w:val="00CE6968"/>
    <w:rPr>
      <w:b/>
      <w:bCs/>
      <w:sz w:val="20"/>
      <w:szCs w:val="20"/>
    </w:rPr>
  </w:style>
  <w:style w:type="character" w:customStyle="1" w:styleId="CommentSubjectChar">
    <w:name w:val="Comment Subject Char"/>
    <w:basedOn w:val="CommentTextChar"/>
    <w:link w:val="CommentSubject"/>
    <w:uiPriority w:val="99"/>
    <w:semiHidden/>
    <w:rsid w:val="00CE6968"/>
    <w:rPr>
      <w:b/>
      <w:bCs/>
      <w:sz w:val="20"/>
      <w:szCs w:val="20"/>
      <w:lang w:val="en-GB"/>
    </w:rPr>
  </w:style>
  <w:style w:type="paragraph" w:styleId="BalloonText">
    <w:name w:val="Balloon Text"/>
    <w:basedOn w:val="Normal"/>
    <w:link w:val="BalloonTextChar"/>
    <w:uiPriority w:val="99"/>
    <w:semiHidden/>
    <w:unhideWhenUsed/>
    <w:rsid w:val="00CE69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968"/>
    <w:rPr>
      <w:rFonts w:ascii="Times New Roman" w:hAnsi="Times New Roman" w:cs="Times New Roman"/>
      <w:sz w:val="18"/>
      <w:szCs w:val="18"/>
      <w:lang w:val="en-GB"/>
    </w:rPr>
  </w:style>
  <w:style w:type="character" w:customStyle="1" w:styleId="Heading1Char">
    <w:name w:val="Heading 1 Char"/>
    <w:basedOn w:val="DefaultParagraphFont"/>
    <w:link w:val="Heading1"/>
    <w:uiPriority w:val="9"/>
    <w:rsid w:val="00A7417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B61BBE"/>
    <w:rPr>
      <w:color w:val="0563C1" w:themeColor="hyperlink"/>
      <w:u w:val="single"/>
    </w:rPr>
  </w:style>
  <w:style w:type="paragraph" w:styleId="Caption">
    <w:name w:val="caption"/>
    <w:basedOn w:val="Normal"/>
    <w:next w:val="Normal"/>
    <w:uiPriority w:val="35"/>
    <w:unhideWhenUsed/>
    <w:qFormat/>
    <w:rsid w:val="00833BEF"/>
    <w:pPr>
      <w:spacing w:after="200"/>
    </w:pPr>
    <w:rPr>
      <w:i/>
      <w:iCs/>
      <w:color w:val="44546A" w:themeColor="text2"/>
      <w:sz w:val="18"/>
      <w:szCs w:val="18"/>
    </w:rPr>
  </w:style>
  <w:style w:type="paragraph" w:styleId="NoSpacing">
    <w:name w:val="No Spacing"/>
    <w:uiPriority w:val="1"/>
    <w:qFormat/>
    <w:rsid w:val="007326A6"/>
    <w:rPr>
      <w:lang w:val="en-GB"/>
    </w:rPr>
  </w:style>
  <w:style w:type="character" w:customStyle="1" w:styleId="Heading2Char">
    <w:name w:val="Heading 2 Char"/>
    <w:basedOn w:val="DefaultParagraphFont"/>
    <w:link w:val="Heading2"/>
    <w:uiPriority w:val="9"/>
    <w:rsid w:val="007326A6"/>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30113">
      <w:bodyDiv w:val="1"/>
      <w:marLeft w:val="0"/>
      <w:marRight w:val="0"/>
      <w:marTop w:val="0"/>
      <w:marBottom w:val="0"/>
      <w:divBdr>
        <w:top w:val="none" w:sz="0" w:space="0" w:color="auto"/>
        <w:left w:val="none" w:sz="0" w:space="0" w:color="auto"/>
        <w:bottom w:val="none" w:sz="0" w:space="0" w:color="auto"/>
        <w:right w:val="none" w:sz="0" w:space="0" w:color="auto"/>
      </w:divBdr>
    </w:div>
    <w:div w:id="1519849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D3EDA3-9CC4-1D4A-94E1-E695F552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4601</Words>
  <Characters>26226</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stress-test of the Ahmedabad Heat Action Plan under climate change</vt:lpstr>
      <vt:lpstr>    Introduction</vt:lpstr>
      <vt:lpstr>    Ahmedabad Heat Action Plan 2017</vt:lpstr>
      <vt:lpstr>    Results</vt:lpstr>
      <vt:lpstr>    Discussion</vt:lpstr>
      <vt:lpstr>References</vt:lpstr>
    </vt:vector>
  </TitlesOfParts>
  <LinksUpToDate>false</LinksUpToDate>
  <CharactersWithSpaces>30766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37</cp:revision>
  <dcterms:created xsi:type="dcterms:W3CDTF">2017-10-05T14:05:00Z</dcterms:created>
  <dcterms:modified xsi:type="dcterms:W3CDTF">2017-10-05T15:17:00Z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