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B7F24" w14:textId="66599B3C" w:rsidR="00F718B5" w:rsidRPr="009354E6" w:rsidRDefault="00AC00F1" w:rsidP="009354E6">
      <w:pPr>
        <w:jc w:val="center"/>
        <w:rPr>
          <w:b/>
          <w:sz w:val="28"/>
          <w:szCs w:val="28"/>
        </w:rPr>
      </w:pPr>
      <w:r w:rsidRPr="00756C1A">
        <w:rPr>
          <w:b/>
          <w:sz w:val="28"/>
          <w:szCs w:val="28"/>
        </w:rPr>
        <w:t>A stress-test o</w:t>
      </w:r>
      <w:r w:rsidR="00115ED5" w:rsidRPr="00756C1A">
        <w:rPr>
          <w:b/>
          <w:sz w:val="28"/>
          <w:szCs w:val="28"/>
        </w:rPr>
        <w:t>f h</w:t>
      </w:r>
      <w:r w:rsidR="007F0AA4" w:rsidRPr="00756C1A">
        <w:rPr>
          <w:b/>
          <w:sz w:val="28"/>
          <w:szCs w:val="28"/>
        </w:rPr>
        <w:t xml:space="preserve">eat </w:t>
      </w:r>
      <w:r w:rsidR="00115ED5" w:rsidRPr="00756C1A">
        <w:rPr>
          <w:b/>
          <w:sz w:val="28"/>
          <w:szCs w:val="28"/>
        </w:rPr>
        <w:t>h</w:t>
      </w:r>
      <w:r w:rsidR="007F0AA4" w:rsidRPr="00756C1A">
        <w:rPr>
          <w:b/>
          <w:sz w:val="28"/>
          <w:szCs w:val="28"/>
        </w:rPr>
        <w:t xml:space="preserve">ealth </w:t>
      </w:r>
      <w:r w:rsidR="00115ED5" w:rsidRPr="00756C1A">
        <w:rPr>
          <w:b/>
          <w:sz w:val="28"/>
          <w:szCs w:val="28"/>
        </w:rPr>
        <w:t xml:space="preserve">warning systems and actions plans </w:t>
      </w:r>
      <w:r w:rsidRPr="00756C1A">
        <w:rPr>
          <w:b/>
          <w:sz w:val="28"/>
          <w:szCs w:val="28"/>
        </w:rPr>
        <w:t>under future climate change scenarios</w:t>
      </w:r>
    </w:p>
    <w:p w14:paraId="593A20DF" w14:textId="3B73D906" w:rsidR="00F718B5" w:rsidRPr="009354E6" w:rsidRDefault="00F718B5" w:rsidP="009354E6">
      <w:pPr>
        <w:pStyle w:val="Heading1"/>
      </w:pPr>
      <w:r w:rsidRPr="00AC00F1">
        <w:t>Abstract</w:t>
      </w:r>
    </w:p>
    <w:p w14:paraId="56A39F2C" w14:textId="4327C77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360B9A">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"http://www.mendeley.com/documents/?uuid=4a3c238b-f19d-4589-ab7d-38cd7a1ebe34"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"http://www.mendeley.com/documents/?uuid=f019dc8d-900c-43aa-962b-b66d8768a4af"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3660366F"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B95F5C">
        <w:t>, as well as how exposure to alert days are projected to change by using population projections</w:t>
      </w:r>
      <w:r w:rsidR="007C3B9D">
        <w:t>.</w:t>
      </w:r>
    </w:p>
    <w:p w14:paraId="3BB87E84" w14:textId="77777777" w:rsidR="000C4ED8" w:rsidRDefault="000C4ED8" w:rsidP="002C32C8">
      <w:pPr>
        <w:jc w:val="both"/>
      </w:pPr>
    </w:p>
    <w:p w14:paraId="42116937" w14:textId="51A17E37" w:rsidR="006A591E"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aim </w:t>
      </w:r>
      <w:r w:rsidR="004E661F">
        <w:t xml:space="preserve">of the study is </w:t>
      </w:r>
      <w:r w:rsidR="007C3B9D">
        <w:t>to judge the feasibility of such action plans under projected climate change.</w:t>
      </w:r>
    </w:p>
    <w:p w14:paraId="00BC03F4" w14:textId="16A547C2" w:rsidR="006A591E" w:rsidRPr="009354E6" w:rsidRDefault="00635D5D" w:rsidP="009354E6">
      <w:pPr>
        <w:pStyle w:val="Heading1"/>
      </w:pPr>
      <w:r>
        <w:t>Example work</w:t>
      </w:r>
    </w:p>
    <w:p w14:paraId="0A46191B" w14:textId="0D6CE344" w:rsidR="00562640" w:rsidRDefault="006A591E" w:rsidP="00562640">
      <w:pPr>
        <w:widowControl w:val="0"/>
        <w:autoSpaceDE w:val="0"/>
        <w:autoSpaceDN w:val="0"/>
        <w:adjustRightInd w:val="0"/>
        <w:ind w:left="640" w:hanging="640"/>
        <w:jc w:val="both"/>
      </w:pPr>
      <w:r>
        <w:t xml:space="preserve">Using the Ahmedabad </w:t>
      </w:r>
      <w:r w:rsidR="00562640">
        <w:t>Heat A</w:t>
      </w:r>
      <w:r>
        <w:t>c</w:t>
      </w:r>
      <w:r w:rsidR="00562640">
        <w:t>tion P</w:t>
      </w:r>
      <w:r w:rsidR="000E21BF">
        <w:t>lan</w:t>
      </w:r>
      <w:r w:rsidR="002D40DB">
        <w:fldChar w:fldCharType="begin" w:fldLock="1"/>
      </w:r>
      <w:r w:rsidR="002D40D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002D40DB">
        <w:fldChar w:fldCharType="separate"/>
      </w:r>
      <w:r w:rsidR="002D40DB" w:rsidRPr="002D40DB">
        <w:rPr>
          <w:noProof/>
          <w:vertAlign w:val="superscript"/>
        </w:rPr>
        <w:t>6</w:t>
      </w:r>
      <w:r w:rsidR="002D40DB">
        <w:fldChar w:fldCharType="end"/>
      </w:r>
      <w:r w:rsidR="000E21BF">
        <w:t xml:space="preserve">, </w:t>
      </w:r>
      <w:r w:rsidR="00562640">
        <w:t xml:space="preserve">warning thresholds are obtained </w:t>
      </w:r>
    </w:p>
    <w:p w14:paraId="2F5C894C" w14:textId="4339EDC9" w:rsidR="00562640" w:rsidRDefault="00562640" w:rsidP="00562640">
      <w:pPr>
        <w:widowControl w:val="0"/>
        <w:autoSpaceDE w:val="0"/>
        <w:autoSpaceDN w:val="0"/>
        <w:adjustRightInd w:val="0"/>
        <w:ind w:left="640" w:hanging="640"/>
        <w:jc w:val="both"/>
      </w:pP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922FFB">
        <w:trPr>
          <w:trHeight w:val="260"/>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bookmarkStart w:id="0" w:name="_GoBack"/>
      <w:bookmarkEnd w:id="0"/>
    </w:p>
    <w:p w14:paraId="1E4C4331" w14:textId="61B5FA3C" w:rsidR="00CB71E1" w:rsidRDefault="00CB71E1" w:rsidP="00CB71E1">
      <w:pPr>
        <w:jc w:val="both"/>
      </w:pPr>
      <w:r w:rsidRPr="00CB71E1">
        <w:t xml:space="preserve">Using the KNMI Climate Explorer, projections for daily </w:t>
      </w:r>
      <w:proofErr w:type="spellStart"/>
      <w:r w:rsidRPr="00CB71E1">
        <w:t>T</w:t>
      </w:r>
      <w:r w:rsidR="00971CD0" w:rsidRPr="00971CD0">
        <w:rPr>
          <w:vertAlign w:val="subscript"/>
        </w:rPr>
        <w:t>max</w:t>
      </w:r>
      <w:proofErr w:type="spellEnd"/>
      <w:r w:rsidRPr="00CB71E1">
        <w:t xml:space="preserve"> in 2046-2065 and 2081-2100 were obtained for the Ahmedabad grid square using CSIRO Mk3 Climate System Model</w:t>
      </w:r>
      <w:r w:rsidR="00360B9A">
        <w:t xml:space="preserve"> under</w:t>
      </w:r>
      <w:r w:rsidR="00484B47">
        <w:t xml:space="preserve"> the A2 scenario.</w:t>
      </w:r>
      <w:r w:rsidR="00360B9A">
        <w:fldChar w:fldCharType="begin" w:fldLock="1"/>
      </w:r>
      <w:r w:rsidR="00360B9A">
        <w:instrText>ADDIN CSL_CITATION { "citationItems" : [ { "id" : "ITEM-1", "itemData" : { "ISBN" : "0643068783", "abstract" : "The CSIRO Mk3 climate system model contains a comprehensive representation of the four major components of the climate system (atmosphere, land surface, oceans and sea-ice), and in its current form is as comprehensive as any of the global coupled models available worldwide. The documentation here represents a considerable team effort. A full history of the development path of the Mk3 model is provided, and it is noteworthy that the forerunners to this model (the Mk1 and Mk2 models) have been used in a large number of climate related experiments, and for multi-seasonal predictions. The major aim in the development of the Mk3 climate model has been to provide a coupled atmosphere-ocean system that gives a significantly improved representation of the current climate relative to the prior model generations. It was also highly desirable that this be achieved without the need for any artificial corrections (the so called \u201cflux adjustments\u201d) to the flux quantities connecting the atmospheric and oceanic systems. This has been successfully achieved with the Mk3 climate system model. The Mk3 model will be used to investigate the dynamical and physical processes controlling the climate system, for multiseasonal predictions, and for investigations of natural climatic variability and climatic change. This technical report is intended to provide a technical documentation for users of the Mk3 climate system model. There are details about the model computer code structure with specific reference to subroutine names and the operations undertaken by those routines. The model code is the representation of a very complex system of interacting components, and thus the information provided here will not cover all model details. Model code developed at CSIRO Atmospheric Research is however given in some detail. The Mk3 model contains an atmospheric model dynamical core that has been developed entirely in-house. The same applies to the landsurface (vegetation canopy) model and sea-ice model. There are a great number of physical processes that have to be incorporated (detailed in this report), and one significant development in the Mk3 model is the inclusion of a new prognostic cloud scheme. This allows the model to generate its own physically-based cloud properties, based upon cloud water and cloud ice. The cloud scheme has been coupled to an atmospheric convection scheme that is derived from that used in the Hadley Centre model. The oceanic model is based upon the GFDL MOM2 c\u2026", "author" : [ { "dropping-particle" : "", "family" : "Gordon", "given" : "H.B.", "non-dropping-particle" : "", "parse-names" : false, "suffix" : "" }, { "dropping-particle" : "", "family" : "Rotstayn LD, McGregor JL, Dix MR, Kowalczyk, O\u2019Farrell SP, Waterman LJ, HirstAC, Wilson SG, Collier MA, Watterson IG", "given" : "Elliott Ti", "non-dropping-particle" : "", "parse-names" : false, "suffix" : "" } ], "container-title" : "Asoendale: CSIRO Atmospheric Research Technical Paper", "id" : "ITEM-1", "issue" : "60", "issued" : { "date-parts" : [ [ "2002" ] ] }, "page" : "130", "title" : "The CSIRO Mk3 climate system model", "type" : "article-journal" }, "uris" : [ "http://www.mendeley.com/documents/?uuid=813edf59-99cb-4526-9cfa-4a7f875c854b" ] } ], "mendeley" : { "formattedCitation" : "&lt;sup&gt;7&lt;/sup&gt;", "plainTextFormattedCitation" : "7" }, "properties" : { "noteIndex" : 0 }, "schema" : "https://github.com/citation-style-language/schema/raw/master/csl-citation.json" }</w:instrText>
      </w:r>
      <w:r w:rsidR="00360B9A">
        <w:fldChar w:fldCharType="separate"/>
      </w:r>
      <w:r w:rsidR="00360B9A" w:rsidRPr="00360B9A">
        <w:rPr>
          <w:noProof/>
          <w:vertAlign w:val="superscript"/>
        </w:rPr>
        <w:t>7</w:t>
      </w:r>
      <w:r w:rsidR="00360B9A">
        <w:fldChar w:fldCharType="end"/>
      </w:r>
    </w:p>
    <w:p w14:paraId="22A4B165" w14:textId="77777777" w:rsidR="00CB71E1" w:rsidRDefault="00CB71E1" w:rsidP="00CB71E1">
      <w:pPr>
        <w:jc w:val="both"/>
      </w:pPr>
    </w:p>
    <w:p w14:paraId="23362EDC" w14:textId="6719DF39" w:rsidR="00CB71E1" w:rsidRDefault="001231F4" w:rsidP="00CB71E1">
      <w:pPr>
        <w:jc w:val="both"/>
      </w:pPr>
      <w:r>
        <w:fldChar w:fldCharType="begin"/>
      </w:r>
      <w:r>
        <w:instrText xml:space="preserve"> REF _Ref491420528 \h </w:instrText>
      </w:r>
      <w:r>
        <w:fldChar w:fldCharType="separate"/>
      </w:r>
      <w:r>
        <w:t xml:space="preserve">Figure </w:t>
      </w:r>
      <w:r>
        <w:rPr>
          <w:noProof/>
        </w:rPr>
        <w:t>1</w:t>
      </w:r>
      <w:r>
        <w:fldChar w:fldCharType="end"/>
      </w:r>
      <w:r>
        <w:t xml:space="preserve"> and </w:t>
      </w:r>
      <w:r>
        <w:fldChar w:fldCharType="begin"/>
      </w:r>
      <w:r>
        <w:instrText xml:space="preserve"> REF _Ref491420530 \h </w:instrText>
      </w:r>
      <w:r>
        <w:fldChar w:fldCharType="separate"/>
      </w:r>
      <w:r>
        <w:t xml:space="preserve">Figure </w:t>
      </w:r>
      <w:r>
        <w:rPr>
          <w:noProof/>
        </w:rPr>
        <w:t>2</w:t>
      </w:r>
      <w:r>
        <w:fldChar w:fldCharType="end"/>
      </w:r>
      <w:r w:rsidR="00CB71E1" w:rsidRPr="00CB71E1">
        <w:t xml:space="preserve"> show the daily </w:t>
      </w:r>
      <w:proofErr w:type="spellStart"/>
      <w:r w:rsidR="00CB71E1" w:rsidRPr="00CB71E1">
        <w:t>Tmax</w:t>
      </w:r>
      <w:proofErr w:type="spellEnd"/>
      <w:r w:rsidR="00CB71E1" w:rsidRPr="00CB71E1">
        <w:t xml:space="preserve"> values, demonstrating the greater frequency of red, orange, and yellow alerts</w:t>
      </w:r>
      <w:r w:rsidR="00CB71E1">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64D3A057" w14:textId="77777777" w:rsidR="00833BEF" w:rsidRDefault="00BC069C" w:rsidP="0001480C">
      <w:pPr>
        <w:keepNext/>
        <w:widowControl w:val="0"/>
        <w:autoSpaceDE w:val="0"/>
        <w:autoSpaceDN w:val="0"/>
        <w:adjustRightInd w:val="0"/>
        <w:ind w:left="640" w:hanging="640"/>
        <w:jc w:val="center"/>
      </w:pPr>
      <w:r>
        <w:rPr>
          <w:noProof/>
          <w:lang w:eastAsia="en-GB"/>
        </w:rPr>
        <w:lastRenderedPageBreak/>
        <w:drawing>
          <wp:inline distT="0" distB="0" distL="0" distR="0" wp14:anchorId="3169C6AF" wp14:editId="4CA323BB">
            <wp:extent cx="4869848" cy="3445198"/>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258" cy="3446903"/>
                    </a:xfrm>
                    <a:prstGeom prst="rect">
                      <a:avLst/>
                    </a:prstGeom>
                    <a:noFill/>
                    <a:ln>
                      <a:noFill/>
                    </a:ln>
                  </pic:spPr>
                </pic:pic>
              </a:graphicData>
            </a:graphic>
          </wp:inline>
        </w:drawing>
      </w:r>
    </w:p>
    <w:p w14:paraId="4C9D64EF" w14:textId="1F3EDEA5" w:rsidR="0001480C" w:rsidRPr="002D0130" w:rsidRDefault="00833BEF" w:rsidP="0001480C">
      <w:pPr>
        <w:pStyle w:val="Caption"/>
        <w:jc w:val="center"/>
        <w:rPr>
          <w:i w:val="0"/>
          <w:sz w:val="24"/>
          <w:szCs w:val="24"/>
        </w:rPr>
      </w:pPr>
      <w:bookmarkStart w:id="1" w:name="_Ref491420528"/>
      <w:r w:rsidRPr="002D0130">
        <w:rPr>
          <w:i w:val="0"/>
          <w:sz w:val="24"/>
          <w:szCs w:val="24"/>
        </w:rPr>
        <w:t xml:space="preserve">Figure </w:t>
      </w:r>
      <w:r w:rsidRPr="002D0130">
        <w:rPr>
          <w:i w:val="0"/>
          <w:sz w:val="24"/>
          <w:szCs w:val="24"/>
        </w:rPr>
        <w:fldChar w:fldCharType="begin"/>
      </w:r>
      <w:r w:rsidRPr="002D0130">
        <w:rPr>
          <w:i w:val="0"/>
          <w:sz w:val="24"/>
          <w:szCs w:val="24"/>
        </w:rPr>
        <w:instrText xml:space="preserve"> SEQ Figure \* ARABIC </w:instrText>
      </w:r>
      <w:r w:rsidRPr="002D0130">
        <w:rPr>
          <w:i w:val="0"/>
          <w:sz w:val="24"/>
          <w:szCs w:val="24"/>
        </w:rPr>
        <w:fldChar w:fldCharType="separate"/>
      </w:r>
      <w:r w:rsidR="0001480C" w:rsidRPr="002D0130">
        <w:rPr>
          <w:i w:val="0"/>
          <w:noProof/>
          <w:sz w:val="24"/>
          <w:szCs w:val="24"/>
        </w:rPr>
        <w:t>1</w:t>
      </w:r>
      <w:r w:rsidRPr="002D0130">
        <w:rPr>
          <w:i w:val="0"/>
          <w:sz w:val="24"/>
          <w:szCs w:val="24"/>
        </w:rPr>
        <w:fldChar w:fldCharType="end"/>
      </w:r>
      <w:bookmarkEnd w:id="1"/>
      <w:r w:rsidR="0001480C" w:rsidRPr="002D0130">
        <w:rPr>
          <w:i w:val="0"/>
          <w:sz w:val="24"/>
          <w:szCs w:val="24"/>
        </w:rPr>
        <w:t xml:space="preserve">. </w:t>
      </w:r>
      <w:r w:rsidR="0001480C" w:rsidRPr="002D0130">
        <w:rPr>
          <w:i w:val="0"/>
          <w:sz w:val="24"/>
          <w:szCs w:val="24"/>
        </w:rPr>
        <w:t>Ahmedab</w:t>
      </w:r>
      <w:r w:rsidR="00EE6A1A" w:rsidRPr="002D0130">
        <w:rPr>
          <w:i w:val="0"/>
          <w:sz w:val="24"/>
          <w:szCs w:val="24"/>
        </w:rPr>
        <w:t xml:space="preserve">ad </w:t>
      </w:r>
      <w:r w:rsidR="002D0130">
        <w:rPr>
          <w:i w:val="0"/>
          <w:sz w:val="24"/>
          <w:szCs w:val="24"/>
        </w:rPr>
        <w:t>alert days</w:t>
      </w:r>
      <w:r w:rsidR="00EE6A1A" w:rsidRPr="002D0130">
        <w:rPr>
          <w:i w:val="0"/>
          <w:sz w:val="24"/>
          <w:szCs w:val="24"/>
        </w:rPr>
        <w:t xml:space="preserve"> 2046-2065</w:t>
      </w:r>
    </w:p>
    <w:p w14:paraId="5341F21B" w14:textId="627C10CD" w:rsidR="00DC4D50" w:rsidRDefault="00DC4D50" w:rsidP="00833BEF">
      <w:pPr>
        <w:pStyle w:val="Caption"/>
      </w:pP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75B9B6CE" w14:textId="77777777" w:rsidR="0001480C" w:rsidRDefault="00DC4D50" w:rsidP="0001480C">
      <w:pPr>
        <w:keepNext/>
        <w:widowControl w:val="0"/>
        <w:autoSpaceDE w:val="0"/>
        <w:autoSpaceDN w:val="0"/>
        <w:adjustRightInd w:val="0"/>
        <w:ind w:left="640" w:hanging="640"/>
        <w:jc w:val="center"/>
      </w:pPr>
      <w:r>
        <w:rPr>
          <w:noProof/>
          <w:lang w:eastAsia="en-GB"/>
        </w:rPr>
        <w:drawing>
          <wp:inline distT="0" distB="0" distL="0" distR="0" wp14:anchorId="5033F903" wp14:editId="05979A87">
            <wp:extent cx="5194935" cy="3675183"/>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7778" cy="3677194"/>
                    </a:xfrm>
                    <a:prstGeom prst="rect">
                      <a:avLst/>
                    </a:prstGeom>
                    <a:noFill/>
                    <a:ln>
                      <a:noFill/>
                    </a:ln>
                  </pic:spPr>
                </pic:pic>
              </a:graphicData>
            </a:graphic>
          </wp:inline>
        </w:drawing>
      </w:r>
    </w:p>
    <w:p w14:paraId="0DC94FB7" w14:textId="32B9728A" w:rsidR="00DC4D50" w:rsidRPr="002D0130" w:rsidRDefault="002D0130" w:rsidP="0001480C">
      <w:pPr>
        <w:pStyle w:val="Caption"/>
        <w:jc w:val="center"/>
        <w:rPr>
          <w:i w:val="0"/>
          <w:sz w:val="24"/>
          <w:szCs w:val="24"/>
        </w:rPr>
      </w:pPr>
      <w:bookmarkStart w:id="2" w:name="_Ref491420530"/>
      <w:r w:rsidRPr="002D0130">
        <w:rPr>
          <w:i w:val="0"/>
          <w:sz w:val="24"/>
          <w:szCs w:val="24"/>
        </w:rPr>
        <w:t xml:space="preserve"> </w:t>
      </w:r>
      <w:r w:rsidR="0001480C" w:rsidRPr="002D0130">
        <w:rPr>
          <w:i w:val="0"/>
          <w:sz w:val="24"/>
          <w:szCs w:val="24"/>
        </w:rPr>
        <w:t xml:space="preserve">Figure </w:t>
      </w:r>
      <w:r w:rsidR="0001480C" w:rsidRPr="002D0130">
        <w:rPr>
          <w:i w:val="0"/>
          <w:sz w:val="24"/>
          <w:szCs w:val="24"/>
        </w:rPr>
        <w:fldChar w:fldCharType="begin"/>
      </w:r>
      <w:r w:rsidR="0001480C" w:rsidRPr="002D0130">
        <w:rPr>
          <w:i w:val="0"/>
          <w:sz w:val="24"/>
          <w:szCs w:val="24"/>
        </w:rPr>
        <w:instrText xml:space="preserve"> SEQ Figure \* ARABIC </w:instrText>
      </w:r>
      <w:r w:rsidR="0001480C" w:rsidRPr="002D0130">
        <w:rPr>
          <w:i w:val="0"/>
          <w:sz w:val="24"/>
          <w:szCs w:val="24"/>
        </w:rPr>
        <w:fldChar w:fldCharType="separate"/>
      </w:r>
      <w:r w:rsidR="0001480C" w:rsidRPr="002D0130">
        <w:rPr>
          <w:i w:val="0"/>
          <w:noProof/>
          <w:sz w:val="24"/>
          <w:szCs w:val="24"/>
        </w:rPr>
        <w:t>2</w:t>
      </w:r>
      <w:r w:rsidR="0001480C" w:rsidRPr="002D0130">
        <w:rPr>
          <w:i w:val="0"/>
          <w:sz w:val="24"/>
          <w:szCs w:val="24"/>
        </w:rPr>
        <w:fldChar w:fldCharType="end"/>
      </w:r>
      <w:bookmarkEnd w:id="2"/>
      <w:r w:rsidR="0001480C" w:rsidRPr="002D0130">
        <w:rPr>
          <w:i w:val="0"/>
          <w:sz w:val="24"/>
          <w:szCs w:val="24"/>
        </w:rPr>
        <w:t xml:space="preserve">. Ahmedabad </w:t>
      </w:r>
      <w:r>
        <w:rPr>
          <w:i w:val="0"/>
          <w:sz w:val="24"/>
          <w:szCs w:val="24"/>
        </w:rPr>
        <w:t>alert days</w:t>
      </w:r>
      <w:r w:rsidR="0001480C" w:rsidRPr="002D0130">
        <w:rPr>
          <w:i w:val="0"/>
          <w:sz w:val="24"/>
          <w:szCs w:val="24"/>
        </w:rPr>
        <w:t xml:space="preserve"> 2081-2100</w:t>
      </w:r>
    </w:p>
    <w:p w14:paraId="624CB1D3" w14:textId="77777777" w:rsidR="00BC069C" w:rsidRDefault="00BC069C" w:rsidP="0099386C">
      <w:pPr>
        <w:jc w:val="both"/>
      </w:pPr>
    </w:p>
    <w:p w14:paraId="1D97D297" w14:textId="77777777" w:rsidR="00C368F0" w:rsidRDefault="00C368F0" w:rsidP="00833BEF">
      <w:pPr>
        <w:jc w:val="both"/>
      </w:pPr>
    </w:p>
    <w:p w14:paraId="6476B4F5" w14:textId="073E2092" w:rsidR="00C368F0" w:rsidRDefault="00D267A7" w:rsidP="00833BEF">
      <w:pPr>
        <w:jc w:val="both"/>
      </w:pPr>
      <w:r>
        <w:t>The stat</w:t>
      </w:r>
      <w:r w:rsidR="000239A7">
        <w:t xml:space="preserve">istics of the alert days under the A2 scenario </w:t>
      </w:r>
      <w:r w:rsidR="0079124B">
        <w:t>are shown in Table 2:</w:t>
      </w:r>
    </w:p>
    <w:p w14:paraId="0DDB482F" w14:textId="0B119AE1" w:rsidR="00D267A7" w:rsidRDefault="00D267A7" w:rsidP="00D267A7">
      <w:pPr>
        <w:pStyle w:val="Caption"/>
        <w:keepNext/>
      </w:pPr>
    </w:p>
    <w:tbl>
      <w:tblPr>
        <w:tblStyle w:val="TableGrid"/>
        <w:tblW w:w="0" w:type="auto"/>
        <w:tblLook w:val="04A0" w:firstRow="1" w:lastRow="0" w:firstColumn="1" w:lastColumn="0" w:noHBand="0" w:noVBand="1"/>
      </w:tblPr>
      <w:tblGrid>
        <w:gridCol w:w="3047"/>
        <w:gridCol w:w="3205"/>
        <w:gridCol w:w="2758"/>
      </w:tblGrid>
      <w:tr w:rsidR="00B32F6C" w14:paraId="568D4ABB" w14:textId="6B838C85" w:rsidTr="0015479D">
        <w:tc>
          <w:tcPr>
            <w:tcW w:w="3047" w:type="dxa"/>
          </w:tcPr>
          <w:p w14:paraId="766B9434" w14:textId="54B12027" w:rsidR="00B32F6C" w:rsidRDefault="00B32F6C" w:rsidP="00833BEF">
            <w:pPr>
              <w:jc w:val="both"/>
            </w:pPr>
            <w:r>
              <w:t>Alert level</w:t>
            </w:r>
          </w:p>
        </w:tc>
        <w:tc>
          <w:tcPr>
            <w:tcW w:w="3205" w:type="dxa"/>
          </w:tcPr>
          <w:p w14:paraId="182174DF" w14:textId="26DCB84C" w:rsidR="00B32F6C" w:rsidRDefault="00B32F6C" w:rsidP="00833BEF">
            <w:pPr>
              <w:jc w:val="both"/>
            </w:pPr>
            <w:r>
              <w:t>Percentage of alert days 2046-2065</w:t>
            </w:r>
          </w:p>
        </w:tc>
        <w:tc>
          <w:tcPr>
            <w:tcW w:w="2758" w:type="dxa"/>
          </w:tcPr>
          <w:p w14:paraId="30B2C02E" w14:textId="2076E602" w:rsidR="00B32F6C" w:rsidRDefault="00B32F6C" w:rsidP="00833BEF">
            <w:pPr>
              <w:jc w:val="both"/>
            </w:pPr>
            <w:r>
              <w:t>Percentage of alert days 2081-2100</w:t>
            </w:r>
          </w:p>
        </w:tc>
      </w:tr>
      <w:tr w:rsidR="00B32F6C" w14:paraId="76B2A658" w14:textId="548373E9" w:rsidTr="0015479D">
        <w:tc>
          <w:tcPr>
            <w:tcW w:w="3047" w:type="dxa"/>
          </w:tcPr>
          <w:p w14:paraId="0578B8DC" w14:textId="6F250956" w:rsidR="00B32F6C" w:rsidRPr="0079124B" w:rsidRDefault="00B32F6C" w:rsidP="00833BEF">
            <w:pPr>
              <w:jc w:val="both"/>
              <w:rPr>
                <w:b/>
              </w:rPr>
            </w:pPr>
            <w:r w:rsidRPr="0079124B">
              <w:rPr>
                <w:b/>
              </w:rPr>
              <w:t>No alert</w:t>
            </w:r>
          </w:p>
        </w:tc>
        <w:tc>
          <w:tcPr>
            <w:tcW w:w="3205" w:type="dxa"/>
          </w:tcPr>
          <w:p w14:paraId="035889FF" w14:textId="0EBDC2FD" w:rsidR="00B32F6C" w:rsidRDefault="00B32F6C" w:rsidP="00833BEF">
            <w:pPr>
              <w:jc w:val="both"/>
            </w:pPr>
            <w:r>
              <w:t>89.4</w:t>
            </w:r>
          </w:p>
        </w:tc>
        <w:tc>
          <w:tcPr>
            <w:tcW w:w="2758" w:type="dxa"/>
          </w:tcPr>
          <w:p w14:paraId="52028B42" w14:textId="747C36FA" w:rsidR="00B32F6C" w:rsidRDefault="003F1EEC" w:rsidP="00833BEF">
            <w:pPr>
              <w:jc w:val="both"/>
            </w:pPr>
            <w:r>
              <w:t>83.1</w:t>
            </w:r>
          </w:p>
        </w:tc>
      </w:tr>
      <w:tr w:rsidR="00B32F6C" w14:paraId="6F828750" w14:textId="46A5461B" w:rsidTr="0015479D">
        <w:tc>
          <w:tcPr>
            <w:tcW w:w="3047" w:type="dxa"/>
          </w:tcPr>
          <w:p w14:paraId="3EA46C57" w14:textId="75742DFE" w:rsidR="00B32F6C" w:rsidRPr="0079124B" w:rsidRDefault="00B32F6C" w:rsidP="00833BEF">
            <w:pPr>
              <w:jc w:val="both"/>
              <w:rPr>
                <w:b/>
              </w:rPr>
            </w:pPr>
            <w:r w:rsidRPr="0079124B">
              <w:rPr>
                <w:b/>
                <w:highlight w:val="yellow"/>
              </w:rPr>
              <w:t>Yellow</w:t>
            </w:r>
            <w:r w:rsidR="0079124B" w:rsidRPr="0079124B">
              <w:rPr>
                <w:b/>
                <w:highlight w:val="yellow"/>
              </w:rPr>
              <w:t xml:space="preserve"> alert</w:t>
            </w:r>
          </w:p>
        </w:tc>
        <w:tc>
          <w:tcPr>
            <w:tcW w:w="3205" w:type="dxa"/>
          </w:tcPr>
          <w:p w14:paraId="44DD0E83" w14:textId="20EE11EB" w:rsidR="00B32F6C" w:rsidRDefault="00B32F6C" w:rsidP="00833BEF">
            <w:pPr>
              <w:jc w:val="both"/>
            </w:pPr>
            <w:r>
              <w:t>7.0</w:t>
            </w:r>
          </w:p>
        </w:tc>
        <w:tc>
          <w:tcPr>
            <w:tcW w:w="2758" w:type="dxa"/>
          </w:tcPr>
          <w:p w14:paraId="4D7F5F90" w14:textId="64084D16" w:rsidR="00B32F6C" w:rsidRDefault="0030457C" w:rsidP="00833BEF">
            <w:pPr>
              <w:jc w:val="both"/>
            </w:pPr>
            <w:r>
              <w:t>9.1</w:t>
            </w:r>
          </w:p>
        </w:tc>
      </w:tr>
      <w:tr w:rsidR="00B32F6C" w14:paraId="4DC69752" w14:textId="2A81E46A" w:rsidTr="0015479D">
        <w:tc>
          <w:tcPr>
            <w:tcW w:w="3047" w:type="dxa"/>
          </w:tcPr>
          <w:p w14:paraId="7D8DEC17" w14:textId="051568E1" w:rsidR="00B32F6C" w:rsidRPr="0079124B" w:rsidRDefault="00B32F6C" w:rsidP="00833BEF">
            <w:pPr>
              <w:jc w:val="both"/>
              <w:rPr>
                <w:b/>
              </w:rPr>
            </w:pPr>
            <w:r w:rsidRPr="0079124B">
              <w:rPr>
                <w:b/>
                <w:color w:val="ED7D31" w:themeColor="accent2"/>
              </w:rPr>
              <w:t>Orange</w:t>
            </w:r>
            <w:r w:rsidR="0079124B" w:rsidRPr="0079124B">
              <w:rPr>
                <w:b/>
                <w:color w:val="ED7D31" w:themeColor="accent2"/>
              </w:rPr>
              <w:t xml:space="preserve"> alert</w:t>
            </w:r>
          </w:p>
        </w:tc>
        <w:tc>
          <w:tcPr>
            <w:tcW w:w="3205" w:type="dxa"/>
          </w:tcPr>
          <w:p w14:paraId="48A71B14" w14:textId="68322C13" w:rsidR="00B32F6C" w:rsidRDefault="00B32F6C" w:rsidP="00833BEF">
            <w:pPr>
              <w:jc w:val="both"/>
            </w:pPr>
            <w:r>
              <w:t>2.6</w:t>
            </w:r>
          </w:p>
        </w:tc>
        <w:tc>
          <w:tcPr>
            <w:tcW w:w="2758" w:type="dxa"/>
          </w:tcPr>
          <w:p w14:paraId="54248CD3" w14:textId="49984EC5" w:rsidR="00B32F6C" w:rsidRDefault="00073B6B" w:rsidP="00833BEF">
            <w:pPr>
              <w:jc w:val="both"/>
            </w:pPr>
            <w:r>
              <w:t>5.0</w:t>
            </w:r>
          </w:p>
        </w:tc>
      </w:tr>
      <w:tr w:rsidR="00B32F6C" w14:paraId="7DDE6EB4" w14:textId="193B5E16" w:rsidTr="0079124B">
        <w:trPr>
          <w:trHeight w:val="269"/>
        </w:trPr>
        <w:tc>
          <w:tcPr>
            <w:tcW w:w="3047" w:type="dxa"/>
          </w:tcPr>
          <w:p w14:paraId="56A80273" w14:textId="2165401B" w:rsidR="00B32F6C" w:rsidRPr="0079124B" w:rsidRDefault="00B32F6C" w:rsidP="00833BEF">
            <w:pPr>
              <w:jc w:val="both"/>
              <w:rPr>
                <w:b/>
              </w:rPr>
            </w:pPr>
            <w:r w:rsidRPr="0079124B">
              <w:rPr>
                <w:b/>
                <w:highlight w:val="red"/>
              </w:rPr>
              <w:t>Red</w:t>
            </w:r>
            <w:r w:rsidR="0079124B" w:rsidRPr="0079124B">
              <w:rPr>
                <w:b/>
                <w:highlight w:val="red"/>
              </w:rPr>
              <w:t xml:space="preserve"> alert</w:t>
            </w:r>
          </w:p>
        </w:tc>
        <w:tc>
          <w:tcPr>
            <w:tcW w:w="3205" w:type="dxa"/>
          </w:tcPr>
          <w:p w14:paraId="0672D191" w14:textId="67D1CE95" w:rsidR="00B32F6C" w:rsidRDefault="00B32F6C" w:rsidP="00833BEF">
            <w:pPr>
              <w:jc w:val="both"/>
            </w:pPr>
            <w:r>
              <w:t>0.9</w:t>
            </w:r>
          </w:p>
        </w:tc>
        <w:tc>
          <w:tcPr>
            <w:tcW w:w="2758" w:type="dxa"/>
          </w:tcPr>
          <w:p w14:paraId="159526E5" w14:textId="617AB62A" w:rsidR="00B32F6C" w:rsidRDefault="00C82D31" w:rsidP="00833BEF">
            <w:pPr>
              <w:jc w:val="both"/>
            </w:pPr>
            <w:r>
              <w:t>2.7</w:t>
            </w:r>
          </w:p>
        </w:tc>
      </w:tr>
    </w:tbl>
    <w:p w14:paraId="7F975FD1" w14:textId="42ED2781" w:rsidR="009F6AF5" w:rsidRDefault="00D267A7" w:rsidP="00833BEF">
      <w:pPr>
        <w:jc w:val="both"/>
      </w:pPr>
      <w:r>
        <w:t xml:space="preserve">Table </w:t>
      </w:r>
      <w:r>
        <w:t>2</w:t>
      </w:r>
      <w:r>
        <w:t>. Statistics of alert days in Ahmedabad, 2046-2065, 2081-2100 under A2 scenario.</w:t>
      </w:r>
    </w:p>
    <w:p w14:paraId="6D43DFEA" w14:textId="77777777" w:rsidR="009F6AF5" w:rsidRDefault="009F6AF5" w:rsidP="00833BEF">
      <w:pPr>
        <w:jc w:val="both"/>
      </w:pPr>
    </w:p>
    <w:p w14:paraId="070BCDC2" w14:textId="2C44DC08" w:rsidR="00BC069C" w:rsidRDefault="00833BEF" w:rsidP="00833BEF">
      <w:pPr>
        <w:jc w:val="both"/>
      </w:pPr>
      <w:r>
        <w:t xml:space="preserve">Using </w:t>
      </w:r>
      <w:r w:rsidRPr="00833BEF">
        <w:t>Gridded Population of the</w:t>
      </w:r>
      <w:r>
        <w:t xml:space="preserve"> </w:t>
      </w:r>
      <w:r w:rsidRPr="00833BEF">
        <w:t>World</w:t>
      </w:r>
      <w:r>
        <w:t>,</w:t>
      </w:r>
      <w:r w:rsidRPr="00833BEF">
        <w:t xml:space="preserve"> from</w:t>
      </w:r>
      <w:r>
        <w:t xml:space="preserve"> </w:t>
      </w:r>
      <w:r w:rsidRPr="00833BEF">
        <w:t>the Socioeconomic Data and Applications Cent</w:t>
      </w:r>
      <w:r>
        <w:t>r</w:t>
      </w:r>
      <w:r w:rsidRPr="00833BEF">
        <w:t>e</w:t>
      </w:r>
      <w:r>
        <w:t xml:space="preserve"> (SEDAC)</w:t>
      </w:r>
      <w:r w:rsidR="00381E0E">
        <w:t xml:space="preserve"> for population estimates of the year 2000, and population projections consisten</w:t>
      </w:r>
      <w:r w:rsidR="00CF7A2B">
        <w:t>t</w:t>
      </w:r>
      <w:r w:rsidR="00165F05">
        <w:t xml:space="preserve"> with </w:t>
      </w:r>
      <w:r w:rsidR="00CF7A2B">
        <w:t>climate change scenarios</w:t>
      </w:r>
      <w:r w:rsidR="00103EF1">
        <w:fldChar w:fldCharType="begin" w:fldLock="1"/>
      </w:r>
      <w:r w:rsidR="00360B9A">
        <w:instrText>ADDIN CSL_CITATION { "citationItems" : [ { "id" : "ITEM-1", "itemData" : { "author" : [ { "dropping-particle" : "", "family" : "Jones", "given" : "Bryan", "non-dropping-particle" : "", "parse-names" : false, "suffix" : "" }, { "dropping-particle" : "", "family" : "Neill", "given" : "Brian C O", "non-dropping-particle" : "", "parse-names" : false, "suffix" : "" }, { "dropping-particle" : "", "family" : "Hegre", "given" : "H\u00e5vard", "non-dropping-particle" : "", "parse-names" : false, "suffix" : "" }, { "dropping-particle" : "", "family" : "Buhaug", "given" : "Halvard", "non-dropping-particle" : "", "parse-names" : false, "suffix" : "" }, { "dropping-particle" : "V", "family" : "Calvin", "given" : "Katherine", "non-dropping-particle" : "", "parse-names" : false, "suffix" : "" }, { "dropping-particle" : "", "family" : "Wiebe", "given" : "Keith", "non-dropping-particle" : "", "parse-names" : false, "suffix" : "" }, { "dropping-particle" : "", "family" : "Lotze-campen", "given" : "Hermann", "non-dropping-particle" : "", "parse-names" : false, "suffix" : "" }, { "dropping-particle" : "", "family" : "Sands", "given" : "Ronald",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"Chryssanthacopoulos", "given" : "James", "non-dropping-particle" : "", "parse-names" : false, "suffix" : "" } ], "container-title" : "Environmental Research Letters2", "id" : "ITEM-1", "issued" : { "date-parts" : [ [ "2016" ] ] }, "publisher" : "IOP Publishing", "title" : "Spatially explicit global population scenarios consistent with the Shared Socioeconomic Pathways", "type" : "article-journal", "volume" : "11" }, "uris" : [ "http://www.mendeley.com/documents/?uuid=887f0475-05fe-45c5-aa27-0d2744726ac5" ] } ], "mendeley" : { "formattedCitation" : "&lt;sup&gt;8&lt;/sup&gt;", "plainTextFormattedCitation" : "8", "previouslyFormattedCitation" : "&lt;sup&gt;7&lt;/sup&gt;" }, "properties" : { "noteIndex" : 0 }, "schema" : "https://github.com/citation-style-language/schema/raw/master/csl-citation.json" }</w:instrText>
      </w:r>
      <w:r w:rsidR="00103EF1">
        <w:fldChar w:fldCharType="separate"/>
      </w:r>
      <w:r w:rsidR="00360B9A" w:rsidRPr="00360B9A">
        <w:rPr>
          <w:noProof/>
          <w:vertAlign w:val="superscript"/>
        </w:rPr>
        <w:t>8</w:t>
      </w:r>
      <w:r w:rsidR="00103EF1">
        <w:fldChar w:fldCharType="end"/>
      </w:r>
      <w:r w:rsidR="0099386C">
        <w:t xml:space="preserve">, we </w:t>
      </w:r>
      <w:r w:rsidR="00C439FE">
        <w:t xml:space="preserve">will </w:t>
      </w:r>
      <w:r w:rsidR="0099386C">
        <w:t>analyse</w:t>
      </w:r>
      <w:r w:rsidR="00C439FE">
        <w:t xml:space="preserve"> </w:t>
      </w:r>
      <w:r w:rsidR="0099386C">
        <w:t>the change in exposure of Ahmedabad’s</w:t>
      </w:r>
      <w:r>
        <w:t xml:space="preserve"> </w:t>
      </w:r>
      <w:r w:rsidR="0007073A">
        <w:t>population</w:t>
      </w:r>
      <w:r w:rsidR="004742FF">
        <w:t xml:space="preserve"> (not done yet)</w:t>
      </w:r>
      <w:r w:rsidR="00AC344A">
        <w:t>.</w:t>
      </w:r>
    </w:p>
    <w:p w14:paraId="5FF95423" w14:textId="77777777" w:rsidR="00BC069C" w:rsidRDefault="00BC069C" w:rsidP="00165F05">
      <w:pPr>
        <w:widowControl w:val="0"/>
        <w:autoSpaceDE w:val="0"/>
        <w:autoSpaceDN w:val="0"/>
        <w:adjustRightInd w:val="0"/>
      </w:pPr>
    </w:p>
    <w:p w14:paraId="5B314890" w14:textId="5DBE93B9" w:rsidR="0099386C" w:rsidRDefault="00BC069C" w:rsidP="009354E6">
      <w:pPr>
        <w:widowControl w:val="0"/>
        <w:autoSpaceDE w:val="0"/>
        <w:autoSpaceDN w:val="0"/>
        <w:adjustRightInd w:val="0"/>
        <w:ind w:left="640" w:hanging="640"/>
      </w:pPr>
      <w:r>
        <w:t xml:space="preserve">Under this framework, we have a quantitative analysis of the </w:t>
      </w:r>
      <w:r w:rsidR="00E96DCF">
        <w:t xml:space="preserve">frequency of the alert days, as </w:t>
      </w:r>
      <w:r>
        <w:t xml:space="preserve">well as </w:t>
      </w:r>
      <w:r w:rsidR="00D258D4">
        <w:t>the population exposed.</w:t>
      </w:r>
    </w:p>
    <w:p w14:paraId="2804F215" w14:textId="7C6588E8" w:rsidR="005729B4" w:rsidRPr="005729B4" w:rsidRDefault="005729B4" w:rsidP="009354E6">
      <w:pPr>
        <w:pStyle w:val="Heading1"/>
      </w:pPr>
      <w:r w:rsidRPr="005729B4">
        <w:t>References</w:t>
      </w:r>
    </w:p>
    <w:p w14:paraId="57099B45" w14:textId="5BB528F3" w:rsidR="00360B9A" w:rsidRPr="00360B9A" w:rsidRDefault="005729B4" w:rsidP="00360B9A">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360B9A" w:rsidRPr="00360B9A">
        <w:rPr>
          <w:rFonts w:ascii="Calibri" w:eastAsia="Times New Roman" w:hAnsi="Calibri" w:cs="Times New Roman"/>
          <w:noProof/>
        </w:rPr>
        <w:t>1</w:t>
      </w:r>
      <w:r w:rsidR="00360B9A" w:rsidRPr="00360B9A">
        <w:rPr>
          <w:rFonts w:ascii="Calibri" w:eastAsia="Times New Roman" w:hAnsi="Calibri" w:cs="Times New Roman"/>
          <w:noProof/>
        </w:rPr>
        <w:tab/>
        <w:t xml:space="preserve">Basu R. High ambient temperature and mortality: a review of epidemiologic studies from 2001 to 2008. </w:t>
      </w:r>
      <w:r w:rsidR="00360B9A" w:rsidRPr="00360B9A">
        <w:rPr>
          <w:rFonts w:ascii="Calibri" w:eastAsia="Times New Roman" w:hAnsi="Calibri" w:cs="Times New Roman"/>
          <w:i/>
          <w:iCs/>
          <w:noProof/>
        </w:rPr>
        <w:t>Environ Heal</w:t>
      </w:r>
      <w:r w:rsidR="00360B9A" w:rsidRPr="00360B9A">
        <w:rPr>
          <w:rFonts w:ascii="Calibri" w:eastAsia="Times New Roman" w:hAnsi="Calibri" w:cs="Times New Roman"/>
          <w:noProof/>
        </w:rPr>
        <w:t xml:space="preserve"> 2009; </w:t>
      </w:r>
      <w:r w:rsidR="00360B9A" w:rsidRPr="00360B9A">
        <w:rPr>
          <w:rFonts w:ascii="Calibri" w:eastAsia="Times New Roman" w:hAnsi="Calibri" w:cs="Times New Roman"/>
          <w:b/>
          <w:bCs/>
          <w:noProof/>
        </w:rPr>
        <w:t>8</w:t>
      </w:r>
      <w:r w:rsidR="00360B9A" w:rsidRPr="00360B9A">
        <w:rPr>
          <w:rFonts w:ascii="Calibri" w:eastAsia="Times New Roman" w:hAnsi="Calibri" w:cs="Times New Roman"/>
          <w:noProof/>
        </w:rPr>
        <w:t>: 40.</w:t>
      </w:r>
    </w:p>
    <w:p w14:paraId="26969590"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2</w:t>
      </w:r>
      <w:r w:rsidRPr="00360B9A">
        <w:rPr>
          <w:rFonts w:ascii="Calibri" w:eastAsia="Times New Roman" w:hAnsi="Calibri" w:cs="Times New Roman"/>
          <w:noProof/>
        </w:rPr>
        <w:tab/>
        <w:t xml:space="preserve">Ye X, Wolff R, Yu W, Vaneckova P, Pan X, Tong S. Ambient temperature and morbidity: a review of epidemiological evidence. </w:t>
      </w:r>
      <w:r w:rsidRPr="00360B9A">
        <w:rPr>
          <w:rFonts w:ascii="Calibri" w:eastAsia="Times New Roman" w:hAnsi="Calibri" w:cs="Times New Roman"/>
          <w:i/>
          <w:iCs/>
          <w:noProof/>
        </w:rPr>
        <w:t>Environ Health Perspect</w:t>
      </w:r>
      <w:r w:rsidRPr="00360B9A">
        <w:rPr>
          <w:rFonts w:ascii="Calibri" w:eastAsia="Times New Roman" w:hAnsi="Calibri" w:cs="Times New Roman"/>
          <w:noProof/>
        </w:rPr>
        <w:t xml:space="preserve"> 2012; </w:t>
      </w:r>
      <w:r w:rsidRPr="00360B9A">
        <w:rPr>
          <w:rFonts w:ascii="Calibri" w:eastAsia="Times New Roman" w:hAnsi="Calibri" w:cs="Times New Roman"/>
          <w:b/>
          <w:bCs/>
          <w:noProof/>
        </w:rPr>
        <w:t>120</w:t>
      </w:r>
      <w:r w:rsidRPr="00360B9A">
        <w:rPr>
          <w:rFonts w:ascii="Calibri" w:eastAsia="Times New Roman" w:hAnsi="Calibri" w:cs="Times New Roman"/>
          <w:noProof/>
        </w:rPr>
        <w:t>: 19–28.</w:t>
      </w:r>
    </w:p>
    <w:p w14:paraId="79F47393"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3</w:t>
      </w:r>
      <w:r w:rsidRPr="00360B9A">
        <w:rPr>
          <w:rFonts w:ascii="Calibri" w:eastAsia="Times New Roman" w:hAnsi="Calibri" w:cs="Times New Roman"/>
          <w:noProof/>
        </w:rPr>
        <w:tab/>
        <w:t xml:space="preserve">Lowe D, Ebi KL, Forsberg B. Heatwave early warning systems and adaptation advice to reduce human health consequences of heatwaves.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2011; </w:t>
      </w:r>
      <w:r w:rsidRPr="00360B9A">
        <w:rPr>
          <w:rFonts w:ascii="Calibri" w:eastAsia="Times New Roman" w:hAnsi="Calibri" w:cs="Times New Roman"/>
          <w:b/>
          <w:bCs/>
          <w:noProof/>
        </w:rPr>
        <w:t>8</w:t>
      </w:r>
      <w:r w:rsidRPr="00360B9A">
        <w:rPr>
          <w:rFonts w:ascii="Calibri" w:eastAsia="Times New Roman" w:hAnsi="Calibri" w:cs="Times New Roman"/>
          <w:noProof/>
        </w:rPr>
        <w:t>: 4623–48.</w:t>
      </w:r>
    </w:p>
    <w:p w14:paraId="3202CC6F"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4</w:t>
      </w:r>
      <w:r w:rsidRPr="00360B9A">
        <w:rPr>
          <w:rFonts w:ascii="Calibri" w:eastAsia="Times New Roman" w:hAnsi="Calibri" w:cs="Times New Roman"/>
          <w:noProof/>
        </w:rPr>
        <w:tab/>
        <w:t xml:space="preserve">Lowe R, García-Díez M, Ballester J,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13</w:t>
      </w:r>
      <w:r w:rsidRPr="00360B9A">
        <w:rPr>
          <w:rFonts w:ascii="Calibri" w:eastAsia="Times New Roman" w:hAnsi="Calibri" w:cs="Times New Roman"/>
          <w:noProof/>
        </w:rPr>
        <w:t>. DOI:10.3390/ijerph13020206.</w:t>
      </w:r>
    </w:p>
    <w:p w14:paraId="306985E2"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5</w:t>
      </w:r>
      <w:r w:rsidRPr="00360B9A">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360B9A">
        <w:rPr>
          <w:rFonts w:ascii="Calibri" w:eastAsia="Times New Roman" w:hAnsi="Calibri" w:cs="Times New Roman"/>
          <w:i/>
          <w:iCs/>
          <w:noProof/>
        </w:rPr>
        <w:t>CEUR Workshop Proc</w:t>
      </w:r>
      <w:r w:rsidRPr="00360B9A">
        <w:rPr>
          <w:rFonts w:ascii="Calibri" w:eastAsia="Times New Roman" w:hAnsi="Calibri" w:cs="Times New Roman"/>
          <w:noProof/>
        </w:rPr>
        <w:t xml:space="preserve"> 2015; </w:t>
      </w:r>
      <w:r w:rsidRPr="00360B9A">
        <w:rPr>
          <w:rFonts w:ascii="Calibri" w:eastAsia="Times New Roman" w:hAnsi="Calibri" w:cs="Times New Roman"/>
          <w:b/>
          <w:bCs/>
          <w:noProof/>
        </w:rPr>
        <w:t>1542</w:t>
      </w:r>
      <w:r w:rsidRPr="00360B9A">
        <w:rPr>
          <w:rFonts w:ascii="Calibri" w:eastAsia="Times New Roman" w:hAnsi="Calibri" w:cs="Times New Roman"/>
          <w:noProof/>
        </w:rPr>
        <w:t>: 33–6.</w:t>
      </w:r>
    </w:p>
    <w:p w14:paraId="5B41F47C"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6</w:t>
      </w:r>
      <w:r w:rsidRPr="00360B9A">
        <w:rPr>
          <w:rFonts w:ascii="Calibri" w:eastAsia="Times New Roman" w:hAnsi="Calibri" w:cs="Times New Roman"/>
          <w:noProof/>
        </w:rPr>
        <w:tab/>
        <w:t xml:space="preserve">Azhar GS, Mavalankar D, Nori-Sarma A,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Ahmedabad Heat Action Plan 2017. </w:t>
      </w:r>
      <w:r w:rsidRPr="00360B9A">
        <w:rPr>
          <w:rFonts w:ascii="Calibri" w:eastAsia="Times New Roman" w:hAnsi="Calibri" w:cs="Times New Roman"/>
          <w:i/>
          <w:iCs/>
          <w:noProof/>
        </w:rPr>
        <w:t>PLoS One</w:t>
      </w:r>
      <w:r w:rsidRPr="00360B9A">
        <w:rPr>
          <w:rFonts w:ascii="Calibri" w:eastAsia="Times New Roman" w:hAnsi="Calibri" w:cs="Times New Roman"/>
          <w:noProof/>
        </w:rPr>
        <w:t xml:space="preserve"> 2014; </w:t>
      </w:r>
      <w:r w:rsidRPr="00360B9A">
        <w:rPr>
          <w:rFonts w:ascii="Calibri" w:eastAsia="Times New Roman" w:hAnsi="Calibri" w:cs="Times New Roman"/>
          <w:b/>
          <w:bCs/>
          <w:noProof/>
        </w:rPr>
        <w:t>9</w:t>
      </w:r>
      <w:r w:rsidRPr="00360B9A">
        <w:rPr>
          <w:rFonts w:ascii="Calibri" w:eastAsia="Times New Roman" w:hAnsi="Calibri" w:cs="Times New Roman"/>
          <w:noProof/>
        </w:rPr>
        <w:t>. DOI:10.1371/journal.pone.0091831.</w:t>
      </w:r>
    </w:p>
    <w:p w14:paraId="0C4D1A88"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7</w:t>
      </w:r>
      <w:r w:rsidRPr="00360B9A">
        <w:rPr>
          <w:rFonts w:ascii="Calibri" w:eastAsia="Times New Roman" w:hAnsi="Calibri" w:cs="Times New Roman"/>
          <w:noProof/>
        </w:rPr>
        <w:tab/>
        <w:t xml:space="preserve">Gordon HB, Rotstayn LD, McGregor JL, Dix MR, Kowalczyk, O’Farrell SP, Waterman LJ, HirstAC, Wilson SG, Collier MA, Watterson IG ET. The CSIRO Mk3 climate system model. </w:t>
      </w:r>
      <w:r w:rsidRPr="00360B9A">
        <w:rPr>
          <w:rFonts w:ascii="Calibri" w:eastAsia="Times New Roman" w:hAnsi="Calibri" w:cs="Times New Roman"/>
          <w:i/>
          <w:iCs/>
          <w:noProof/>
        </w:rPr>
        <w:t>Asoendale CSIRO Atmos Res Tech Pap</w:t>
      </w:r>
      <w:r w:rsidRPr="00360B9A">
        <w:rPr>
          <w:rFonts w:ascii="Calibri" w:eastAsia="Times New Roman" w:hAnsi="Calibri" w:cs="Times New Roman"/>
          <w:noProof/>
        </w:rPr>
        <w:t xml:space="preserve"> 2002; : 130.</w:t>
      </w:r>
    </w:p>
    <w:p w14:paraId="04FF92F3" w14:textId="77777777" w:rsidR="00360B9A" w:rsidRPr="00360B9A" w:rsidRDefault="00360B9A" w:rsidP="00360B9A">
      <w:pPr>
        <w:widowControl w:val="0"/>
        <w:autoSpaceDE w:val="0"/>
        <w:autoSpaceDN w:val="0"/>
        <w:adjustRightInd w:val="0"/>
        <w:ind w:left="640" w:hanging="640"/>
        <w:rPr>
          <w:rFonts w:ascii="Calibri" w:hAnsi="Calibri"/>
          <w:noProof/>
        </w:rPr>
      </w:pPr>
      <w:r w:rsidRPr="00360B9A">
        <w:rPr>
          <w:rFonts w:ascii="Calibri" w:eastAsia="Times New Roman" w:hAnsi="Calibri" w:cs="Times New Roman"/>
          <w:noProof/>
        </w:rPr>
        <w:t>8</w:t>
      </w:r>
      <w:r w:rsidRPr="00360B9A">
        <w:rPr>
          <w:rFonts w:ascii="Calibri" w:eastAsia="Times New Roman" w:hAnsi="Calibri" w:cs="Times New Roman"/>
          <w:noProof/>
        </w:rPr>
        <w:tab/>
        <w:t xml:space="preserve">Jones B, Neill BCO, Hegre H,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Spatially explicit global population scenarios consistent with the Shared Socioeconomic Pathways. </w:t>
      </w:r>
      <w:r w:rsidRPr="00360B9A">
        <w:rPr>
          <w:rFonts w:ascii="Calibri" w:eastAsia="Times New Roman" w:hAnsi="Calibri" w:cs="Times New Roman"/>
          <w:i/>
          <w:iCs/>
          <w:noProof/>
        </w:rPr>
        <w:t>Environ Res Lett</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11</w:t>
      </w:r>
      <w:r w:rsidRPr="00360B9A">
        <w:rPr>
          <w:rFonts w:ascii="Calibri" w:eastAsia="Times New Roman" w:hAnsi="Calibri" w:cs="Times New Roman"/>
          <w:noProof/>
        </w:rPr>
        <w:t>.</w:t>
      </w:r>
    </w:p>
    <w:p w14:paraId="2302CE05" w14:textId="5AEE1CD2" w:rsidR="004E18EF" w:rsidRDefault="005729B4" w:rsidP="00360B9A">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1480C"/>
    <w:rsid w:val="00020DE0"/>
    <w:rsid w:val="000223DB"/>
    <w:rsid w:val="000239A7"/>
    <w:rsid w:val="00035305"/>
    <w:rsid w:val="0003657E"/>
    <w:rsid w:val="00036FFA"/>
    <w:rsid w:val="000544A3"/>
    <w:rsid w:val="000633EF"/>
    <w:rsid w:val="00066C53"/>
    <w:rsid w:val="0007073A"/>
    <w:rsid w:val="00073B6B"/>
    <w:rsid w:val="0008315C"/>
    <w:rsid w:val="000870BD"/>
    <w:rsid w:val="0009325C"/>
    <w:rsid w:val="000B0D4A"/>
    <w:rsid w:val="000B6495"/>
    <w:rsid w:val="000B68BB"/>
    <w:rsid w:val="000B7625"/>
    <w:rsid w:val="000C0E55"/>
    <w:rsid w:val="000C4ED8"/>
    <w:rsid w:val="000C7277"/>
    <w:rsid w:val="000D5F12"/>
    <w:rsid w:val="000E154F"/>
    <w:rsid w:val="000E21BF"/>
    <w:rsid w:val="000E50E3"/>
    <w:rsid w:val="000F3A6A"/>
    <w:rsid w:val="00103CBB"/>
    <w:rsid w:val="00103EF1"/>
    <w:rsid w:val="0011537E"/>
    <w:rsid w:val="00115ED5"/>
    <w:rsid w:val="001231F4"/>
    <w:rsid w:val="0012444D"/>
    <w:rsid w:val="00127E01"/>
    <w:rsid w:val="00132C6C"/>
    <w:rsid w:val="0015479D"/>
    <w:rsid w:val="00155080"/>
    <w:rsid w:val="00156FC7"/>
    <w:rsid w:val="00161E98"/>
    <w:rsid w:val="00165F05"/>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51899"/>
    <w:rsid w:val="0026033D"/>
    <w:rsid w:val="00260B02"/>
    <w:rsid w:val="00287DCA"/>
    <w:rsid w:val="00293935"/>
    <w:rsid w:val="00296A5E"/>
    <w:rsid w:val="002B1609"/>
    <w:rsid w:val="002C32C8"/>
    <w:rsid w:val="002C35EA"/>
    <w:rsid w:val="002C363C"/>
    <w:rsid w:val="002C636B"/>
    <w:rsid w:val="002C691B"/>
    <w:rsid w:val="002D0130"/>
    <w:rsid w:val="002D40DB"/>
    <w:rsid w:val="002D73B9"/>
    <w:rsid w:val="002E14EA"/>
    <w:rsid w:val="002F02C9"/>
    <w:rsid w:val="002F4DC5"/>
    <w:rsid w:val="003043B6"/>
    <w:rsid w:val="0030457C"/>
    <w:rsid w:val="00306685"/>
    <w:rsid w:val="00336B09"/>
    <w:rsid w:val="00351EF0"/>
    <w:rsid w:val="00360A06"/>
    <w:rsid w:val="00360B9A"/>
    <w:rsid w:val="00376B34"/>
    <w:rsid w:val="00381E0E"/>
    <w:rsid w:val="00387E05"/>
    <w:rsid w:val="0039751B"/>
    <w:rsid w:val="003A391F"/>
    <w:rsid w:val="003A3A3F"/>
    <w:rsid w:val="003C1065"/>
    <w:rsid w:val="003C153C"/>
    <w:rsid w:val="003C27F8"/>
    <w:rsid w:val="003C451D"/>
    <w:rsid w:val="003D32A1"/>
    <w:rsid w:val="003E4C41"/>
    <w:rsid w:val="003F1EEC"/>
    <w:rsid w:val="003F22B3"/>
    <w:rsid w:val="004018CB"/>
    <w:rsid w:val="00402D6F"/>
    <w:rsid w:val="004060EF"/>
    <w:rsid w:val="004074F7"/>
    <w:rsid w:val="00410813"/>
    <w:rsid w:val="00416553"/>
    <w:rsid w:val="00424341"/>
    <w:rsid w:val="00430834"/>
    <w:rsid w:val="00433EDB"/>
    <w:rsid w:val="00437E72"/>
    <w:rsid w:val="0044730F"/>
    <w:rsid w:val="004742FF"/>
    <w:rsid w:val="00484B47"/>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545C"/>
    <w:rsid w:val="00506AF4"/>
    <w:rsid w:val="0051227E"/>
    <w:rsid w:val="005130C5"/>
    <w:rsid w:val="00531992"/>
    <w:rsid w:val="00541922"/>
    <w:rsid w:val="005546F4"/>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B5C38"/>
    <w:rsid w:val="005E28FE"/>
    <w:rsid w:val="005F34A4"/>
    <w:rsid w:val="005F3963"/>
    <w:rsid w:val="00610890"/>
    <w:rsid w:val="006124E6"/>
    <w:rsid w:val="00620B2C"/>
    <w:rsid w:val="00622BCA"/>
    <w:rsid w:val="00633F4E"/>
    <w:rsid w:val="00635D5D"/>
    <w:rsid w:val="00641AF0"/>
    <w:rsid w:val="0064386E"/>
    <w:rsid w:val="00644A7E"/>
    <w:rsid w:val="00645F93"/>
    <w:rsid w:val="00647FE8"/>
    <w:rsid w:val="00657EBE"/>
    <w:rsid w:val="00661174"/>
    <w:rsid w:val="00661DE5"/>
    <w:rsid w:val="006633AD"/>
    <w:rsid w:val="006803F3"/>
    <w:rsid w:val="00680D50"/>
    <w:rsid w:val="006934E5"/>
    <w:rsid w:val="00694786"/>
    <w:rsid w:val="006A55CC"/>
    <w:rsid w:val="006A591E"/>
    <w:rsid w:val="006A5B04"/>
    <w:rsid w:val="006B4A03"/>
    <w:rsid w:val="006C0D41"/>
    <w:rsid w:val="006C12E4"/>
    <w:rsid w:val="006C50E6"/>
    <w:rsid w:val="006F382C"/>
    <w:rsid w:val="00703C47"/>
    <w:rsid w:val="00706950"/>
    <w:rsid w:val="00712E39"/>
    <w:rsid w:val="007138A7"/>
    <w:rsid w:val="0071418E"/>
    <w:rsid w:val="0072443D"/>
    <w:rsid w:val="00725260"/>
    <w:rsid w:val="0073039A"/>
    <w:rsid w:val="0073173F"/>
    <w:rsid w:val="007564AF"/>
    <w:rsid w:val="00756C1A"/>
    <w:rsid w:val="00764BA5"/>
    <w:rsid w:val="00765671"/>
    <w:rsid w:val="007657EB"/>
    <w:rsid w:val="007813F1"/>
    <w:rsid w:val="0079124B"/>
    <w:rsid w:val="00795E96"/>
    <w:rsid w:val="007A11B2"/>
    <w:rsid w:val="007B545A"/>
    <w:rsid w:val="007C3B9D"/>
    <w:rsid w:val="007D5330"/>
    <w:rsid w:val="007E13E7"/>
    <w:rsid w:val="007E75E0"/>
    <w:rsid w:val="007E7DB0"/>
    <w:rsid w:val="007F0AA4"/>
    <w:rsid w:val="007F0E2A"/>
    <w:rsid w:val="007F2E1E"/>
    <w:rsid w:val="00800663"/>
    <w:rsid w:val="00805C1D"/>
    <w:rsid w:val="00811049"/>
    <w:rsid w:val="0081132E"/>
    <w:rsid w:val="008278D1"/>
    <w:rsid w:val="00833BEF"/>
    <w:rsid w:val="008544E0"/>
    <w:rsid w:val="00866DDE"/>
    <w:rsid w:val="00870509"/>
    <w:rsid w:val="00890E51"/>
    <w:rsid w:val="008A6465"/>
    <w:rsid w:val="008A7646"/>
    <w:rsid w:val="008B7DDD"/>
    <w:rsid w:val="008C1B0F"/>
    <w:rsid w:val="008C4931"/>
    <w:rsid w:val="008C4B74"/>
    <w:rsid w:val="008D151B"/>
    <w:rsid w:val="008E35E5"/>
    <w:rsid w:val="008E4AA6"/>
    <w:rsid w:val="008E570E"/>
    <w:rsid w:val="008F16FF"/>
    <w:rsid w:val="00911EE8"/>
    <w:rsid w:val="009122FC"/>
    <w:rsid w:val="009147E4"/>
    <w:rsid w:val="00922FFB"/>
    <w:rsid w:val="00923C53"/>
    <w:rsid w:val="00932BD5"/>
    <w:rsid w:val="009354E6"/>
    <w:rsid w:val="00937AF1"/>
    <w:rsid w:val="00946A53"/>
    <w:rsid w:val="00952122"/>
    <w:rsid w:val="009535FF"/>
    <w:rsid w:val="00956A91"/>
    <w:rsid w:val="009719A8"/>
    <w:rsid w:val="00971CD0"/>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9F6AF5"/>
    <w:rsid w:val="00A043CE"/>
    <w:rsid w:val="00A10491"/>
    <w:rsid w:val="00A14FA4"/>
    <w:rsid w:val="00A23E5A"/>
    <w:rsid w:val="00A25BFD"/>
    <w:rsid w:val="00A5100E"/>
    <w:rsid w:val="00A55A47"/>
    <w:rsid w:val="00A62542"/>
    <w:rsid w:val="00A718C6"/>
    <w:rsid w:val="00A7417C"/>
    <w:rsid w:val="00A82B05"/>
    <w:rsid w:val="00A96DBA"/>
    <w:rsid w:val="00AA1780"/>
    <w:rsid w:val="00AC00F1"/>
    <w:rsid w:val="00AC344A"/>
    <w:rsid w:val="00AC6A7C"/>
    <w:rsid w:val="00AD2DD2"/>
    <w:rsid w:val="00AF127D"/>
    <w:rsid w:val="00AF59A5"/>
    <w:rsid w:val="00AF69F6"/>
    <w:rsid w:val="00B106AC"/>
    <w:rsid w:val="00B14336"/>
    <w:rsid w:val="00B16EF4"/>
    <w:rsid w:val="00B20F22"/>
    <w:rsid w:val="00B32F6C"/>
    <w:rsid w:val="00B35312"/>
    <w:rsid w:val="00B37009"/>
    <w:rsid w:val="00B518B8"/>
    <w:rsid w:val="00B526C6"/>
    <w:rsid w:val="00B61BBE"/>
    <w:rsid w:val="00B70782"/>
    <w:rsid w:val="00B91584"/>
    <w:rsid w:val="00B95F5C"/>
    <w:rsid w:val="00BB1084"/>
    <w:rsid w:val="00BB55F7"/>
    <w:rsid w:val="00BC069C"/>
    <w:rsid w:val="00BC149E"/>
    <w:rsid w:val="00BC7680"/>
    <w:rsid w:val="00BD16DB"/>
    <w:rsid w:val="00BE164A"/>
    <w:rsid w:val="00BE5840"/>
    <w:rsid w:val="00BE7C5B"/>
    <w:rsid w:val="00BF0976"/>
    <w:rsid w:val="00BF3CD7"/>
    <w:rsid w:val="00C02149"/>
    <w:rsid w:val="00C041FC"/>
    <w:rsid w:val="00C1290D"/>
    <w:rsid w:val="00C165AB"/>
    <w:rsid w:val="00C25541"/>
    <w:rsid w:val="00C368F0"/>
    <w:rsid w:val="00C439FE"/>
    <w:rsid w:val="00C4447B"/>
    <w:rsid w:val="00C543E7"/>
    <w:rsid w:val="00C7796C"/>
    <w:rsid w:val="00C77FA7"/>
    <w:rsid w:val="00C815B1"/>
    <w:rsid w:val="00C82D31"/>
    <w:rsid w:val="00C93D92"/>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CF7A2B"/>
    <w:rsid w:val="00D00531"/>
    <w:rsid w:val="00D032F7"/>
    <w:rsid w:val="00D117B9"/>
    <w:rsid w:val="00D13C39"/>
    <w:rsid w:val="00D24DC4"/>
    <w:rsid w:val="00D258D4"/>
    <w:rsid w:val="00D267A7"/>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B2CE4"/>
    <w:rsid w:val="00DC1680"/>
    <w:rsid w:val="00DC4D50"/>
    <w:rsid w:val="00DD0F87"/>
    <w:rsid w:val="00DD5B72"/>
    <w:rsid w:val="00DD6451"/>
    <w:rsid w:val="00DF15E1"/>
    <w:rsid w:val="00E06999"/>
    <w:rsid w:val="00E12013"/>
    <w:rsid w:val="00E21F96"/>
    <w:rsid w:val="00E33BFE"/>
    <w:rsid w:val="00E42E99"/>
    <w:rsid w:val="00E55F23"/>
    <w:rsid w:val="00E628EF"/>
    <w:rsid w:val="00E63B39"/>
    <w:rsid w:val="00E6752F"/>
    <w:rsid w:val="00E827DA"/>
    <w:rsid w:val="00E85B65"/>
    <w:rsid w:val="00E86ABD"/>
    <w:rsid w:val="00E9130F"/>
    <w:rsid w:val="00E933A5"/>
    <w:rsid w:val="00E93B1A"/>
    <w:rsid w:val="00E959E4"/>
    <w:rsid w:val="00E96DCF"/>
    <w:rsid w:val="00EA601C"/>
    <w:rsid w:val="00EA74DE"/>
    <w:rsid w:val="00EB7434"/>
    <w:rsid w:val="00ED3EB5"/>
    <w:rsid w:val="00ED4D78"/>
    <w:rsid w:val="00EE34B8"/>
    <w:rsid w:val="00EE6A1A"/>
    <w:rsid w:val="00EF0DEC"/>
    <w:rsid w:val="00F01B41"/>
    <w:rsid w:val="00F03F59"/>
    <w:rsid w:val="00F04E4E"/>
    <w:rsid w:val="00F147B2"/>
    <w:rsid w:val="00F162B3"/>
    <w:rsid w:val="00F16BE0"/>
    <w:rsid w:val="00F22901"/>
    <w:rsid w:val="00F30227"/>
    <w:rsid w:val="00F40035"/>
    <w:rsid w:val="00F41FDA"/>
    <w:rsid w:val="00F43484"/>
    <w:rsid w:val="00F4610C"/>
    <w:rsid w:val="00F47AEB"/>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 w:type="paragraph" w:styleId="Caption">
    <w:name w:val="caption"/>
    <w:basedOn w:val="Normal"/>
    <w:next w:val="Normal"/>
    <w:uiPriority w:val="35"/>
    <w:unhideWhenUsed/>
    <w:qFormat/>
    <w:rsid w:val="00833B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422AD46-48AE-4E46-AE4B-1D6DB18F0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4448</Words>
  <Characters>25354</Characters>
  <Application>Microsoft Macintosh Word</Application>
  <DocSecurity>0</DocSecurity>
  <Lines>211</Lines>
  <Paragraphs>59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Abstract</vt:lpstr>
    </vt:vector>
  </TitlesOfParts>
  <LinksUpToDate>false</LinksUpToDate>
  <CharactersWithSpaces>29743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40</cp:revision>
  <dcterms:created xsi:type="dcterms:W3CDTF">2017-08-25T08:22:00Z</dcterms:created>
  <dcterms:modified xsi:type="dcterms:W3CDTF">2017-08-25T09:38:00Z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