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B7F24" w14:textId="24931668" w:rsidR="00F718B5" w:rsidRPr="009354E6" w:rsidRDefault="00AC00F1" w:rsidP="007326A6">
      <w:pPr>
        <w:pStyle w:val="Heading1"/>
        <w:jc w:val="center"/>
      </w:pPr>
      <w:r w:rsidRPr="00756C1A">
        <w:t>A stress-test o</w:t>
      </w:r>
      <w:r w:rsidR="00115ED5" w:rsidRPr="00756C1A">
        <w:t xml:space="preserve">f </w:t>
      </w:r>
      <w:r w:rsidR="005863F9">
        <w:t xml:space="preserve">the </w:t>
      </w:r>
      <w:r w:rsidR="00AF27E0">
        <w:t xml:space="preserve">Ahmedabad </w:t>
      </w:r>
      <w:r w:rsidR="005863F9">
        <w:t>Heat Action Plan</w:t>
      </w:r>
      <w:r w:rsidR="00115ED5" w:rsidRPr="00756C1A">
        <w:t xml:space="preserve"> </w:t>
      </w:r>
      <w:r w:rsidRPr="00756C1A">
        <w:t xml:space="preserve">under </w:t>
      </w:r>
      <w:r w:rsidR="005863F9">
        <w:t>climate change</w:t>
      </w:r>
    </w:p>
    <w:p w14:paraId="593A20DF" w14:textId="47E88D80" w:rsidR="00F718B5" w:rsidRPr="009354E6" w:rsidRDefault="00B10076" w:rsidP="007326A6">
      <w:pPr>
        <w:pStyle w:val="Heading2"/>
      </w:pPr>
      <w:r>
        <w:t>Introduction</w:t>
      </w:r>
    </w:p>
    <w:p w14:paraId="56A39F2C" w14:textId="4327C77D" w:rsidR="00F47AEB" w:rsidRDefault="0011537E" w:rsidP="002C32C8">
      <w:pPr>
        <w:jc w:val="both"/>
      </w:pPr>
      <w:r>
        <w:t>Heat waves</w:t>
      </w:r>
      <w:r w:rsidR="00870509">
        <w:t xml:space="preserve"> can cause a significant increase in morbidity and mortality in vulnerable populations.</w:t>
      </w:r>
      <w:r w:rsidR="005729B4">
        <w:fldChar w:fldCharType="begin" w:fldLock="1"/>
      </w:r>
      <w:r w:rsidR="00360B9A">
        <w:instrText>ADDIN CSL_CITATION { "citationItems" : [ { "id" : "ITEM-1", "itemData" : { "DOI" : "10.1186/1476-069X-8-40", "ISBN" : "1476-069X", "ISSN" : "1476-069X", "PMID" : "19758453", "abstract" : "BACKGROUND: This review examines recent evidence on mortality from elevated ambient temperature for studies published from January 2001 to December 2008. METHODS: PubMed was used to search for the following keywords: temperature, apparent temperature, heat, heat index, and mortality. The search was limited to the English language and epidemiologic studies. Studies that reported mortality counts or excess deaths following heat waves were excluded so that the focus remained on general ambient temperature and mortality in a variety of locations. Studies focusing on cold temperature effects were also excluded. RESULTS: Thirty-six total studies were presented in three tables: 1) elevated ambient temperature and mortality; 2) air pollutants as confounders and/or effect modifiers of the elevated ambient temperature and mortality association; and 3) vulnerable subgroups of the elevated ambient temperature-mortality association. The evidence suggests that particulate matter with less than 10 um in aerodynamic diameter and ozone may confound the association, while ozone was an effect modifier in the warmer months in some locations. Nonetheless, the independent effect of temperature and mortality was withheld. Elevated temperature was associated with increased risk for those dying from cardiovascular, respiratory, cerebrovascular, and some specific cardiovascular diseases, such as ischemic heart disease, congestive heart failure, and myocardial infarction. Vulnerable subgroups also included: Black racial/ethnic group, women, those with lower socioeconomic status, and several age groups, particularly the elderly over 65 years of age as well as infants and young children. CONCLUSION: Many of these outcomes and vulnerable subgroups have only been identified in recent studies and varied by location and study population. Thus, region-specific policies, especially in urban areas, are vital to the mitigation of heat-related deaths.", "author" : [ { "dropping-particle" : "", "family" : "Basu", "given" : "Rupa", "non-dropping-particle" : "", "parse-names" : false, "suffix" : "" } ], "container-title" : "Environmental Health", "id" : "ITEM-1", "issue" : "1", "issued" : { "date-parts" : [ [ "2009" ] ] }, "page" : "40", "title" : "High ambient temperature and mortality: a review of epidemiologic studies from 2001 to 2008", "type" : "article-journal", "volume" : "8" }, "uris" : [ "http://www.mendeley.com/documents/?uuid=421348e3-9c5b-4a0a-8b9d-56fb708e348d", "http://www.mendeley.com/documents/?uuid=4a3c238b-f19d-4589-ab7d-38cd7a1ebe34" ] }, { "id" : "ITEM-2", "itemData" : { "DOI" : "10.1289/ehp.1003198", "ISSN" : "1552-9924", "PMID" : "21824855", "abstract" : "OBJECTIVE: In this paper, we review the epidemiological evidence on the relationship between ambient temperature and morbidity. We assessed the methodological issues in previous studies and proposed future research directions.\\n\\nDATA SOURCES AND DATA EXTRACTION: We searched the PubMed database for epidemiological studies on ambient temperature and morbidity of noncommunicable diseases published in refereed English journals before 30 June 2010. Forty relevant studies were identified. Of these, 24 examined the relationship between ambient temperature and morbidity, 15 investigated the short-term effects of heat wave on morbidity, and 1 assessed both temperature and heat wave effects.\\n\\nDATA SYNTHESIS: Descriptive and time-series studies were the two main research designs used to investigate the temperature-morbidity relationship. Measurements of temperature exposure and health outcomes used in these studies differed widely. The majority of studies reported a significant relationship between ambient temperature and total or cause-specific morbidities. However, there were some inconsistencies in the direction and magnitude of nonlinear lag effects. The lag effect of hot temperature on morbidity was shorter (several days) compared with that of cold temperature (up to a few weeks). The temperature-morbidity relationship may be confounded or modified by sociodemographic factors and air pollution.\\n\\nCONCLUSIONS: There is a significant short-term effect of ambient temperature on total and cause-specific morbidities. However, further research is needed to determine an appropriate temperature measure, consider a diverse range of morbidities, and to use consistent methodology to make different studies more comparable.", "author" : [ { "dropping-particle" : "", "family" : "Ye", "given" : "Xiaofang", "non-dropping-particle" : "", "parse-names" : false, "suffix" : "" }, { "dropping-particle" : "", "family" : "Wolff", "given" : "Rodney", "non-dropping-particle" : "", "parse-names" : false, "suffix" : "" }, { "dropping-particle" : "", "family" : "Yu", "given" : "Weiwei", "non-dropping-particle" : "", "parse-names" : false, "suffix" : "" }, { "dropping-particle" : "", "family" : "Vaneckova", "given" : "Pavla", "non-dropping-particle" : "", "parse-names" : false, "suffix" : "" }, { "dropping-particle" : "", "family" : "Pan", "given" : "Xiaochuan", "non-dropping-particle" : "", "parse-names" : false, "suffix" : "" }, { "dropping-particle" : "", "family" : "Tong", "given" : "Shilu", "non-dropping-particle" : "", "parse-names" : false, "suffix" : "" } ], "container-title" : "Environmental health perspectives", "id" : "ITEM-2", "issue" : "1", "issued" : { "date-parts" : [ [ "2012" ] ] }, "page" : "19-28", "title" : "Ambient temperature and morbidity: a review of epidemiological evidence.", "type" : "article-journal", "volume" : "120" }, "uris" : [ "http://www.mendeley.com/documents/?uuid=6b3bd029-0525-40b3-b338-f61a17bc6b43", "http://www.mendeley.com/documents/?uuid=f019dc8d-900c-43aa-962b-b66d8768a4af" ] } ], "mendeley" : { "formattedCitation" : "&lt;sup&gt;1,2&lt;/sup&gt;", "plainTextFormattedCitation" : "1,2", "previouslyFormattedCitation" : "&lt;sup&gt;1,2&lt;/sup&gt;" }, "properties" : { "noteIndex" : 0 }, "schema" : "https://github.com/citation-style-language/schema/raw/master/csl-citation.json" }</w:instrText>
      </w:r>
      <w:r w:rsidR="005729B4">
        <w:fldChar w:fldCharType="separate"/>
      </w:r>
      <w:r w:rsidR="00D032F7" w:rsidRPr="00D032F7">
        <w:rPr>
          <w:noProof/>
          <w:vertAlign w:val="superscript"/>
        </w:rPr>
        <w:t>1,2</w:t>
      </w:r>
      <w:r w:rsidR="005729B4">
        <w:fldChar w:fldCharType="end"/>
      </w:r>
      <w:r w:rsidR="005729B4">
        <w:t xml:space="preserve"> </w:t>
      </w:r>
      <w:r w:rsidR="00870509">
        <w:t xml:space="preserve">In response, many </w:t>
      </w:r>
      <w:r w:rsidR="00622BCA">
        <w:t>national</w:t>
      </w:r>
      <w:r w:rsidR="00870509">
        <w:t xml:space="preserve"> and </w:t>
      </w:r>
      <w:r w:rsidR="00A23E5A">
        <w:t>regional</w:t>
      </w:r>
      <w:r w:rsidR="00870509">
        <w:t xml:space="preserve"> administrations have developed </w:t>
      </w:r>
      <w:r w:rsidR="0012444D">
        <w:t>their own</w:t>
      </w:r>
      <w:r w:rsidR="00870509">
        <w:t xml:space="preserve"> </w:t>
      </w:r>
      <w:r w:rsidR="00923C53">
        <w:t>h</w:t>
      </w:r>
      <w:r w:rsidR="0073173F">
        <w:t>eat</w:t>
      </w:r>
      <w:r w:rsidR="00923C53">
        <w:t xml:space="preserve"> h</w:t>
      </w:r>
      <w:r w:rsidR="007F0AA4">
        <w:t xml:space="preserve">ealth </w:t>
      </w:r>
      <w:r w:rsidR="00764BA5">
        <w:t>warning systems and action plans</w:t>
      </w:r>
      <w:r w:rsidR="00923C53">
        <w:t xml:space="preserve"> </w:t>
      </w:r>
      <w:r w:rsidR="00195B94">
        <w:t xml:space="preserve">designed to minimise </w:t>
      </w:r>
      <w:r w:rsidR="00B106AC">
        <w:t xml:space="preserve">extreme heat </w:t>
      </w:r>
      <w:r w:rsidR="00195B94">
        <w:t xml:space="preserve">exposure of </w:t>
      </w:r>
      <w:r w:rsidR="00A14FA4">
        <w:t>the most vulnerable</w:t>
      </w:r>
      <w:r w:rsidR="005922C7">
        <w:t>.</w:t>
      </w:r>
      <w:r w:rsidR="007564AF">
        <w:fldChar w:fldCharType="begin" w:fldLock="1"/>
      </w:r>
      <w:r w:rsidR="00CA052B">
        <w:instrText>ADDIN CSL_CITATION { "citationItems" : [ { "id" : "ITEM-1", "itemData" : { "DOI" : "10.3390/ijerph8124623", "ISBN" : "1661-7827", "ISSN" : "16604601", "PMID" : "22408593", "abstract" : "INTRODUCTION: With climate change, there has been an increase in the frequency, intensity and duration of heatwave events. In response to the devastating mortality and morbidity of recent heatwave events, many countries have introduced heatwave early warning systems (HEWS). HEWS are designed to reduce the avoidable human health consequences of heatwaves through timely notification of prevention measures to vulnerable populations.\\n\\nOBJECTIVE: To identify the key characteristics of HEWS in European countries to help inform modification of current, and development of, new systems and plans.\\n\\nMETHODS: We searched the internet to identify HEWS policy or government documents for 33 European countries and requested information from relevant organizations. We translated the HEWS documents and extracted details on the trigger indicators, thresholds for action, notification strategies, message intermediaries, communication and dissemination strategies, prevention strategies recommended and specified target audiences.\\n\\nFINDINGS AND CONCLUSIONS: Twelve European countries have HEWS. Although there are many similarities among the HEWS, there also are differences in key characteristics that could inform improvements in heatwave early warning plans.", "author" : [ { "dropping-particle" : "", "family" : "Lowe", "given" : "Dianne", "non-dropping-particle" : "", "parse-names" : false, "suffix" : "" }, { "dropping-particle" : "", "family" : "Ebi", "given" : "Kristie L.", "non-dropping-particle" : "", "parse-names" : false, "suffix" : "" }, { "dropping-particle" : "", "family" : "Forsberg", "given" : "Bertil", "non-dropping-particle" : "", "parse-names" : false, "suffix" : "" } ], "container-title" : "International Journal of Environmental Research and Public Health", "id" : "ITEM-1", "issue" : "12", "issued" : { "date-parts" : [ [ "2011" ] ] }, "page" : "4623-4648", "title" : "Heatwave early warning systems and adaptation advice to reduce human health consequences of heatwaves", "type" : "article-journal", "volume" : "8" }, "uris" : [ "http://www.mendeley.com/documents/?uuid=b2afd8b2-7c75-4ec2-b459-99fb371e5965" ] }, { "id" : "ITEM-2", "itemData" : { "DOI" : "10.3390/ijerph13020206", "ISBN" : "10.3390/ijerph13020206", "ISSN" : "16604601", "PMID" : "26861369", "abstract" : "Heat waves have been responsible for more fatalities in Europe over the past decades than any other extreme weather event. However, temperature-related illnesses and deaths are largely preventable. Reliable sub-seasonal-to-seasonal (S2S) climate forecasts of extreme temperatures could allow for better short-to-medium-term resource management within heat-health action plans, to protect vulnerable populations and ensure access to preventive measures well in advance. The objective of this study is to assess the extent to which S2S climate forecasts could be incorporated into heat-health action plans, to support timely public health decision-making ahead of imminent heat wave events in Europe. Forecasts of apparent temperature at different lead times (e.g., 1 day, 4 days, 8 days, up to 3 months) were used in a mortality model to produce probabilistic mortality forecasts up to several months ahead of the 2003 heat wave event in Europe. Results were compared to mortality predictions, inferred using observed apparent temperature data in the mortality model. In general, we found a decreasing transition in skill between excellent predictions when using observed temperature, to predictions with no skill when using forecast temperature with lead times greater than one week. However, even at lead-times up to three months, there were some regions in Spain and the United Kingdom where excess mortality was detected with some certainty. This suggests that in some areas of Europe, there is potential for S2S climate forecasts to be incorporated in localised heat-health action plans. In general, these results show that the performance of this climate service framework is not limited by the mortality model itself, but rather by the predictability of the climate variables, at S2S time scales, over Europe.", "author" : [ { "dropping-particle" : "", "family" : "Lowe", "given" : "Rachel", "non-dropping-particle" : "", "parse-names" : false, "suffix" : "" }, { "dropping-particle" : "", "family" : "Garc\u00eda-D\u00edez", "given" : "Markel", "non-dropping-particle" : "", "parse-names" : false, "suffix" : "" }, { "dropping-particle" : "", "family" : "Ballester", "given" : "Joan", "non-dropping-particle" : "", "parse-names" : false, "suffix" : "" }, { "dropping-particle" : "", "family" : "Creswick", "given" : "James", "non-dropping-particle" : "", "parse-names" : false, "suffix" : "" }, { "dropping-particle" : "", "family" : "Robine", "given" : "Jean Marie", "non-dropping-particle" : "", "parse-names" : false, "suffix" : "" }, { "dropping-particle" : "", "family" : "Herrmann", "given" : "Fran\u00e7ois R.", "non-dropping-particle" : "", "parse-names" : false, "suffix" : "" }, { "dropping-particle" : "", "family" : "Rod\u00f3", "given" : "Xavier", "non-dropping-particle" : "", "parse-names" : false, "suffix" : "" } ], "container-title" : "International Journal of Environmental Research and Public Health", "id" : "ITEM-2", "issue" : "2", "issued" : { "date-parts" : [ [ "2016" ] ] }, "title" : "Evaluation of an early-warning system for heat wave-related mortality in Europe: Implications for sub-seasonal to seasonal forecasting and climate services", "type" : "article-journal", "volume" : "13" }, "uris" : [ "http://www.mendeley.com/documents/?uuid=7a393bcf-8dc4-4fba-a81c-991113b2c1fa" ] } ], "mendeley" : { "formattedCitation" : "&lt;sup&gt;3,4&lt;/sup&gt;", "plainTextFormattedCitation" : "3,4", "previouslyFormattedCitation" : "&lt;sup&gt;3,4&lt;/sup&gt;" }, "properties" : { "noteIndex" : 0 }, "schema" : "https://github.com/citation-style-language/schema/raw/master/csl-citation.json" }</w:instrText>
      </w:r>
      <w:r w:rsidR="007564AF">
        <w:fldChar w:fldCharType="separate"/>
      </w:r>
      <w:r w:rsidR="007564AF" w:rsidRPr="007564AF">
        <w:rPr>
          <w:noProof/>
          <w:vertAlign w:val="superscript"/>
        </w:rPr>
        <w:t>3,4</w:t>
      </w:r>
      <w:r w:rsidR="007564AF">
        <w:fldChar w:fldCharType="end"/>
      </w:r>
    </w:p>
    <w:p w14:paraId="14230ACD" w14:textId="77777777" w:rsidR="00A62542" w:rsidRDefault="00A62542" w:rsidP="002C32C8">
      <w:pPr>
        <w:jc w:val="both"/>
      </w:pPr>
    </w:p>
    <w:p w14:paraId="0191865B" w14:textId="0B9D2247" w:rsidR="00A7417C" w:rsidRDefault="0011537E" w:rsidP="002C32C8">
      <w:pPr>
        <w:jc w:val="both"/>
      </w:pPr>
      <w:r>
        <w:t>Heat waves</w:t>
      </w:r>
      <w:r w:rsidR="00A62542">
        <w:t xml:space="preserve">, </w:t>
      </w:r>
      <w:r w:rsidR="00BC149E">
        <w:t xml:space="preserve">however </w:t>
      </w:r>
      <w:r w:rsidR="00FF6A23">
        <w:t>reasonably defined</w:t>
      </w:r>
      <w:r w:rsidR="00A62542">
        <w:t>, are expected to increase in frequency</w:t>
      </w:r>
      <w:r w:rsidR="00235E78">
        <w:t xml:space="preserve"> and duration </w:t>
      </w:r>
      <w:r w:rsidR="00F41FDA">
        <w:t xml:space="preserve">over the next century </w:t>
      </w:r>
      <w:r w:rsidR="00235E78">
        <w:t>under all viable future climate change scenarios.</w:t>
      </w:r>
      <w:r w:rsidR="00CA052B">
        <w:fldChar w:fldCharType="begin" w:fldLock="1"/>
      </w:r>
      <w:r w:rsidR="000F3A6A">
        <w:instrText>ADDIN CSL_CITATION { "citationItems" : [ { "id" : "ITEM-1",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"CEUR Workshop Proceedings", "id" : "ITEM-1", "issued" : { "date-parts" : [ [ "2015" ] ] }, "page" : "33-36", "title" : "Summary for Policymakers. In: Climate Change 2013: The Physical Science Basis. Contribution of Working Group I to the Fifth Assessment Report of the Intergovernmental Panel on Climate Change", "type" : "article-journal", "volume" : "1542" }, "uris" : [ "http://www.mendeley.com/documents/?uuid=df62b8c0-e806-4b2c-943c-a8b841d628ac" ] } ], "mendeley" : { "formattedCitation" : "&lt;sup&gt;5&lt;/sup&gt;", "plainTextFormattedCitation" : "5", "previouslyFormattedCitation" : "&lt;sup&gt;5&lt;/sup&gt;" }, "properties" : { "noteIndex" : 0 }, "schema" : "https://github.com/citation-style-language/schema/raw/master/csl-citation.json" }</w:instrText>
      </w:r>
      <w:r w:rsidR="00CA052B">
        <w:fldChar w:fldCharType="separate"/>
      </w:r>
      <w:r w:rsidR="00CA052B" w:rsidRPr="00CA052B">
        <w:rPr>
          <w:noProof/>
          <w:vertAlign w:val="superscript"/>
        </w:rPr>
        <w:t>5</w:t>
      </w:r>
      <w:r w:rsidR="00CA052B">
        <w:fldChar w:fldCharType="end"/>
      </w:r>
      <w:r w:rsidR="0073173F">
        <w:t xml:space="preserve"> This casts a special focus on how </w:t>
      </w:r>
      <w:r w:rsidR="0071418E">
        <w:t xml:space="preserve">action plans </w:t>
      </w:r>
      <w:r w:rsidR="0073173F">
        <w:t>are</w:t>
      </w:r>
      <w:r w:rsidR="002C636B">
        <w:t xml:space="preserve"> designed and equipped to </w:t>
      </w:r>
      <w:r w:rsidR="00BB55F7">
        <w:t>handle</w:t>
      </w:r>
      <w:r w:rsidR="00541922">
        <w:t xml:space="preserve"> </w:t>
      </w:r>
      <w:r>
        <w:t>heat wave</w:t>
      </w:r>
      <w:r w:rsidR="00E628EF">
        <w:t>s</w:t>
      </w:r>
      <w:r w:rsidR="00645F93">
        <w:t xml:space="preserve"> in the next century</w:t>
      </w:r>
      <w:r w:rsidR="00E628EF">
        <w:t>.</w:t>
      </w:r>
      <w:r w:rsidR="001C778E">
        <w:t xml:space="preserve"> I</w:t>
      </w:r>
      <w:r w:rsidR="00BF3CD7">
        <w:t>t is</w:t>
      </w:r>
      <w:r w:rsidR="001C778E">
        <w:t xml:space="preserve"> </w:t>
      </w:r>
      <w:r w:rsidR="00644A7E">
        <w:t>thus</w:t>
      </w:r>
      <w:r w:rsidR="006803F3">
        <w:t xml:space="preserve"> </w:t>
      </w:r>
      <w:r w:rsidR="00CE1F3A">
        <w:t>incumbent on</w:t>
      </w:r>
      <w:r w:rsidR="00805C1D">
        <w:t xml:space="preserve"> those in the </w:t>
      </w:r>
      <w:r w:rsidR="00ED4D78">
        <w:t>climate and health</w:t>
      </w:r>
      <w:r w:rsidR="00805C1D">
        <w:t xml:space="preserve"> </w:t>
      </w:r>
      <w:r w:rsidR="00E93B1A">
        <w:t xml:space="preserve">research communities to scrutinise the </w:t>
      </w:r>
      <w:r w:rsidR="007138A7">
        <w:t xml:space="preserve">limits and </w:t>
      </w:r>
      <w:r w:rsidR="001C778E">
        <w:t>tolerance level</w:t>
      </w:r>
      <w:r w:rsidR="00E93B1A">
        <w:t>s</w:t>
      </w:r>
      <w:r w:rsidR="0073039A">
        <w:t xml:space="preserve"> of such plans</w:t>
      </w:r>
      <w:r w:rsidR="00C96B61">
        <w:t xml:space="preserve">, and to understand how </w:t>
      </w:r>
      <w:r w:rsidR="00155080">
        <w:t xml:space="preserve">prepared </w:t>
      </w:r>
      <w:r w:rsidR="00952122">
        <w:t>we will need to be for</w:t>
      </w:r>
      <w:r w:rsidR="00155080">
        <w:t xml:space="preserve"> future</w:t>
      </w:r>
      <w:r>
        <w:t xml:space="preserve"> heat waves</w:t>
      </w:r>
      <w:r w:rsidR="008278D1">
        <w:t>.</w:t>
      </w:r>
    </w:p>
    <w:p w14:paraId="46DC1000" w14:textId="77777777" w:rsidR="00A7417C" w:rsidRDefault="00A7417C" w:rsidP="002C32C8">
      <w:pPr>
        <w:jc w:val="both"/>
      </w:pPr>
    </w:p>
    <w:p w14:paraId="0D9E362F" w14:textId="3A484495" w:rsidR="00CB71E1" w:rsidRDefault="00725260" w:rsidP="002C32C8">
      <w:pPr>
        <w:jc w:val="both"/>
      </w:pPr>
      <w:r>
        <w:t>In our analysis, w</w:t>
      </w:r>
      <w:r w:rsidR="00201E5C">
        <w:t>e</w:t>
      </w:r>
      <w:r w:rsidR="00F30227">
        <w:t xml:space="preserve"> </w:t>
      </w:r>
      <w:r>
        <w:t>‘</w:t>
      </w:r>
      <w:r w:rsidR="00F30227">
        <w:t>stress-test</w:t>
      </w:r>
      <w:r>
        <w:t>’</w:t>
      </w:r>
      <w:r w:rsidR="00595B6E">
        <w:t xml:space="preserve"> a </w:t>
      </w:r>
      <w:r>
        <w:t xml:space="preserve">representative </w:t>
      </w:r>
      <w:r w:rsidR="00595B6E">
        <w:t xml:space="preserve">selection of </w:t>
      </w:r>
      <w:r w:rsidR="00FB6B9E">
        <w:t>warning system and action plans</w:t>
      </w:r>
      <w:r w:rsidR="001C778E">
        <w:t>. By using a fu</w:t>
      </w:r>
      <w:r w:rsidR="00B37009">
        <w:t>ture global climate projections</w:t>
      </w:r>
      <w:r w:rsidR="00D72B71">
        <w:t xml:space="preserve"> of the 21</w:t>
      </w:r>
      <w:r w:rsidR="00D72B71" w:rsidRPr="00D72B71">
        <w:rPr>
          <w:vertAlign w:val="superscript"/>
        </w:rPr>
        <w:t>st</w:t>
      </w:r>
      <w:r w:rsidR="002E14EA">
        <w:t xml:space="preserve"> centu</w:t>
      </w:r>
      <w:r w:rsidR="00D72B71">
        <w:t>ry</w:t>
      </w:r>
      <w:r w:rsidR="001C778E">
        <w:t xml:space="preserve"> </w:t>
      </w:r>
      <w:r w:rsidR="00B37009">
        <w:t>in conjunction with</w:t>
      </w:r>
      <w:r w:rsidR="00633F4E">
        <w:t xml:space="preserve"> thresholds explicit in </w:t>
      </w:r>
      <w:r w:rsidR="00956A91">
        <w:t xml:space="preserve">identified </w:t>
      </w:r>
      <w:r w:rsidR="00633F4E">
        <w:t>warning systems</w:t>
      </w:r>
      <w:r w:rsidR="00F82E2F">
        <w:t>, we w</w:t>
      </w:r>
      <w:r w:rsidR="00661174">
        <w:t xml:space="preserve">ill </w:t>
      </w:r>
      <w:r w:rsidR="009A03AD">
        <w:t xml:space="preserve">assess the number of times </w:t>
      </w:r>
      <w:r w:rsidR="0072443D">
        <w:t xml:space="preserve">actions plans will need to be </w:t>
      </w:r>
      <w:r w:rsidR="0064386E">
        <w:t>implemented</w:t>
      </w:r>
      <w:r w:rsidR="00B95F5C">
        <w:t>, as well as how exposure to alert days are projected to change by using population projections</w:t>
      </w:r>
      <w:r w:rsidR="007C3B9D">
        <w:t>.</w:t>
      </w:r>
    </w:p>
    <w:p w14:paraId="3BB87E84" w14:textId="77777777" w:rsidR="000C4ED8" w:rsidRDefault="000C4ED8" w:rsidP="002C32C8">
      <w:pPr>
        <w:jc w:val="both"/>
      </w:pPr>
    </w:p>
    <w:p w14:paraId="42116937" w14:textId="71C2600E" w:rsidR="006A591E" w:rsidRDefault="000C4ED8" w:rsidP="002C32C8">
      <w:pPr>
        <w:jc w:val="both"/>
      </w:pPr>
      <w:r>
        <w:t xml:space="preserve">This </w:t>
      </w:r>
      <w:r w:rsidR="002C691B">
        <w:t>study will</w:t>
      </w:r>
      <w:r>
        <w:t xml:space="preserve"> </w:t>
      </w:r>
      <w:r w:rsidR="009C0D6E">
        <w:t xml:space="preserve">provide </w:t>
      </w:r>
      <w:r>
        <w:t xml:space="preserve">a quantitative </w:t>
      </w:r>
      <w:r w:rsidR="00AF127D">
        <w:t xml:space="preserve">framework </w:t>
      </w:r>
      <w:r w:rsidR="00E6752F">
        <w:t>on the requirements of</w:t>
      </w:r>
      <w:r w:rsidR="00AF127D">
        <w:t xml:space="preserve"> future </w:t>
      </w:r>
      <w:r w:rsidR="00244D2A">
        <w:t>action, in terms of financial and human cost</w:t>
      </w:r>
      <w:r w:rsidR="00E33BFE">
        <w:t>.</w:t>
      </w:r>
      <w:r w:rsidR="007F0E2A" w:rsidRPr="00F929CA">
        <w:t xml:space="preserve"> </w:t>
      </w:r>
      <w:r w:rsidR="007C3B9D">
        <w:t xml:space="preserve">The aim </w:t>
      </w:r>
      <w:r w:rsidR="004E661F">
        <w:t xml:space="preserve">of the study is </w:t>
      </w:r>
      <w:r w:rsidR="007C3B9D">
        <w:t>to judge the feasibility of such action plans under projected climate change.</w:t>
      </w:r>
      <w:r w:rsidR="00B1632F">
        <w:t xml:space="preserve"> The aim is also to highlight the importance of iterating </w:t>
      </w:r>
      <w:r w:rsidR="005A7DED">
        <w:t>Heat Health Warning Systems</w:t>
      </w:r>
      <w:r w:rsidR="00D961FB">
        <w:t xml:space="preserve"> </w:t>
      </w:r>
      <w:r w:rsidR="000C771B">
        <w:t>to adapt in order to become sustainable and consistently effective in the future.</w:t>
      </w:r>
      <w:r w:rsidR="000C771B">
        <w:fldChar w:fldCharType="begin" w:fldLock="1"/>
      </w:r>
      <w:r w:rsidR="00D7380F">
        <w:instrText>ADDIN CSL_CITATION { "citationItems" : [ { "id" : "ITEM-1", "itemData" : { "DOI" : "10.1111/nyas.13258", "ISSN" : "17496632", "PMID" : "27788557", "abstract" : "Extreme heat is a leading weather-related cause of morbidity and mortality, with heat exposure becoming more widespread, frequent, and intense as climates change. The use of heat early warning and response systems (HEWSs) that integrate weather forecasts with risk assessment, communication, and reduction activities is increasingly widespread. HEWSs are frequently touted as an adaptation to climate change, but little attention has been paid to the question of how best to ensure effectiveness of HEWSs as climates change further. In this paper, we discuss findings showing that HEWSs satisfy the tenets of an intervention that facilitates adaptation, but climate change poses challenges infrequently addressed in heat action plans, particularly changes in the onset, duration, and intensity of dangerously warm temperatures, and changes over time in the relationships between temperature and health outcomes. Iterative management should be central to a HEWS, and iteration cycles should be of 5 years or less. Climate change adaptation and implementation science research frameworks can be used to identify HEWS modifications to improve their effectiveness as temperature continues to rise, incorporating scientific insights and new understanding of effective interventions. We conclude that, at a minimum, iterative management activities should involve planned reassessment at least every 5 years of hazard distribution, population-level vulnerability, and HEWS effectiveness.", "author" : [ { "dropping-particle" : "", "family" : "Hess", "given" : "Jeremy J.", "non-dropping-particle" : "", "parse-names" : false, "suffix" : "" }, { "dropping-particle" : "", "family" : "Ebi", "given" : "Kristie L.", "non-dropping-particle" : "", "parse-names" : false, "suffix" : "" } ], "container-title" : "Annals of the New York Academy of Sciences", "id" : "ITEM-1", "issued" : { "date-parts" : [ [ "2016" ] ] }, "page" : "21-30", "title" : "Iterative management of heat early warning systems in a changing climate", "type" : "article-newspaper" }, "uris" : [ "http://www.mendeley.com/documents/?uuid=8d1b8af1-24a0-4442-acfa-d751913b8bf4" ] } ], "mendeley" : { "formattedCitation" : "&lt;sup&gt;6&lt;/sup&gt;", "plainTextFormattedCitation" : "6", "previouslyFormattedCitation" : "&lt;sup&gt;6&lt;/sup&gt;" }, "properties" : { "noteIndex" : 0 }, "schema" : "https://github.com/citation-style-language/schema/raw/master/csl-citation.json" }</w:instrText>
      </w:r>
      <w:r w:rsidR="000C771B">
        <w:fldChar w:fldCharType="separate"/>
      </w:r>
      <w:r w:rsidR="000C771B" w:rsidRPr="000C771B">
        <w:rPr>
          <w:noProof/>
          <w:vertAlign w:val="superscript"/>
        </w:rPr>
        <w:t>6</w:t>
      </w:r>
      <w:r w:rsidR="000C771B">
        <w:fldChar w:fldCharType="end"/>
      </w:r>
    </w:p>
    <w:p w14:paraId="7E8ECBF9" w14:textId="77777777" w:rsidR="001A1DC9" w:rsidRDefault="001A1DC9" w:rsidP="002C32C8">
      <w:pPr>
        <w:jc w:val="both"/>
      </w:pPr>
    </w:p>
    <w:p w14:paraId="6C6B715D" w14:textId="38351E14" w:rsidR="000606A9" w:rsidRDefault="00283995" w:rsidP="00A15D93">
      <w:pPr>
        <w:pStyle w:val="Heading2"/>
      </w:pPr>
      <w:r>
        <w:t>Method</w:t>
      </w:r>
      <w:bookmarkStart w:id="0" w:name="_GoBack"/>
      <w:bookmarkEnd w:id="0"/>
    </w:p>
    <w:p w14:paraId="6E8CC40C" w14:textId="77777777" w:rsidR="00A15D93" w:rsidRDefault="00A15D93" w:rsidP="00562640">
      <w:pPr>
        <w:widowControl w:val="0"/>
        <w:autoSpaceDE w:val="0"/>
        <w:autoSpaceDN w:val="0"/>
        <w:adjustRightInd w:val="0"/>
        <w:ind w:left="640" w:hanging="640"/>
        <w:jc w:val="both"/>
      </w:pPr>
    </w:p>
    <w:p w14:paraId="2F5C894C" w14:textId="554207A4" w:rsidR="00562640" w:rsidRDefault="003E1592" w:rsidP="000606A9">
      <w:pPr>
        <w:widowControl w:val="0"/>
        <w:autoSpaceDE w:val="0"/>
        <w:autoSpaceDN w:val="0"/>
        <w:adjustRightInd w:val="0"/>
        <w:ind w:left="640" w:hanging="640"/>
        <w:jc w:val="both"/>
      </w:pPr>
      <w:r>
        <w:t>T</w:t>
      </w:r>
      <w:r w:rsidR="000606A9" w:rsidRPr="000606A9">
        <w:t>he Ahmedabad Heat Action Plan</w:t>
      </w:r>
      <w:r w:rsidR="00FD4B86">
        <w:t xml:space="preserve"> 2017</w:t>
      </w:r>
      <w:r w:rsidR="000606A9" w:rsidRPr="000606A9">
        <w:fldChar w:fldCharType="begin" w:fldLock="1"/>
      </w:r>
      <w:r w:rsidR="00D7380F">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"id" : "ITEM-1", "issue" : "3", "issued" : { "date-parts" : [ [ "2014" ] ] }, "title" : "Ahmedabad Heat Action Plan 2017", "type" : "article-journal", "volume" : "9" }, "uris" : [ "http://www.mendeley.com/documents/?uuid=fa9ecc8a-c2a5-4b71-9fa9-8e8869ea2a4f" ] } ], "mendeley" : { "formattedCitation" : "&lt;sup&gt;7&lt;/sup&gt;", "plainTextFormattedCitation" : "7", "previouslyFormattedCitation" : "&lt;sup&gt;7&lt;/sup&gt;" }, "properties" : { "noteIndex" : 0 }, "schema" : "https://github.com/citation-style-language/schema/raw/master/csl-citation.json" }</w:instrText>
      </w:r>
      <w:r w:rsidR="000606A9" w:rsidRPr="000606A9">
        <w:fldChar w:fldCharType="separate"/>
      </w:r>
      <w:r w:rsidR="000C771B" w:rsidRPr="000C771B">
        <w:rPr>
          <w:noProof/>
          <w:vertAlign w:val="superscript"/>
        </w:rPr>
        <w:t>7</w:t>
      </w:r>
      <w:r w:rsidR="000606A9" w:rsidRPr="000606A9">
        <w:fldChar w:fldCharType="end"/>
      </w:r>
      <w:r>
        <w:t xml:space="preserve"> provides </w:t>
      </w:r>
      <w:r w:rsidR="000606A9" w:rsidRPr="000606A9">
        <w:t>warning thresholds</w:t>
      </w:r>
      <w:r>
        <w:t xml:space="preserve"> for maximum daily </w:t>
      </w:r>
      <w:r w:rsidR="000606A9" w:rsidRPr="000606A9">
        <w:t>temperature (T</w:t>
      </w:r>
      <w:r w:rsidR="000606A9" w:rsidRPr="000606A9">
        <w:rPr>
          <w:vertAlign w:val="subscript"/>
        </w:rPr>
        <w:t>max</w:t>
      </w:r>
      <w:r w:rsidR="000606A9">
        <w:t>)</w:t>
      </w:r>
      <w:r w:rsidR="000606A9" w:rsidRPr="000606A9">
        <w:t xml:space="preserve"> </w:t>
      </w:r>
      <w:r w:rsidR="00A15D93">
        <w:t>(</w:t>
      </w:r>
      <w:r w:rsidR="00A15D93">
        <w:fldChar w:fldCharType="begin"/>
      </w:r>
      <w:r w:rsidR="00A15D93">
        <w:instrText xml:space="preserve"> REF _Ref494986697 \h </w:instrText>
      </w:r>
      <w:r w:rsidR="00A15D93">
        <w:fldChar w:fldCharType="separate"/>
      </w:r>
      <w:r w:rsidR="00A15D93" w:rsidRPr="00D17881">
        <w:rPr>
          <w:color w:val="000000" w:themeColor="text1"/>
        </w:rPr>
        <w:t xml:space="preserve">Table </w:t>
      </w:r>
      <w:r w:rsidR="00A15D93" w:rsidRPr="00D17881">
        <w:rPr>
          <w:noProof/>
          <w:color w:val="000000" w:themeColor="text1"/>
        </w:rPr>
        <w:t>1</w:t>
      </w:r>
      <w:r w:rsidR="00A15D93">
        <w:fldChar w:fldCharType="end"/>
      </w:r>
      <w:r w:rsidR="000606A9">
        <w:t>):</w:t>
      </w:r>
    </w:p>
    <w:p w14:paraId="0C0BFEC8" w14:textId="77777777" w:rsidR="00562640" w:rsidRDefault="00562640" w:rsidP="002D40DB">
      <w:pPr>
        <w:widowControl w:val="0"/>
        <w:autoSpaceDE w:val="0"/>
        <w:autoSpaceDN w:val="0"/>
        <w:adjustRightInd w:val="0"/>
        <w:ind w:left="640" w:hanging="640"/>
        <w:jc w:val="center"/>
      </w:pPr>
    </w:p>
    <w:p w14:paraId="00900563" w14:textId="2E831F9D" w:rsidR="00074E9C" w:rsidRPr="00D17881" w:rsidRDefault="00074E9C" w:rsidP="00074E9C">
      <w:pPr>
        <w:pStyle w:val="Caption"/>
        <w:keepNext/>
        <w:jc w:val="center"/>
        <w:rPr>
          <w:color w:val="000000" w:themeColor="text1"/>
        </w:rPr>
      </w:pPr>
      <w:bookmarkStart w:id="1" w:name="_Ref494986697"/>
      <w:r w:rsidRPr="00D17881">
        <w:rPr>
          <w:color w:val="000000" w:themeColor="text1"/>
        </w:rPr>
        <w:t xml:space="preserve">Table </w:t>
      </w:r>
      <w:r w:rsidRPr="00D17881">
        <w:rPr>
          <w:color w:val="000000" w:themeColor="text1"/>
        </w:rPr>
        <w:fldChar w:fldCharType="begin"/>
      </w:r>
      <w:r w:rsidRPr="00D17881">
        <w:rPr>
          <w:color w:val="000000" w:themeColor="text1"/>
        </w:rPr>
        <w:instrText xml:space="preserve"> SEQ Table \* ARABIC </w:instrText>
      </w:r>
      <w:r w:rsidRPr="00D17881">
        <w:rPr>
          <w:color w:val="000000" w:themeColor="text1"/>
        </w:rPr>
        <w:fldChar w:fldCharType="separate"/>
      </w:r>
      <w:r w:rsidRPr="00D17881">
        <w:rPr>
          <w:noProof/>
          <w:color w:val="000000" w:themeColor="text1"/>
        </w:rPr>
        <w:t>1</w:t>
      </w:r>
      <w:r w:rsidRPr="00D17881">
        <w:rPr>
          <w:color w:val="000000" w:themeColor="text1"/>
        </w:rPr>
        <w:fldChar w:fldCharType="end"/>
      </w:r>
      <w:bookmarkEnd w:id="1"/>
      <w:r w:rsidRPr="00D17881">
        <w:rPr>
          <w:color w:val="000000" w:themeColor="text1"/>
        </w:rPr>
        <w:t>. Ahmedabad Heat Action Plan warning thresholds based on daily maximum temperatures</w:t>
      </w:r>
    </w:p>
    <w:tbl>
      <w:tblPr>
        <w:tblStyle w:val="TableGrid"/>
        <w:tblW w:w="0" w:type="auto"/>
        <w:jc w:val="center"/>
        <w:tblLook w:val="04A0" w:firstRow="1" w:lastRow="0" w:firstColumn="1" w:lastColumn="0" w:noHBand="0" w:noVBand="1"/>
      </w:tblPr>
      <w:tblGrid>
        <w:gridCol w:w="3003"/>
        <w:gridCol w:w="3003"/>
        <w:gridCol w:w="3004"/>
      </w:tblGrid>
      <w:tr w:rsidR="002D40DB" w14:paraId="79D8176F" w14:textId="77777777" w:rsidTr="002D40DB">
        <w:trPr>
          <w:jc w:val="center"/>
        </w:trPr>
        <w:tc>
          <w:tcPr>
            <w:tcW w:w="3003" w:type="dxa"/>
          </w:tcPr>
          <w:p w14:paraId="40776865" w14:textId="71CD4884" w:rsidR="002D40DB" w:rsidRPr="00CE6968" w:rsidRDefault="002D40DB" w:rsidP="002D40DB">
            <w:pPr>
              <w:widowControl w:val="0"/>
              <w:autoSpaceDE w:val="0"/>
              <w:autoSpaceDN w:val="0"/>
              <w:adjustRightInd w:val="0"/>
              <w:jc w:val="center"/>
              <w:rPr>
                <w:b/>
              </w:rPr>
            </w:pPr>
            <w:r w:rsidRPr="00CE6968">
              <w:rPr>
                <w:b/>
                <w:highlight w:val="yellow"/>
              </w:rPr>
              <w:t>Yellow alert</w:t>
            </w:r>
          </w:p>
        </w:tc>
        <w:tc>
          <w:tcPr>
            <w:tcW w:w="3003" w:type="dxa"/>
          </w:tcPr>
          <w:p w14:paraId="3FECC4AE" w14:textId="334D7699" w:rsidR="002D40DB" w:rsidRPr="002D40DB" w:rsidRDefault="002D40DB" w:rsidP="002D40DB">
            <w:pPr>
              <w:widowControl w:val="0"/>
              <w:autoSpaceDE w:val="0"/>
              <w:autoSpaceDN w:val="0"/>
              <w:adjustRightInd w:val="0"/>
              <w:jc w:val="center"/>
            </w:pPr>
            <w:r w:rsidRPr="002D40DB">
              <w:t>Hot Day Advisory</w:t>
            </w:r>
          </w:p>
        </w:tc>
        <w:tc>
          <w:tcPr>
            <w:tcW w:w="3004" w:type="dxa"/>
          </w:tcPr>
          <w:p w14:paraId="794226D1" w14:textId="68016A6A" w:rsidR="002D40DB" w:rsidRPr="002D40DB" w:rsidRDefault="002D40DB" w:rsidP="002D40DB">
            <w:pPr>
              <w:widowControl w:val="0"/>
              <w:autoSpaceDE w:val="0"/>
              <w:autoSpaceDN w:val="0"/>
              <w:adjustRightInd w:val="0"/>
              <w:jc w:val="center"/>
            </w:pPr>
            <w:r w:rsidRPr="002D40DB">
              <w:t>41.1-43°C</w:t>
            </w:r>
          </w:p>
        </w:tc>
      </w:tr>
      <w:tr w:rsidR="002D40DB" w14:paraId="2C07D3CD" w14:textId="77777777" w:rsidTr="002D40DB">
        <w:trPr>
          <w:jc w:val="center"/>
        </w:trPr>
        <w:tc>
          <w:tcPr>
            <w:tcW w:w="3003" w:type="dxa"/>
          </w:tcPr>
          <w:p w14:paraId="7207F2BC" w14:textId="32E674BC" w:rsidR="002D40DB" w:rsidRPr="00CE6968" w:rsidRDefault="002D40DB" w:rsidP="002D40DB">
            <w:pPr>
              <w:widowControl w:val="0"/>
              <w:autoSpaceDE w:val="0"/>
              <w:autoSpaceDN w:val="0"/>
              <w:adjustRightInd w:val="0"/>
              <w:jc w:val="center"/>
              <w:rPr>
                <w:b/>
              </w:rPr>
            </w:pPr>
            <w:r w:rsidRPr="006C12E4">
              <w:rPr>
                <w:b/>
                <w:color w:val="ED7D31" w:themeColor="accent2"/>
              </w:rPr>
              <w:t>Orange alert</w:t>
            </w:r>
          </w:p>
        </w:tc>
        <w:tc>
          <w:tcPr>
            <w:tcW w:w="3003" w:type="dxa"/>
          </w:tcPr>
          <w:p w14:paraId="35F8086A" w14:textId="3DCBA7F8" w:rsidR="002D40DB" w:rsidRPr="002D40DB" w:rsidRDefault="002D40DB" w:rsidP="002D40DB">
            <w:pPr>
              <w:widowControl w:val="0"/>
              <w:autoSpaceDE w:val="0"/>
              <w:autoSpaceDN w:val="0"/>
              <w:adjustRightInd w:val="0"/>
              <w:jc w:val="center"/>
            </w:pPr>
            <w:r w:rsidRPr="002D40DB">
              <w:t>Heat Alert Day</w:t>
            </w:r>
          </w:p>
        </w:tc>
        <w:tc>
          <w:tcPr>
            <w:tcW w:w="3004" w:type="dxa"/>
          </w:tcPr>
          <w:p w14:paraId="07679690" w14:textId="04FE54EB" w:rsidR="002D40DB" w:rsidRPr="002D40DB" w:rsidRDefault="002D40DB" w:rsidP="002D40DB">
            <w:pPr>
              <w:widowControl w:val="0"/>
              <w:autoSpaceDE w:val="0"/>
              <w:autoSpaceDN w:val="0"/>
              <w:adjustRightInd w:val="0"/>
              <w:jc w:val="center"/>
            </w:pPr>
            <w:r w:rsidRPr="002D40DB">
              <w:t>43.1-44.9°C</w:t>
            </w:r>
          </w:p>
        </w:tc>
      </w:tr>
      <w:tr w:rsidR="002D40DB" w14:paraId="18FE609E" w14:textId="77777777" w:rsidTr="003E1592">
        <w:trPr>
          <w:trHeight w:val="260"/>
          <w:jc w:val="center"/>
        </w:trPr>
        <w:tc>
          <w:tcPr>
            <w:tcW w:w="3003" w:type="dxa"/>
          </w:tcPr>
          <w:p w14:paraId="43552FDF" w14:textId="4E191528" w:rsidR="002D40DB" w:rsidRPr="00CE6968" w:rsidRDefault="002D40DB" w:rsidP="002D40DB">
            <w:pPr>
              <w:widowControl w:val="0"/>
              <w:autoSpaceDE w:val="0"/>
              <w:autoSpaceDN w:val="0"/>
              <w:adjustRightInd w:val="0"/>
              <w:jc w:val="center"/>
              <w:rPr>
                <w:b/>
              </w:rPr>
            </w:pPr>
            <w:r w:rsidRPr="00CE6968">
              <w:rPr>
                <w:b/>
                <w:highlight w:val="red"/>
              </w:rPr>
              <w:t>Red alert</w:t>
            </w:r>
          </w:p>
        </w:tc>
        <w:tc>
          <w:tcPr>
            <w:tcW w:w="3003" w:type="dxa"/>
          </w:tcPr>
          <w:p w14:paraId="361A5408" w14:textId="48F7AD82" w:rsidR="002D40DB" w:rsidRDefault="002D40DB" w:rsidP="002D40DB">
            <w:pPr>
              <w:widowControl w:val="0"/>
              <w:autoSpaceDE w:val="0"/>
              <w:autoSpaceDN w:val="0"/>
              <w:adjustRightInd w:val="0"/>
              <w:jc w:val="center"/>
            </w:pPr>
            <w:r>
              <w:t>Extreme Heat Alert Day</w:t>
            </w:r>
          </w:p>
        </w:tc>
        <w:tc>
          <w:tcPr>
            <w:tcW w:w="3004" w:type="dxa"/>
          </w:tcPr>
          <w:p w14:paraId="2B167E77" w14:textId="74DFC2AC" w:rsidR="002D40DB" w:rsidRDefault="002D40DB" w:rsidP="002D40DB">
            <w:pPr>
              <w:widowControl w:val="0"/>
              <w:autoSpaceDE w:val="0"/>
              <w:autoSpaceDN w:val="0"/>
              <w:adjustRightInd w:val="0"/>
              <w:jc w:val="center"/>
            </w:pPr>
            <w:r>
              <w:t>≥45°C</w:t>
            </w:r>
          </w:p>
        </w:tc>
      </w:tr>
    </w:tbl>
    <w:p w14:paraId="78FDDD6B" w14:textId="5E83F4B2" w:rsidR="00416553" w:rsidRDefault="00416553" w:rsidP="00CB71E1">
      <w:pPr>
        <w:jc w:val="both"/>
      </w:pPr>
    </w:p>
    <w:p w14:paraId="6577591E" w14:textId="77777777" w:rsidR="00CB71E1" w:rsidRDefault="00CB71E1" w:rsidP="00E933A5">
      <w:pPr>
        <w:widowControl w:val="0"/>
        <w:autoSpaceDE w:val="0"/>
        <w:autoSpaceDN w:val="0"/>
        <w:adjustRightInd w:val="0"/>
        <w:ind w:left="640" w:hanging="640"/>
        <w:jc w:val="both"/>
      </w:pPr>
    </w:p>
    <w:p w14:paraId="718C95D1" w14:textId="77777777" w:rsidR="00F463B3" w:rsidRDefault="00CB71E1" w:rsidP="00F463B3">
      <w:pPr>
        <w:jc w:val="both"/>
      </w:pPr>
      <w:r w:rsidRPr="00CB71E1">
        <w:t>Using the KNMI Climate Explorer, projections for daily T</w:t>
      </w:r>
      <w:r w:rsidR="00971CD0" w:rsidRPr="00971CD0">
        <w:rPr>
          <w:vertAlign w:val="subscript"/>
        </w:rPr>
        <w:t>max</w:t>
      </w:r>
      <w:r w:rsidRPr="00CB71E1">
        <w:t xml:space="preserve"> in</w:t>
      </w:r>
      <w:r w:rsidR="006E37C9">
        <w:t xml:space="preserve"> </w:t>
      </w:r>
      <w:r w:rsidR="008F341E">
        <w:t>1961-2000,</w:t>
      </w:r>
      <w:r w:rsidRPr="00CB71E1">
        <w:t xml:space="preserve"> 2046-2065 and 2081-2100 were obtained for the Ahmedabad grid square using </w:t>
      </w:r>
      <w:r w:rsidR="00372D74">
        <w:t>the Canadian Centre for Climate Modelling and Analysis (CCCma) Coupled Global Climate Model</w:t>
      </w:r>
      <w:r w:rsidRPr="00CB71E1">
        <w:t xml:space="preserve"> </w:t>
      </w:r>
      <w:r w:rsidR="00372D74">
        <w:t>(</w:t>
      </w:r>
      <w:r w:rsidR="008F341E">
        <w:t>CGCM</w:t>
      </w:r>
      <w:r w:rsidR="00372D74">
        <w:t xml:space="preserve">) </w:t>
      </w:r>
      <w:r w:rsidR="008F341E">
        <w:t>3.1</w:t>
      </w:r>
      <w:r w:rsidRPr="00CB71E1">
        <w:t xml:space="preserve"> </w:t>
      </w:r>
      <w:r w:rsidR="00360B9A">
        <w:t>under</w:t>
      </w:r>
      <w:r w:rsidR="00484B47">
        <w:t xml:space="preserve"> the A2 scenario.</w:t>
      </w:r>
      <w:r w:rsidR="00D7380F">
        <w:fldChar w:fldCharType="begin" w:fldLock="1"/>
      </w:r>
      <w:r w:rsidR="00D7380F">
        <w:instrText>ADDIN CSL_CITATION { "citationItems" : [ { "id" : "ITEM-1", "itemData" : { "URL" : "http://www.ipcc-data.org/ar4/model-CCCMA-CGCM3_1-T47-change.html", "accessed" : { "date-parts" : [ [ "2017", "10", "5" ] ] }, "author" : [ { "dropping-particle" : "", "family" : "IPCC", "given" : "", "non-dropping-particle" : "", "parse-names" : false, "suffix" : "" } ], "id" : "ITEM-1", "issued" : { "date-parts" : [ [ "0" ] ] }, "title" : "IPCC Data Distribution Centre", "type" : "webpage" }, "uris" : [ "http://www.mendeley.com/documents/?uuid=d13c088c-8502-40fb-9e21-9dd0bdef70d2" ] } ], "mendeley" : { "formattedCitation" : "&lt;sup&gt;8&lt;/sup&gt;", "plainTextFormattedCitation" : "8", "previouslyFormattedCitation" : "&lt;sup&gt;8&lt;/sup&gt;" }, "properties" : { "noteIndex" : 1 }, "schema" : "https://github.com/citation-style-language/schema/raw/master/csl-citation.json" }</w:instrText>
      </w:r>
      <w:r w:rsidR="00D7380F">
        <w:fldChar w:fldCharType="separate"/>
      </w:r>
      <w:r w:rsidR="00D7380F" w:rsidRPr="00D7380F">
        <w:rPr>
          <w:noProof/>
          <w:vertAlign w:val="superscript"/>
        </w:rPr>
        <w:t>8</w:t>
      </w:r>
      <w:r w:rsidR="00D7380F">
        <w:fldChar w:fldCharType="end"/>
      </w:r>
      <w:r w:rsidR="00F463B3">
        <w:t xml:space="preserve"> </w:t>
      </w:r>
    </w:p>
    <w:p w14:paraId="270AB528" w14:textId="77777777" w:rsidR="00F463B3" w:rsidRDefault="00F463B3" w:rsidP="00F463B3">
      <w:pPr>
        <w:jc w:val="both"/>
      </w:pPr>
    </w:p>
    <w:p w14:paraId="31DA5E13" w14:textId="4E2F103D" w:rsidR="00F463B3" w:rsidRDefault="00F463B3" w:rsidP="00F463B3">
      <w:pPr>
        <w:jc w:val="both"/>
      </w:pPr>
      <w:r>
        <w:t xml:space="preserve">The A2 scenario </w:t>
      </w:r>
      <w:r w:rsidRPr="00F463B3">
        <w:t xml:space="preserve">family </w:t>
      </w:r>
      <w:r>
        <w:t>‘</w:t>
      </w:r>
      <w:r w:rsidRPr="00F463B3">
        <w:t xml:space="preserve">describes a very heterogeneous world. The underlying theme is self-reliance and preservation of local identities. Fertility patterns across regions converge very </w:t>
      </w:r>
      <w:r w:rsidRPr="00F463B3">
        <w:lastRenderedPageBreak/>
        <w:t>slowly, which results in continuously increasing global population. Economic development is primarily regionally oriented and per capita economic growth and technological change are more fragmented and slower than in other storylines.</w:t>
      </w:r>
      <w:r>
        <w:t>’</w:t>
      </w:r>
      <w:r w:rsidR="001A1DC9">
        <w:t xml:space="preserve"> [ref]</w:t>
      </w:r>
    </w:p>
    <w:p w14:paraId="3E8BFF7D" w14:textId="77777777" w:rsidR="00F84187" w:rsidRDefault="00F84187" w:rsidP="00F463B3">
      <w:pPr>
        <w:jc w:val="both"/>
      </w:pPr>
    </w:p>
    <w:p w14:paraId="47340B2A" w14:textId="50DDABFF" w:rsidR="001A1DC9" w:rsidRDefault="001A1DC9" w:rsidP="001A1DC9">
      <w:pPr>
        <w:pStyle w:val="Heading2"/>
      </w:pPr>
      <w:r>
        <w:t>Results</w:t>
      </w:r>
    </w:p>
    <w:p w14:paraId="329D1FE7" w14:textId="77777777" w:rsidR="001A1DC9" w:rsidRPr="00F463B3" w:rsidRDefault="001A1DC9" w:rsidP="00F463B3">
      <w:pPr>
        <w:jc w:val="both"/>
      </w:pPr>
    </w:p>
    <w:p w14:paraId="0DDB482F" w14:textId="404D4F80" w:rsidR="00D267A7" w:rsidRDefault="00D267A7" w:rsidP="00AD6CF9">
      <w:pPr>
        <w:jc w:val="both"/>
      </w:pPr>
      <w:r>
        <w:t>The stat</w:t>
      </w:r>
      <w:r w:rsidR="000239A7">
        <w:t xml:space="preserve">istics of the alert days under the A2 scenario </w:t>
      </w:r>
      <w:r w:rsidR="00AD6CF9">
        <w:t xml:space="preserve">are shown in </w:t>
      </w:r>
      <w:r w:rsidR="00AD6CF9">
        <w:fldChar w:fldCharType="begin"/>
      </w:r>
      <w:r w:rsidR="00AD6CF9">
        <w:instrText xml:space="preserve"> REF _Ref494986592 \h </w:instrText>
      </w:r>
      <w:r w:rsidR="00AD6CF9">
        <w:fldChar w:fldCharType="separate"/>
      </w:r>
      <w:r w:rsidR="00AD6CF9" w:rsidRPr="00D17881">
        <w:rPr>
          <w:color w:val="000000" w:themeColor="text1"/>
        </w:rPr>
        <w:t xml:space="preserve">Table </w:t>
      </w:r>
      <w:r w:rsidR="00AD6CF9" w:rsidRPr="00D17881">
        <w:rPr>
          <w:noProof/>
          <w:color w:val="000000" w:themeColor="text1"/>
        </w:rPr>
        <w:t>2</w:t>
      </w:r>
      <w:r w:rsidR="00AD6CF9">
        <w:fldChar w:fldCharType="end"/>
      </w:r>
      <w:r w:rsidR="005F63C7">
        <w:t>, where it can be shown that there is a change</w:t>
      </w:r>
      <w:r w:rsidR="00AD6CF9">
        <w:t xml:space="preserve"> of over 20 days to the number of Red alert days when comparing 1961-2000 to 2081-2100.</w:t>
      </w:r>
    </w:p>
    <w:p w14:paraId="6CE0CD43" w14:textId="77777777" w:rsidR="00AD6CF9" w:rsidRDefault="00AD6CF9" w:rsidP="00AD6CF9">
      <w:pPr>
        <w:jc w:val="both"/>
      </w:pPr>
    </w:p>
    <w:p w14:paraId="7C20322B" w14:textId="5FF89236" w:rsidR="00074E9C" w:rsidRPr="00D17881" w:rsidRDefault="00074E9C" w:rsidP="00074E9C">
      <w:pPr>
        <w:pStyle w:val="Caption"/>
        <w:keepNext/>
        <w:rPr>
          <w:color w:val="000000" w:themeColor="text1"/>
        </w:rPr>
      </w:pPr>
      <w:bookmarkStart w:id="2" w:name="_Ref494986592"/>
      <w:r w:rsidRPr="00D17881">
        <w:rPr>
          <w:color w:val="000000" w:themeColor="text1"/>
        </w:rPr>
        <w:t xml:space="preserve">Table </w:t>
      </w:r>
      <w:r w:rsidRPr="00D17881">
        <w:rPr>
          <w:color w:val="000000" w:themeColor="text1"/>
        </w:rPr>
        <w:fldChar w:fldCharType="begin"/>
      </w:r>
      <w:r w:rsidRPr="00D17881">
        <w:rPr>
          <w:color w:val="000000" w:themeColor="text1"/>
        </w:rPr>
        <w:instrText xml:space="preserve"> SEQ Table \* ARABIC </w:instrText>
      </w:r>
      <w:r w:rsidRPr="00D17881">
        <w:rPr>
          <w:color w:val="000000" w:themeColor="text1"/>
        </w:rPr>
        <w:fldChar w:fldCharType="separate"/>
      </w:r>
      <w:r w:rsidRPr="00D17881">
        <w:rPr>
          <w:noProof/>
          <w:color w:val="000000" w:themeColor="text1"/>
        </w:rPr>
        <w:t>2</w:t>
      </w:r>
      <w:r w:rsidRPr="00D17881">
        <w:rPr>
          <w:color w:val="000000" w:themeColor="text1"/>
        </w:rPr>
        <w:fldChar w:fldCharType="end"/>
      </w:r>
      <w:bookmarkEnd w:id="2"/>
      <w:r w:rsidRPr="00D17881">
        <w:rPr>
          <w:color w:val="000000" w:themeColor="text1"/>
        </w:rPr>
        <w:t>. Statistics of average number of alert days in Ahmedabad for 1961-2000, 2046-2065, 2081-2100 under A2 scenario.</w:t>
      </w:r>
    </w:p>
    <w:tbl>
      <w:tblPr>
        <w:tblStyle w:val="TableGrid"/>
        <w:tblW w:w="0" w:type="auto"/>
        <w:jc w:val="center"/>
        <w:tblLook w:val="04A0" w:firstRow="1" w:lastRow="0" w:firstColumn="1" w:lastColumn="0" w:noHBand="0" w:noVBand="1"/>
      </w:tblPr>
      <w:tblGrid>
        <w:gridCol w:w="1764"/>
        <w:gridCol w:w="1609"/>
        <w:gridCol w:w="2060"/>
        <w:gridCol w:w="1886"/>
      </w:tblGrid>
      <w:tr w:rsidR="006E37C9" w14:paraId="47E69CCA" w14:textId="77777777" w:rsidTr="006E37C9">
        <w:trPr>
          <w:jc w:val="center"/>
        </w:trPr>
        <w:tc>
          <w:tcPr>
            <w:tcW w:w="1764" w:type="dxa"/>
            <w:vMerge w:val="restart"/>
          </w:tcPr>
          <w:p w14:paraId="6194915B" w14:textId="518F549C" w:rsidR="006E37C9" w:rsidRPr="009A4293" w:rsidRDefault="006E37C9" w:rsidP="006E37C9">
            <w:pPr>
              <w:jc w:val="center"/>
              <w:rPr>
                <w:b/>
              </w:rPr>
            </w:pPr>
            <w:r w:rsidRPr="009A4293">
              <w:rPr>
                <w:b/>
              </w:rPr>
              <w:t>Alert level</w:t>
            </w:r>
          </w:p>
        </w:tc>
        <w:tc>
          <w:tcPr>
            <w:tcW w:w="5555" w:type="dxa"/>
            <w:gridSpan w:val="3"/>
          </w:tcPr>
          <w:p w14:paraId="72A311D8" w14:textId="70818D91" w:rsidR="006E37C9" w:rsidRPr="009A4293" w:rsidRDefault="006E37C9" w:rsidP="000C349C">
            <w:pPr>
              <w:jc w:val="center"/>
              <w:rPr>
                <w:b/>
              </w:rPr>
            </w:pPr>
            <w:r>
              <w:rPr>
                <w:b/>
              </w:rPr>
              <w:t>Average number of alert days</w:t>
            </w:r>
          </w:p>
        </w:tc>
      </w:tr>
      <w:tr w:rsidR="006E37C9" w14:paraId="568D4ABB" w14:textId="5B1E5C69" w:rsidTr="006E37C9">
        <w:trPr>
          <w:jc w:val="center"/>
        </w:trPr>
        <w:tc>
          <w:tcPr>
            <w:tcW w:w="1764" w:type="dxa"/>
            <w:vMerge/>
          </w:tcPr>
          <w:p w14:paraId="766B9434" w14:textId="4788436C" w:rsidR="006E37C9" w:rsidRPr="009A4293" w:rsidRDefault="006E37C9" w:rsidP="00833BEF">
            <w:pPr>
              <w:jc w:val="both"/>
              <w:rPr>
                <w:b/>
              </w:rPr>
            </w:pPr>
          </w:p>
        </w:tc>
        <w:tc>
          <w:tcPr>
            <w:tcW w:w="1609" w:type="dxa"/>
          </w:tcPr>
          <w:p w14:paraId="32FA4CA4" w14:textId="4E0B902C" w:rsidR="006E37C9" w:rsidRPr="009A4293" w:rsidRDefault="006B2608" w:rsidP="00833BEF">
            <w:pPr>
              <w:jc w:val="both"/>
              <w:rPr>
                <w:b/>
              </w:rPr>
            </w:pPr>
            <w:r>
              <w:rPr>
                <w:b/>
              </w:rPr>
              <w:t>1961-2000</w:t>
            </w:r>
          </w:p>
        </w:tc>
        <w:tc>
          <w:tcPr>
            <w:tcW w:w="2060" w:type="dxa"/>
          </w:tcPr>
          <w:p w14:paraId="182174DF" w14:textId="6136A3F5" w:rsidR="006E37C9" w:rsidRPr="009A4293" w:rsidRDefault="006E37C9" w:rsidP="006E37C9">
            <w:pPr>
              <w:jc w:val="both"/>
              <w:rPr>
                <w:b/>
              </w:rPr>
            </w:pPr>
            <w:r w:rsidRPr="009A4293">
              <w:rPr>
                <w:b/>
              </w:rPr>
              <w:t>2046-2065</w:t>
            </w:r>
          </w:p>
        </w:tc>
        <w:tc>
          <w:tcPr>
            <w:tcW w:w="1886" w:type="dxa"/>
          </w:tcPr>
          <w:p w14:paraId="30B2C02E" w14:textId="083CD51C" w:rsidR="006E37C9" w:rsidRPr="009A4293" w:rsidRDefault="006E37C9" w:rsidP="00833BEF">
            <w:pPr>
              <w:jc w:val="both"/>
              <w:rPr>
                <w:b/>
              </w:rPr>
            </w:pPr>
            <w:r w:rsidRPr="009A4293">
              <w:rPr>
                <w:b/>
              </w:rPr>
              <w:t>2081-2100</w:t>
            </w:r>
          </w:p>
        </w:tc>
      </w:tr>
      <w:tr w:rsidR="006E37C9" w14:paraId="76B2A658" w14:textId="4FADC197" w:rsidTr="006E37C9">
        <w:trPr>
          <w:jc w:val="center"/>
        </w:trPr>
        <w:tc>
          <w:tcPr>
            <w:tcW w:w="1764" w:type="dxa"/>
          </w:tcPr>
          <w:p w14:paraId="0578B8DC" w14:textId="6F250956" w:rsidR="006E37C9" w:rsidRPr="0079124B" w:rsidRDefault="006E37C9" w:rsidP="00833BEF">
            <w:pPr>
              <w:jc w:val="both"/>
              <w:rPr>
                <w:b/>
              </w:rPr>
            </w:pPr>
            <w:r w:rsidRPr="0079124B">
              <w:rPr>
                <w:b/>
              </w:rPr>
              <w:t>No alert</w:t>
            </w:r>
          </w:p>
        </w:tc>
        <w:tc>
          <w:tcPr>
            <w:tcW w:w="1609" w:type="dxa"/>
          </w:tcPr>
          <w:p w14:paraId="092C2F11" w14:textId="41A2F38C" w:rsidR="006E37C9" w:rsidRDefault="00E406C1" w:rsidP="00833BEF">
            <w:pPr>
              <w:jc w:val="both"/>
            </w:pPr>
            <w:r>
              <w:t>245.6</w:t>
            </w:r>
          </w:p>
        </w:tc>
        <w:tc>
          <w:tcPr>
            <w:tcW w:w="2060" w:type="dxa"/>
          </w:tcPr>
          <w:p w14:paraId="035889FF" w14:textId="63BD4429" w:rsidR="006E37C9" w:rsidRDefault="00E406C1" w:rsidP="00952AF7">
            <w:pPr>
              <w:jc w:val="both"/>
            </w:pPr>
            <w:r>
              <w:t>229.2</w:t>
            </w:r>
          </w:p>
        </w:tc>
        <w:tc>
          <w:tcPr>
            <w:tcW w:w="1886" w:type="dxa"/>
          </w:tcPr>
          <w:p w14:paraId="52028B42" w14:textId="66091F52" w:rsidR="006E37C9" w:rsidRDefault="00536A5E" w:rsidP="00833BEF">
            <w:pPr>
              <w:jc w:val="both"/>
            </w:pPr>
            <w:r>
              <w:t>237.6</w:t>
            </w:r>
          </w:p>
        </w:tc>
      </w:tr>
      <w:tr w:rsidR="006E37C9" w14:paraId="6F828750" w14:textId="147FF1C4" w:rsidTr="00952AF7">
        <w:trPr>
          <w:trHeight w:val="305"/>
          <w:jc w:val="center"/>
        </w:trPr>
        <w:tc>
          <w:tcPr>
            <w:tcW w:w="1764" w:type="dxa"/>
          </w:tcPr>
          <w:p w14:paraId="3EA46C57" w14:textId="75742DFE" w:rsidR="006E37C9" w:rsidRPr="0079124B" w:rsidRDefault="006E37C9" w:rsidP="00833BEF">
            <w:pPr>
              <w:jc w:val="both"/>
              <w:rPr>
                <w:b/>
              </w:rPr>
            </w:pPr>
            <w:r w:rsidRPr="0079124B">
              <w:rPr>
                <w:b/>
                <w:highlight w:val="yellow"/>
              </w:rPr>
              <w:t>Yellow alert</w:t>
            </w:r>
          </w:p>
        </w:tc>
        <w:tc>
          <w:tcPr>
            <w:tcW w:w="1609" w:type="dxa"/>
          </w:tcPr>
          <w:p w14:paraId="15BB6A5C" w14:textId="23661807" w:rsidR="006E37C9" w:rsidRDefault="00E406C1" w:rsidP="00833BEF">
            <w:pPr>
              <w:jc w:val="both"/>
            </w:pPr>
            <w:r>
              <w:t>23.0</w:t>
            </w:r>
          </w:p>
        </w:tc>
        <w:tc>
          <w:tcPr>
            <w:tcW w:w="2060" w:type="dxa"/>
          </w:tcPr>
          <w:p w14:paraId="44DD0E83" w14:textId="6B5AA5CB" w:rsidR="006E37C9" w:rsidRDefault="00536A5E" w:rsidP="00833BEF">
            <w:pPr>
              <w:jc w:val="both"/>
            </w:pPr>
            <w:r>
              <w:t>21.2</w:t>
            </w:r>
          </w:p>
        </w:tc>
        <w:tc>
          <w:tcPr>
            <w:tcW w:w="1886" w:type="dxa"/>
          </w:tcPr>
          <w:p w14:paraId="4D7F5F90" w14:textId="781B6F19" w:rsidR="006E37C9" w:rsidRDefault="000F7F25" w:rsidP="00833BEF">
            <w:pPr>
              <w:jc w:val="both"/>
            </w:pPr>
            <w:r>
              <w:t>16.8</w:t>
            </w:r>
          </w:p>
        </w:tc>
      </w:tr>
      <w:tr w:rsidR="006E37C9" w14:paraId="4DC69752" w14:textId="15292020" w:rsidTr="006E37C9">
        <w:trPr>
          <w:jc w:val="center"/>
        </w:trPr>
        <w:tc>
          <w:tcPr>
            <w:tcW w:w="1764" w:type="dxa"/>
          </w:tcPr>
          <w:p w14:paraId="7D8DEC17" w14:textId="051568E1" w:rsidR="006E37C9" w:rsidRPr="0079124B" w:rsidRDefault="006E37C9" w:rsidP="00833BEF">
            <w:pPr>
              <w:jc w:val="both"/>
              <w:rPr>
                <w:b/>
              </w:rPr>
            </w:pPr>
            <w:r w:rsidRPr="0079124B">
              <w:rPr>
                <w:b/>
                <w:color w:val="ED7D31" w:themeColor="accent2"/>
              </w:rPr>
              <w:t>Orange alert</w:t>
            </w:r>
          </w:p>
        </w:tc>
        <w:tc>
          <w:tcPr>
            <w:tcW w:w="1609" w:type="dxa"/>
          </w:tcPr>
          <w:p w14:paraId="6958E44A" w14:textId="1EB49A0A" w:rsidR="006E37C9" w:rsidRDefault="00E406C1" w:rsidP="00833BEF">
            <w:pPr>
              <w:jc w:val="both"/>
            </w:pPr>
            <w:r>
              <w:t>23.0</w:t>
            </w:r>
          </w:p>
        </w:tc>
        <w:tc>
          <w:tcPr>
            <w:tcW w:w="2060" w:type="dxa"/>
          </w:tcPr>
          <w:p w14:paraId="48A71B14" w14:textId="0F974FFD" w:rsidR="006E37C9" w:rsidRDefault="00536A5E" w:rsidP="00833BEF">
            <w:pPr>
              <w:jc w:val="both"/>
            </w:pPr>
            <w:r>
              <w:t>22.3</w:t>
            </w:r>
          </w:p>
        </w:tc>
        <w:tc>
          <w:tcPr>
            <w:tcW w:w="1886" w:type="dxa"/>
          </w:tcPr>
          <w:p w14:paraId="54248CD3" w14:textId="53B1FFB1" w:rsidR="006E37C9" w:rsidRDefault="002104E7" w:rsidP="00833BEF">
            <w:pPr>
              <w:jc w:val="both"/>
            </w:pPr>
            <w:r>
              <w:t>16.4</w:t>
            </w:r>
          </w:p>
        </w:tc>
      </w:tr>
      <w:tr w:rsidR="006E37C9" w14:paraId="7DDE6EB4" w14:textId="664F162A" w:rsidTr="006E37C9">
        <w:trPr>
          <w:trHeight w:val="269"/>
          <w:jc w:val="center"/>
        </w:trPr>
        <w:tc>
          <w:tcPr>
            <w:tcW w:w="1764" w:type="dxa"/>
          </w:tcPr>
          <w:p w14:paraId="56A80273" w14:textId="2165401B" w:rsidR="006E37C9" w:rsidRPr="0079124B" w:rsidRDefault="006E37C9" w:rsidP="00833BEF">
            <w:pPr>
              <w:jc w:val="both"/>
              <w:rPr>
                <w:b/>
              </w:rPr>
            </w:pPr>
            <w:r w:rsidRPr="0079124B">
              <w:rPr>
                <w:b/>
                <w:highlight w:val="red"/>
              </w:rPr>
              <w:t>Red alert</w:t>
            </w:r>
          </w:p>
        </w:tc>
        <w:tc>
          <w:tcPr>
            <w:tcW w:w="1609" w:type="dxa"/>
          </w:tcPr>
          <w:p w14:paraId="7576E968" w14:textId="11862EC7" w:rsidR="006E37C9" w:rsidRDefault="00E406C1" w:rsidP="00833BEF">
            <w:pPr>
              <w:jc w:val="both"/>
            </w:pPr>
            <w:r>
              <w:t>73.4</w:t>
            </w:r>
          </w:p>
        </w:tc>
        <w:tc>
          <w:tcPr>
            <w:tcW w:w="2060" w:type="dxa"/>
          </w:tcPr>
          <w:p w14:paraId="0672D191" w14:textId="3AE45E79" w:rsidR="006E37C9" w:rsidRDefault="00536A5E" w:rsidP="00833BEF">
            <w:pPr>
              <w:jc w:val="both"/>
            </w:pPr>
            <w:r>
              <w:t>92.3</w:t>
            </w:r>
          </w:p>
        </w:tc>
        <w:tc>
          <w:tcPr>
            <w:tcW w:w="1886" w:type="dxa"/>
          </w:tcPr>
          <w:p w14:paraId="159526E5" w14:textId="6EAAF8F2" w:rsidR="006E37C9" w:rsidRDefault="002104E7" w:rsidP="00833BEF">
            <w:pPr>
              <w:jc w:val="both"/>
            </w:pPr>
            <w:r>
              <w:t>93.8</w:t>
            </w:r>
          </w:p>
        </w:tc>
      </w:tr>
    </w:tbl>
    <w:p w14:paraId="63916E74" w14:textId="77777777" w:rsidR="00D17881" w:rsidRDefault="00D17881" w:rsidP="00D17881">
      <w:pPr>
        <w:pStyle w:val="Caption"/>
        <w:jc w:val="center"/>
        <w:rPr>
          <w:i w:val="0"/>
          <w:color w:val="000000" w:themeColor="text1"/>
          <w:sz w:val="24"/>
          <w:szCs w:val="24"/>
        </w:rPr>
      </w:pPr>
    </w:p>
    <w:p w14:paraId="562E6F86" w14:textId="711056F4" w:rsidR="00D17881" w:rsidRDefault="00AD6CF9" w:rsidP="00D17881">
      <w:r>
        <w:t>The information is also displayed graphi</w:t>
      </w:r>
      <w:r w:rsidRPr="00AD6CF9">
        <w:t xml:space="preserve">cally in </w:t>
      </w:r>
      <w:r w:rsidRPr="00AD6CF9">
        <w:fldChar w:fldCharType="begin"/>
      </w:r>
      <w:r w:rsidRPr="00AD6CF9">
        <w:instrText xml:space="preserve"> REF _Ref494986603 \h </w:instrText>
      </w:r>
      <w:r w:rsidRPr="00AD6CF9">
        <w:instrText xml:space="preserve"> \* MERGEFORMAT </w:instrText>
      </w:r>
      <w:r w:rsidRPr="00AD6CF9">
        <w:fldChar w:fldCharType="separate"/>
      </w:r>
      <w:r w:rsidRPr="00AD6CF9">
        <w:rPr>
          <w:color w:val="000000" w:themeColor="text1"/>
        </w:rPr>
        <w:t>Fi</w:t>
      </w:r>
      <w:r w:rsidRPr="00AD6CF9">
        <w:rPr>
          <w:color w:val="000000" w:themeColor="text1"/>
        </w:rPr>
        <w:t>g</w:t>
      </w:r>
      <w:r w:rsidRPr="00AD6CF9">
        <w:rPr>
          <w:color w:val="000000" w:themeColor="text1"/>
        </w:rPr>
        <w:t xml:space="preserve">ure </w:t>
      </w:r>
      <w:r w:rsidRPr="00AD6CF9">
        <w:rPr>
          <w:noProof/>
          <w:color w:val="000000" w:themeColor="text1"/>
        </w:rPr>
        <w:t>1</w:t>
      </w:r>
      <w:r w:rsidRPr="00AD6CF9">
        <w:fldChar w:fldCharType="end"/>
      </w:r>
      <w:r>
        <w:t>.</w:t>
      </w:r>
    </w:p>
    <w:p w14:paraId="4E7958D2" w14:textId="61B5391B" w:rsidR="00D17881" w:rsidRPr="00D17881" w:rsidRDefault="00D17881" w:rsidP="00D17881"/>
    <w:p w14:paraId="5E43A157" w14:textId="193FE0F8" w:rsidR="00D17881" w:rsidRPr="006E5F34" w:rsidRDefault="00D17881" w:rsidP="00D17881">
      <w:pPr>
        <w:pStyle w:val="Caption"/>
        <w:jc w:val="center"/>
        <w:rPr>
          <w:i w:val="0"/>
          <w:color w:val="000000" w:themeColor="text1"/>
          <w:sz w:val="24"/>
          <w:szCs w:val="24"/>
        </w:rPr>
      </w:pPr>
      <w:bookmarkStart w:id="3" w:name="_Ref494986603"/>
      <w:r w:rsidRPr="00D17881">
        <w:rPr>
          <w:noProof/>
          <w:color w:val="000000" w:themeColor="text1"/>
          <w:lang w:eastAsia="en-GB"/>
        </w:rPr>
        <w:drawing>
          <wp:anchor distT="0" distB="0" distL="114300" distR="114300" simplePos="0" relativeHeight="251658240" behindDoc="0" locked="0" layoutInCell="1" allowOverlap="1" wp14:anchorId="5C99BFA4" wp14:editId="5568ECD0">
            <wp:simplePos x="0" y="0"/>
            <wp:positionH relativeFrom="column">
              <wp:posOffset>-285750</wp:posOffset>
            </wp:positionH>
            <wp:positionV relativeFrom="paragraph">
              <wp:posOffset>201930</wp:posOffset>
            </wp:positionV>
            <wp:extent cx="6168390" cy="4095115"/>
            <wp:effectExtent l="0" t="0" r="0" b="0"/>
            <wp:wrapSquare wrapText="bothSides"/>
            <wp:docPr id="1" name="Picture 1" descr="../../../../../output/alert_stats/ahmedabad/cccma_cgcm3_1/ahmedabad_cccma_cgcm3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alert_stats/ahmedabad/cccma_cgcm3_1/ahmedabad_cccma_cgcm3_1.pdf"/>
                    <pic:cNvPicPr>
                      <a:picLocks noChangeAspect="1" noChangeArrowheads="1"/>
                    </pic:cNvPicPr>
                  </pic:nvPicPr>
                  <pic:blipFill rotWithShape="1">
                    <a:blip r:embed="rId6">
                      <a:extLst>
                        <a:ext uri="{28A0092B-C50C-407E-A947-70E740481C1C}">
                          <a14:useLocalDpi xmlns:a14="http://schemas.microsoft.com/office/drawing/2010/main" val="0"/>
                        </a:ext>
                      </a:extLst>
                    </a:blip>
                    <a:srcRect t="6158"/>
                    <a:stretch/>
                  </pic:blipFill>
                  <pic:spPr bwMode="auto">
                    <a:xfrm>
                      <a:off x="0" y="0"/>
                      <a:ext cx="6168390" cy="409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7881">
        <w:rPr>
          <w:color w:val="000000" w:themeColor="text1"/>
        </w:rPr>
        <w:t xml:space="preserve">Figure </w:t>
      </w:r>
      <w:r w:rsidRPr="00D17881">
        <w:rPr>
          <w:color w:val="000000" w:themeColor="text1"/>
        </w:rPr>
        <w:fldChar w:fldCharType="begin"/>
      </w:r>
      <w:r w:rsidRPr="00D17881">
        <w:rPr>
          <w:color w:val="000000" w:themeColor="text1"/>
        </w:rPr>
        <w:instrText xml:space="preserve"> SEQ Figure \* ARABIC </w:instrText>
      </w:r>
      <w:r w:rsidRPr="00D17881">
        <w:rPr>
          <w:color w:val="000000" w:themeColor="text1"/>
        </w:rPr>
        <w:fldChar w:fldCharType="separate"/>
      </w:r>
      <w:r w:rsidRPr="00D17881">
        <w:rPr>
          <w:noProof/>
          <w:color w:val="000000" w:themeColor="text1"/>
        </w:rPr>
        <w:t>1</w:t>
      </w:r>
      <w:r w:rsidRPr="00D17881">
        <w:rPr>
          <w:color w:val="000000" w:themeColor="text1"/>
        </w:rPr>
        <w:fldChar w:fldCharType="end"/>
      </w:r>
      <w:bookmarkEnd w:id="3"/>
      <w:r w:rsidRPr="00D17881">
        <w:rPr>
          <w:color w:val="000000" w:themeColor="text1"/>
        </w:rPr>
        <w:t xml:space="preserve">. Statistics of average number of alert days in Ahmedabad for 1961-2000, 2046-2065, 2081-2100 under A2 </w:t>
      </w:r>
      <w:r>
        <w:t>scenario.</w:t>
      </w:r>
    </w:p>
    <w:p w14:paraId="5FF95423" w14:textId="6220504C" w:rsidR="00BC069C" w:rsidRDefault="00524D34" w:rsidP="00524D34">
      <w:pPr>
        <w:pStyle w:val="Heading2"/>
      </w:pPr>
      <w:r>
        <w:t>Discussion</w:t>
      </w:r>
    </w:p>
    <w:p w14:paraId="02F73E5E" w14:textId="34C913D4" w:rsidR="00524D34" w:rsidRDefault="00524D34" w:rsidP="00775A53">
      <w:pPr>
        <w:widowControl w:val="0"/>
        <w:autoSpaceDE w:val="0"/>
        <w:autoSpaceDN w:val="0"/>
        <w:adjustRightInd w:val="0"/>
        <w:jc w:val="both"/>
      </w:pPr>
    </w:p>
    <w:p w14:paraId="4E8AA0AF" w14:textId="6EF6110E" w:rsidR="00AE255A" w:rsidRDefault="00BC069C" w:rsidP="00775A53">
      <w:pPr>
        <w:widowControl w:val="0"/>
        <w:autoSpaceDE w:val="0"/>
        <w:autoSpaceDN w:val="0"/>
        <w:adjustRightInd w:val="0"/>
        <w:jc w:val="both"/>
      </w:pPr>
      <w:r>
        <w:t xml:space="preserve">Under this framework, we have a quantitative analysis of the </w:t>
      </w:r>
      <w:r w:rsidR="00E96DCF">
        <w:t xml:space="preserve">frequency of the alert days, as </w:t>
      </w:r>
      <w:r>
        <w:t xml:space="preserve">well as </w:t>
      </w:r>
      <w:r w:rsidR="00D258D4">
        <w:t>the population exposed.</w:t>
      </w:r>
      <w:r w:rsidR="00070B42">
        <w:t xml:space="preserve"> </w:t>
      </w:r>
      <w:r w:rsidR="00C9635F">
        <w:t>It could be a framework for pre</w:t>
      </w:r>
      <w:r w:rsidR="00A2341B">
        <w:t>-</w:t>
      </w:r>
      <w:r w:rsidR="00C9635F">
        <w:t xml:space="preserve">analysis of </w:t>
      </w:r>
      <w:r w:rsidR="00A15D93">
        <w:t xml:space="preserve">future </w:t>
      </w:r>
      <w:r w:rsidR="00C30391">
        <w:t xml:space="preserve">viability of </w:t>
      </w:r>
      <w:r w:rsidR="00B2564E">
        <w:t xml:space="preserve">the Ahmedabad Heat Action Plan, </w:t>
      </w:r>
      <w:r w:rsidR="00D26339">
        <w:t>and contributes an essential component of ea</w:t>
      </w:r>
      <w:r w:rsidR="00101239">
        <w:t>ch review of a heat action plan, as recommended every few years.</w:t>
      </w:r>
      <w:r w:rsidR="00101239">
        <w:fldChar w:fldCharType="begin" w:fldLock="1"/>
      </w:r>
      <w:r w:rsidR="00101239">
        <w:instrText>ADDIN CSL_CITATION { "citationItems" : [ { "id" : "ITEM-1", "itemData" : { "DOI" : "10.1111/nyas.13258", "ISSN" : "17496632", "PMID" : "27788557", "abstract" : "Extreme heat is a leading weather-related cause of morbidity and mortality, with heat exposure becoming more widespread, frequent, and intense as climates change. The use of heat early warning and response systems (HEWSs) that integrate weather forecasts with risk assessment, communication, and reduction activities is increasingly widespread. HEWSs are frequently touted as an adaptation to climate change, but little attention has been paid to the question of how best to ensure effectiveness of HEWSs as climates change further. In this paper, we discuss findings showing that HEWSs satisfy the tenets of an intervention that facilitates adaptation, but climate change poses challenges infrequently addressed in heat action plans, particularly changes in the onset, duration, and intensity of dangerously warm temperatures, and changes over time in the relationships between temperature and health outcomes. Iterative management should be central to a HEWS, and iteration cycles should be of 5 years or less. Climate change adaptation and implementation science research frameworks can be used to identify HEWS modifications to improve their effectiveness as temperature continues to rise, incorporating scientific insights and new understanding of effective interventions. We conclude that, at a minimum, iterative management activities should involve planned reassessment at least every 5 years of hazard distribution, population-level vulnerability, and HEWS effectiveness.", "author" : [ { "dropping-particle" : "", "family" : "Hess", "given" : "Jeremy J.", "non-dropping-particle" : "", "parse-names" : false, "suffix" : "" }, { "dropping-particle" : "", "family" : "Ebi", "given" : "Kristie L.", "non-dropping-particle" : "", "parse-names" : false, "suffix" : "" } ], "container-title" : "Annals of the New York Academy of Sciences", "id" : "ITEM-1", "issued" : { "date-parts" : [ [ "2016" ] ] }, "page" : "21-30", "title" : "Iterative management of heat early warning systems in a changing climate", "type" : "article-newspaper" }, "uris" : [ "http://www.mendeley.com/documents/?uuid=8d1b8af1-24a0-4442-acfa-d751913b8bf4" ] } ], "mendeley" : { "formattedCitation" : "&lt;sup&gt;6&lt;/sup&gt;", "plainTextFormattedCitation" : "6", "previouslyFormattedCitation" : "&lt;sup&gt;6&lt;/sup&gt;" }, "properties" : { "noteIndex" : 3 }, "schema" : "https://github.com/citation-style-language/schema/raw/master/csl-citation.json" }</w:instrText>
      </w:r>
      <w:r w:rsidR="00101239">
        <w:fldChar w:fldCharType="separate"/>
      </w:r>
      <w:r w:rsidR="00101239" w:rsidRPr="00101239">
        <w:rPr>
          <w:noProof/>
          <w:vertAlign w:val="superscript"/>
        </w:rPr>
        <w:t>6</w:t>
      </w:r>
      <w:r w:rsidR="00101239">
        <w:fldChar w:fldCharType="end"/>
      </w:r>
    </w:p>
    <w:p w14:paraId="32FA1559" w14:textId="77777777" w:rsidR="008F18EB" w:rsidRDefault="008F18EB" w:rsidP="00775A53">
      <w:pPr>
        <w:widowControl w:val="0"/>
        <w:autoSpaceDE w:val="0"/>
        <w:autoSpaceDN w:val="0"/>
        <w:adjustRightInd w:val="0"/>
        <w:jc w:val="both"/>
      </w:pPr>
    </w:p>
    <w:p w14:paraId="3F11CF86" w14:textId="6CCF46F1" w:rsidR="008F18EB" w:rsidRDefault="008F18EB" w:rsidP="00775A53">
      <w:pPr>
        <w:widowControl w:val="0"/>
        <w:autoSpaceDE w:val="0"/>
        <w:autoSpaceDN w:val="0"/>
        <w:adjustRightInd w:val="0"/>
        <w:jc w:val="both"/>
      </w:pPr>
      <w:r>
        <w:t xml:space="preserve">Other scenarios apart from A2 will be analysed, and </w:t>
      </w:r>
      <w:r w:rsidR="00B67599">
        <w:t xml:space="preserve">uncertainty will be obtained from using an ensemble of models, available in the IPCC </w:t>
      </w:r>
      <w:r w:rsidR="001665AA">
        <w:t>CMIP5 ensemble.</w:t>
      </w:r>
    </w:p>
    <w:p w14:paraId="7DE9EA98" w14:textId="77777777" w:rsidR="00B51322" w:rsidRDefault="00B51322" w:rsidP="00775A53">
      <w:pPr>
        <w:widowControl w:val="0"/>
        <w:autoSpaceDE w:val="0"/>
        <w:autoSpaceDN w:val="0"/>
        <w:adjustRightInd w:val="0"/>
        <w:jc w:val="both"/>
      </w:pPr>
    </w:p>
    <w:p w14:paraId="0CCB51DB" w14:textId="77CC912A" w:rsidR="00A15D93" w:rsidRDefault="00A15D93" w:rsidP="00775A53">
      <w:pPr>
        <w:widowControl w:val="0"/>
        <w:autoSpaceDE w:val="0"/>
        <w:autoSpaceDN w:val="0"/>
        <w:adjustRightInd w:val="0"/>
        <w:jc w:val="both"/>
      </w:pPr>
      <w:r>
        <w:t xml:space="preserve">This also provides a good quantitative framework to understand how plans in other cities will </w:t>
      </w:r>
      <w:r w:rsidR="00B51322">
        <w:t xml:space="preserve">perform under climate change. </w:t>
      </w:r>
    </w:p>
    <w:p w14:paraId="25B4894B" w14:textId="77777777" w:rsidR="006E5F34" w:rsidRDefault="006E5F34" w:rsidP="007A5C45">
      <w:pPr>
        <w:widowControl w:val="0"/>
        <w:autoSpaceDE w:val="0"/>
        <w:autoSpaceDN w:val="0"/>
        <w:adjustRightInd w:val="0"/>
      </w:pPr>
    </w:p>
    <w:p w14:paraId="474ADB61" w14:textId="018AA9C7" w:rsidR="006E5F34" w:rsidRDefault="006E5F34" w:rsidP="006E5F34">
      <w:pPr>
        <w:keepNext/>
        <w:widowControl w:val="0"/>
        <w:autoSpaceDE w:val="0"/>
        <w:autoSpaceDN w:val="0"/>
        <w:adjustRightInd w:val="0"/>
        <w:jc w:val="center"/>
      </w:pPr>
    </w:p>
    <w:p w14:paraId="428B7DE9" w14:textId="77777777" w:rsidR="008F26C0" w:rsidRDefault="008F26C0">
      <w:pPr>
        <w:rPr>
          <w:rFonts w:asciiTheme="majorHAnsi" w:eastAsiaTheme="majorEastAsia" w:hAnsiTheme="majorHAnsi" w:cstheme="majorBidi"/>
          <w:color w:val="2F5496" w:themeColor="accent1" w:themeShade="BF"/>
          <w:sz w:val="32"/>
          <w:szCs w:val="32"/>
        </w:rPr>
      </w:pPr>
      <w:r>
        <w:br w:type="page"/>
      </w:r>
    </w:p>
    <w:p w14:paraId="2804F215" w14:textId="56C444AD" w:rsidR="005729B4" w:rsidRPr="005729B4" w:rsidRDefault="005729B4" w:rsidP="009354E6">
      <w:pPr>
        <w:pStyle w:val="Heading1"/>
      </w:pPr>
      <w:r w:rsidRPr="005729B4">
        <w:t>References</w:t>
      </w:r>
    </w:p>
    <w:p w14:paraId="6FD26887" w14:textId="423F66DE" w:rsidR="00101239" w:rsidRPr="00101239" w:rsidRDefault="005729B4" w:rsidP="00101239">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01239" w:rsidRPr="00101239">
        <w:rPr>
          <w:rFonts w:ascii="Calibri" w:eastAsia="Times New Roman" w:hAnsi="Calibri" w:cs="Times New Roman"/>
          <w:noProof/>
        </w:rPr>
        <w:t>1</w:t>
      </w:r>
      <w:r w:rsidR="00101239" w:rsidRPr="00101239">
        <w:rPr>
          <w:rFonts w:ascii="Calibri" w:eastAsia="Times New Roman" w:hAnsi="Calibri" w:cs="Times New Roman"/>
          <w:noProof/>
        </w:rPr>
        <w:tab/>
        <w:t xml:space="preserve">Basu R. High ambient temperature and mortality: a review of epidemiologic studies from 2001 to 2008. </w:t>
      </w:r>
      <w:r w:rsidR="00101239" w:rsidRPr="00101239">
        <w:rPr>
          <w:rFonts w:ascii="Calibri" w:eastAsia="Times New Roman" w:hAnsi="Calibri" w:cs="Times New Roman"/>
          <w:i/>
          <w:iCs/>
          <w:noProof/>
        </w:rPr>
        <w:t>Environ Heal</w:t>
      </w:r>
      <w:r w:rsidR="00101239" w:rsidRPr="00101239">
        <w:rPr>
          <w:rFonts w:ascii="Calibri" w:eastAsia="Times New Roman" w:hAnsi="Calibri" w:cs="Times New Roman"/>
          <w:noProof/>
        </w:rPr>
        <w:t xml:space="preserve"> 2009; </w:t>
      </w:r>
      <w:r w:rsidR="00101239" w:rsidRPr="00101239">
        <w:rPr>
          <w:rFonts w:ascii="Calibri" w:eastAsia="Times New Roman" w:hAnsi="Calibri" w:cs="Times New Roman"/>
          <w:b/>
          <w:bCs/>
          <w:noProof/>
        </w:rPr>
        <w:t>8</w:t>
      </w:r>
      <w:r w:rsidR="00101239" w:rsidRPr="00101239">
        <w:rPr>
          <w:rFonts w:ascii="Calibri" w:eastAsia="Times New Roman" w:hAnsi="Calibri" w:cs="Times New Roman"/>
          <w:noProof/>
        </w:rPr>
        <w:t>: 40.</w:t>
      </w:r>
    </w:p>
    <w:p w14:paraId="7600FC33"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2</w:t>
      </w:r>
      <w:r w:rsidRPr="00101239">
        <w:rPr>
          <w:rFonts w:ascii="Calibri" w:eastAsia="Times New Roman" w:hAnsi="Calibri" w:cs="Times New Roman"/>
          <w:noProof/>
        </w:rPr>
        <w:tab/>
        <w:t xml:space="preserve">Ye X, Wolff R, Yu W, Vaneckova P, Pan X, Tong S. Ambient temperature and morbidity: a review of epidemiological evidence. </w:t>
      </w:r>
      <w:r w:rsidRPr="00101239">
        <w:rPr>
          <w:rFonts w:ascii="Calibri" w:eastAsia="Times New Roman" w:hAnsi="Calibri" w:cs="Times New Roman"/>
          <w:i/>
          <w:iCs/>
          <w:noProof/>
        </w:rPr>
        <w:t>Environ Health Perspect</w:t>
      </w:r>
      <w:r w:rsidRPr="00101239">
        <w:rPr>
          <w:rFonts w:ascii="Calibri" w:eastAsia="Times New Roman" w:hAnsi="Calibri" w:cs="Times New Roman"/>
          <w:noProof/>
        </w:rPr>
        <w:t xml:space="preserve"> 2012; </w:t>
      </w:r>
      <w:r w:rsidRPr="00101239">
        <w:rPr>
          <w:rFonts w:ascii="Calibri" w:eastAsia="Times New Roman" w:hAnsi="Calibri" w:cs="Times New Roman"/>
          <w:b/>
          <w:bCs/>
          <w:noProof/>
        </w:rPr>
        <w:t>120</w:t>
      </w:r>
      <w:r w:rsidRPr="00101239">
        <w:rPr>
          <w:rFonts w:ascii="Calibri" w:eastAsia="Times New Roman" w:hAnsi="Calibri" w:cs="Times New Roman"/>
          <w:noProof/>
        </w:rPr>
        <w:t>: 19–28.</w:t>
      </w:r>
    </w:p>
    <w:p w14:paraId="1ED825CB"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3</w:t>
      </w:r>
      <w:r w:rsidRPr="00101239">
        <w:rPr>
          <w:rFonts w:ascii="Calibri" w:eastAsia="Times New Roman" w:hAnsi="Calibri" w:cs="Times New Roman"/>
          <w:noProof/>
        </w:rPr>
        <w:tab/>
        <w:t xml:space="preserve">Lowe D, Ebi KL, Forsberg B. Heatwave early warning systems and adaptation advice to reduce human health consequences of heatwaves. </w:t>
      </w:r>
      <w:r w:rsidRPr="00101239">
        <w:rPr>
          <w:rFonts w:ascii="Calibri" w:eastAsia="Times New Roman" w:hAnsi="Calibri" w:cs="Times New Roman"/>
          <w:i/>
          <w:iCs/>
          <w:noProof/>
        </w:rPr>
        <w:t>Int J Environ Res Public Health</w:t>
      </w:r>
      <w:r w:rsidRPr="00101239">
        <w:rPr>
          <w:rFonts w:ascii="Calibri" w:eastAsia="Times New Roman" w:hAnsi="Calibri" w:cs="Times New Roman"/>
          <w:noProof/>
        </w:rPr>
        <w:t xml:space="preserve"> 2011; </w:t>
      </w:r>
      <w:r w:rsidRPr="00101239">
        <w:rPr>
          <w:rFonts w:ascii="Calibri" w:eastAsia="Times New Roman" w:hAnsi="Calibri" w:cs="Times New Roman"/>
          <w:b/>
          <w:bCs/>
          <w:noProof/>
        </w:rPr>
        <w:t>8</w:t>
      </w:r>
      <w:r w:rsidRPr="00101239">
        <w:rPr>
          <w:rFonts w:ascii="Calibri" w:eastAsia="Times New Roman" w:hAnsi="Calibri" w:cs="Times New Roman"/>
          <w:noProof/>
        </w:rPr>
        <w:t>: 4623–48.</w:t>
      </w:r>
    </w:p>
    <w:p w14:paraId="652E9A8F"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4</w:t>
      </w:r>
      <w:r w:rsidRPr="00101239">
        <w:rPr>
          <w:rFonts w:ascii="Calibri" w:eastAsia="Times New Roman" w:hAnsi="Calibri" w:cs="Times New Roman"/>
          <w:noProof/>
        </w:rPr>
        <w:tab/>
        <w:t xml:space="preserve">Lowe R, García-Díez M, Ballester J, </w:t>
      </w:r>
      <w:r w:rsidRPr="00101239">
        <w:rPr>
          <w:rFonts w:ascii="Calibri" w:eastAsia="Times New Roman" w:hAnsi="Calibri" w:cs="Times New Roman"/>
          <w:i/>
          <w:iCs/>
          <w:noProof/>
        </w:rPr>
        <w:t>et al.</w:t>
      </w:r>
      <w:r w:rsidRPr="00101239">
        <w:rPr>
          <w:rFonts w:ascii="Calibri" w:eastAsia="Times New Roman" w:hAnsi="Calibri" w:cs="Times New Roman"/>
          <w:noProof/>
        </w:rPr>
        <w:t xml:space="preserve"> Evaluation of an early-warning system for heat wave-related mortality in Europe: Implications for sub-seasonal to seasonal forecasting and climate services. </w:t>
      </w:r>
      <w:r w:rsidRPr="00101239">
        <w:rPr>
          <w:rFonts w:ascii="Calibri" w:eastAsia="Times New Roman" w:hAnsi="Calibri" w:cs="Times New Roman"/>
          <w:i/>
          <w:iCs/>
          <w:noProof/>
        </w:rPr>
        <w:t>Int J Environ Res Public Health</w:t>
      </w:r>
      <w:r w:rsidRPr="00101239">
        <w:rPr>
          <w:rFonts w:ascii="Calibri" w:eastAsia="Times New Roman" w:hAnsi="Calibri" w:cs="Times New Roman"/>
          <w:noProof/>
        </w:rPr>
        <w:t xml:space="preserve"> 2016; </w:t>
      </w:r>
      <w:r w:rsidRPr="00101239">
        <w:rPr>
          <w:rFonts w:ascii="Calibri" w:eastAsia="Times New Roman" w:hAnsi="Calibri" w:cs="Times New Roman"/>
          <w:b/>
          <w:bCs/>
          <w:noProof/>
        </w:rPr>
        <w:t>13</w:t>
      </w:r>
      <w:r w:rsidRPr="00101239">
        <w:rPr>
          <w:rFonts w:ascii="Calibri" w:eastAsia="Times New Roman" w:hAnsi="Calibri" w:cs="Times New Roman"/>
          <w:noProof/>
        </w:rPr>
        <w:t>. DOI:10.3390/ijerph13020206.</w:t>
      </w:r>
    </w:p>
    <w:p w14:paraId="47EC5A88"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5</w:t>
      </w:r>
      <w:r w:rsidRPr="00101239">
        <w:rPr>
          <w:rFonts w:ascii="Calibri" w:eastAsia="Times New Roman" w:hAnsi="Calibri" w:cs="Times New Roman"/>
          <w:noProof/>
        </w:rPr>
        <w:tab/>
        <w:t xml:space="preserve">Stocker, T.F., D. Qin, G.-K. Plattner, M. Tignor, S.K. Allen, J. Boschung, A. Nauels, Y. Xia VB and PMM (eds. . Summary for Policymakers. In: Climate Change 2013: The Physical Science Basis. Contribution of Working Group I to the Fifth Assessment Report of the Intergovernmental Panel on Climate Change. </w:t>
      </w:r>
      <w:r w:rsidRPr="00101239">
        <w:rPr>
          <w:rFonts w:ascii="Calibri" w:eastAsia="Times New Roman" w:hAnsi="Calibri" w:cs="Times New Roman"/>
          <w:i/>
          <w:iCs/>
          <w:noProof/>
        </w:rPr>
        <w:t>CEUR Workshop Proc</w:t>
      </w:r>
      <w:r w:rsidRPr="00101239">
        <w:rPr>
          <w:rFonts w:ascii="Calibri" w:eastAsia="Times New Roman" w:hAnsi="Calibri" w:cs="Times New Roman"/>
          <w:noProof/>
        </w:rPr>
        <w:t xml:space="preserve"> 2015; </w:t>
      </w:r>
      <w:r w:rsidRPr="00101239">
        <w:rPr>
          <w:rFonts w:ascii="Calibri" w:eastAsia="Times New Roman" w:hAnsi="Calibri" w:cs="Times New Roman"/>
          <w:b/>
          <w:bCs/>
          <w:noProof/>
        </w:rPr>
        <w:t>1542</w:t>
      </w:r>
      <w:r w:rsidRPr="00101239">
        <w:rPr>
          <w:rFonts w:ascii="Calibri" w:eastAsia="Times New Roman" w:hAnsi="Calibri" w:cs="Times New Roman"/>
          <w:noProof/>
        </w:rPr>
        <w:t>: 33–6.</w:t>
      </w:r>
    </w:p>
    <w:p w14:paraId="5159F38A"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6</w:t>
      </w:r>
      <w:r w:rsidRPr="00101239">
        <w:rPr>
          <w:rFonts w:ascii="Calibri" w:eastAsia="Times New Roman" w:hAnsi="Calibri" w:cs="Times New Roman"/>
          <w:noProof/>
        </w:rPr>
        <w:tab/>
        <w:t>Hess JJ, Ebi KL. Iterative management of heat early warning systems in a changing climate. Ann. N. Y. Acad. Sci. 2016; : 21–30.</w:t>
      </w:r>
    </w:p>
    <w:p w14:paraId="02E0D0B3" w14:textId="77777777" w:rsidR="00101239" w:rsidRPr="00101239" w:rsidRDefault="00101239" w:rsidP="00101239">
      <w:pPr>
        <w:widowControl w:val="0"/>
        <w:autoSpaceDE w:val="0"/>
        <w:autoSpaceDN w:val="0"/>
        <w:adjustRightInd w:val="0"/>
        <w:ind w:left="640" w:hanging="640"/>
        <w:rPr>
          <w:rFonts w:ascii="Calibri" w:eastAsia="Times New Roman" w:hAnsi="Calibri" w:cs="Times New Roman"/>
          <w:noProof/>
        </w:rPr>
      </w:pPr>
      <w:r w:rsidRPr="00101239">
        <w:rPr>
          <w:rFonts w:ascii="Calibri" w:eastAsia="Times New Roman" w:hAnsi="Calibri" w:cs="Times New Roman"/>
          <w:noProof/>
        </w:rPr>
        <w:t>7</w:t>
      </w:r>
      <w:r w:rsidRPr="00101239">
        <w:rPr>
          <w:rFonts w:ascii="Calibri" w:eastAsia="Times New Roman" w:hAnsi="Calibri" w:cs="Times New Roman"/>
          <w:noProof/>
        </w:rPr>
        <w:tab/>
        <w:t xml:space="preserve">Azhar GS, Mavalankar D, Nori-Sarma A, </w:t>
      </w:r>
      <w:r w:rsidRPr="00101239">
        <w:rPr>
          <w:rFonts w:ascii="Calibri" w:eastAsia="Times New Roman" w:hAnsi="Calibri" w:cs="Times New Roman"/>
          <w:i/>
          <w:iCs/>
          <w:noProof/>
        </w:rPr>
        <w:t>et al.</w:t>
      </w:r>
      <w:r w:rsidRPr="00101239">
        <w:rPr>
          <w:rFonts w:ascii="Calibri" w:eastAsia="Times New Roman" w:hAnsi="Calibri" w:cs="Times New Roman"/>
          <w:noProof/>
        </w:rPr>
        <w:t xml:space="preserve"> Ahmedabad Heat Action Plan 2017. 2014; </w:t>
      </w:r>
      <w:r w:rsidRPr="00101239">
        <w:rPr>
          <w:rFonts w:ascii="Calibri" w:eastAsia="Times New Roman" w:hAnsi="Calibri" w:cs="Times New Roman"/>
          <w:b/>
          <w:bCs/>
          <w:noProof/>
        </w:rPr>
        <w:t>9</w:t>
      </w:r>
      <w:r w:rsidRPr="00101239">
        <w:rPr>
          <w:rFonts w:ascii="Calibri" w:eastAsia="Times New Roman" w:hAnsi="Calibri" w:cs="Times New Roman"/>
          <w:noProof/>
        </w:rPr>
        <w:t>. DOI:10.1371/journal.pone.0091831.</w:t>
      </w:r>
    </w:p>
    <w:p w14:paraId="05B31529" w14:textId="77777777" w:rsidR="00101239" w:rsidRPr="00101239" w:rsidRDefault="00101239" w:rsidP="00101239">
      <w:pPr>
        <w:widowControl w:val="0"/>
        <w:autoSpaceDE w:val="0"/>
        <w:autoSpaceDN w:val="0"/>
        <w:adjustRightInd w:val="0"/>
        <w:ind w:left="640" w:hanging="640"/>
        <w:rPr>
          <w:rFonts w:ascii="Calibri" w:hAnsi="Calibri"/>
          <w:noProof/>
        </w:rPr>
      </w:pPr>
      <w:r w:rsidRPr="00101239">
        <w:rPr>
          <w:rFonts w:ascii="Calibri" w:eastAsia="Times New Roman" w:hAnsi="Calibri" w:cs="Times New Roman"/>
          <w:noProof/>
        </w:rPr>
        <w:t>8</w:t>
      </w:r>
      <w:r w:rsidRPr="00101239">
        <w:rPr>
          <w:rFonts w:ascii="Calibri" w:eastAsia="Times New Roman" w:hAnsi="Calibri" w:cs="Times New Roman"/>
          <w:noProof/>
        </w:rPr>
        <w:tab/>
        <w:t>IPCC. IPCC Data Distribution Centre. http://www.ipcc-data.org/ar4/model-CCCMA-CGCM3_1-T47-change.html (accessed Oct 5, 2017).</w:t>
      </w:r>
    </w:p>
    <w:p w14:paraId="2302CE05" w14:textId="70F93594" w:rsidR="004E18EF" w:rsidRDefault="005729B4" w:rsidP="00101239">
      <w:pPr>
        <w:widowControl w:val="0"/>
        <w:autoSpaceDE w:val="0"/>
        <w:autoSpaceDN w:val="0"/>
        <w:adjustRightInd w:val="0"/>
        <w:ind w:left="640" w:hanging="640"/>
      </w:pPr>
      <w:r>
        <w:fldChar w:fldCharType="end"/>
      </w:r>
    </w:p>
    <w:sectPr w:rsidR="004E18EF"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310D5"/>
    <w:multiLevelType w:val="multilevel"/>
    <w:tmpl w:val="021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5C21CD"/>
    <w:multiLevelType w:val="hybridMultilevel"/>
    <w:tmpl w:val="232A8E6A"/>
    <w:lvl w:ilvl="0" w:tplc="3DC05B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1D44F1"/>
    <w:multiLevelType w:val="hybridMultilevel"/>
    <w:tmpl w:val="58029C9C"/>
    <w:lvl w:ilvl="0" w:tplc="6D4C7964">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436955"/>
    <w:multiLevelType w:val="hybridMultilevel"/>
    <w:tmpl w:val="88CEB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491C98"/>
    <w:multiLevelType w:val="hybridMultilevel"/>
    <w:tmpl w:val="B5809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7571C80"/>
    <w:multiLevelType w:val="hybridMultilevel"/>
    <w:tmpl w:val="9AB0BE80"/>
    <w:lvl w:ilvl="0" w:tplc="BE3482C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C"/>
    <w:rsid w:val="0000461D"/>
    <w:rsid w:val="00014171"/>
    <w:rsid w:val="0001480C"/>
    <w:rsid w:val="00020DE0"/>
    <w:rsid w:val="000223DB"/>
    <w:rsid w:val="000239A7"/>
    <w:rsid w:val="00035305"/>
    <w:rsid w:val="0003657E"/>
    <w:rsid w:val="00036FFA"/>
    <w:rsid w:val="000544A3"/>
    <w:rsid w:val="000606A9"/>
    <w:rsid w:val="000633EF"/>
    <w:rsid w:val="00066C53"/>
    <w:rsid w:val="0007073A"/>
    <w:rsid w:val="00070B42"/>
    <w:rsid w:val="000732F5"/>
    <w:rsid w:val="00073B6B"/>
    <w:rsid w:val="00074E9C"/>
    <w:rsid w:val="00077CA0"/>
    <w:rsid w:val="0008315C"/>
    <w:rsid w:val="000870BD"/>
    <w:rsid w:val="0009325C"/>
    <w:rsid w:val="000B0D4A"/>
    <w:rsid w:val="000B45D5"/>
    <w:rsid w:val="000B6495"/>
    <w:rsid w:val="000B68BB"/>
    <w:rsid w:val="000B7625"/>
    <w:rsid w:val="000C0E55"/>
    <w:rsid w:val="000C349C"/>
    <w:rsid w:val="000C4ED8"/>
    <w:rsid w:val="000C7277"/>
    <w:rsid w:val="000C771B"/>
    <w:rsid w:val="000D5F12"/>
    <w:rsid w:val="000E154F"/>
    <w:rsid w:val="000E21BF"/>
    <w:rsid w:val="000E27EF"/>
    <w:rsid w:val="000E50E3"/>
    <w:rsid w:val="000F3A6A"/>
    <w:rsid w:val="000F7F25"/>
    <w:rsid w:val="00101239"/>
    <w:rsid w:val="00103CBB"/>
    <w:rsid w:val="00103EF1"/>
    <w:rsid w:val="0011537E"/>
    <w:rsid w:val="00115ED5"/>
    <w:rsid w:val="001231F4"/>
    <w:rsid w:val="0012444D"/>
    <w:rsid w:val="00127E01"/>
    <w:rsid w:val="00132C6C"/>
    <w:rsid w:val="00151D89"/>
    <w:rsid w:val="0015479D"/>
    <w:rsid w:val="00155080"/>
    <w:rsid w:val="00156FC7"/>
    <w:rsid w:val="00161E98"/>
    <w:rsid w:val="00165F05"/>
    <w:rsid w:val="001665AA"/>
    <w:rsid w:val="00167BD7"/>
    <w:rsid w:val="00184273"/>
    <w:rsid w:val="00184959"/>
    <w:rsid w:val="00195B94"/>
    <w:rsid w:val="001A1DC9"/>
    <w:rsid w:val="001A1F00"/>
    <w:rsid w:val="001A39E7"/>
    <w:rsid w:val="001B23D1"/>
    <w:rsid w:val="001B5260"/>
    <w:rsid w:val="001C613C"/>
    <w:rsid w:val="001C778E"/>
    <w:rsid w:val="001E4959"/>
    <w:rsid w:val="001E564C"/>
    <w:rsid w:val="001F0FFF"/>
    <w:rsid w:val="001F75CE"/>
    <w:rsid w:val="001F7D80"/>
    <w:rsid w:val="00201E5C"/>
    <w:rsid w:val="002104E7"/>
    <w:rsid w:val="0021391A"/>
    <w:rsid w:val="00220C4B"/>
    <w:rsid w:val="00221B31"/>
    <w:rsid w:val="0022219B"/>
    <w:rsid w:val="002231AC"/>
    <w:rsid w:val="00235E78"/>
    <w:rsid w:val="0024400E"/>
    <w:rsid w:val="00244D2A"/>
    <w:rsid w:val="00251899"/>
    <w:rsid w:val="00255582"/>
    <w:rsid w:val="0026033D"/>
    <w:rsid w:val="00260B02"/>
    <w:rsid w:val="00283995"/>
    <w:rsid w:val="00287DCA"/>
    <w:rsid w:val="00293935"/>
    <w:rsid w:val="00296A5E"/>
    <w:rsid w:val="002B1609"/>
    <w:rsid w:val="002C32C8"/>
    <w:rsid w:val="002C35EA"/>
    <w:rsid w:val="002C363C"/>
    <w:rsid w:val="002C636B"/>
    <w:rsid w:val="002C691B"/>
    <w:rsid w:val="002D0130"/>
    <w:rsid w:val="002D40DB"/>
    <w:rsid w:val="002D73B9"/>
    <w:rsid w:val="002E14EA"/>
    <w:rsid w:val="002F02C9"/>
    <w:rsid w:val="002F4DC5"/>
    <w:rsid w:val="003043B6"/>
    <w:rsid w:val="0030457C"/>
    <w:rsid w:val="00306685"/>
    <w:rsid w:val="003119A8"/>
    <w:rsid w:val="00336B09"/>
    <w:rsid w:val="00351EF0"/>
    <w:rsid w:val="00360A06"/>
    <w:rsid w:val="00360B9A"/>
    <w:rsid w:val="00372D74"/>
    <w:rsid w:val="00376B34"/>
    <w:rsid w:val="00381E0E"/>
    <w:rsid w:val="00387E05"/>
    <w:rsid w:val="0039269A"/>
    <w:rsid w:val="0039751B"/>
    <w:rsid w:val="003A391F"/>
    <w:rsid w:val="003A3A3F"/>
    <w:rsid w:val="003C1065"/>
    <w:rsid w:val="003C153C"/>
    <w:rsid w:val="003C27F8"/>
    <w:rsid w:val="003C451D"/>
    <w:rsid w:val="003D32A1"/>
    <w:rsid w:val="003E1592"/>
    <w:rsid w:val="003E4C41"/>
    <w:rsid w:val="003F1EEC"/>
    <w:rsid w:val="003F22B3"/>
    <w:rsid w:val="004018CB"/>
    <w:rsid w:val="00402D6F"/>
    <w:rsid w:val="004060EF"/>
    <w:rsid w:val="004074F7"/>
    <w:rsid w:val="00410813"/>
    <w:rsid w:val="00416553"/>
    <w:rsid w:val="00424341"/>
    <w:rsid w:val="00430834"/>
    <w:rsid w:val="00433EDB"/>
    <w:rsid w:val="00437E72"/>
    <w:rsid w:val="0044730F"/>
    <w:rsid w:val="00461A14"/>
    <w:rsid w:val="004742FF"/>
    <w:rsid w:val="004769DC"/>
    <w:rsid w:val="00484B47"/>
    <w:rsid w:val="00485256"/>
    <w:rsid w:val="004A5369"/>
    <w:rsid w:val="004C140E"/>
    <w:rsid w:val="004C3449"/>
    <w:rsid w:val="004D5D22"/>
    <w:rsid w:val="004D77E6"/>
    <w:rsid w:val="004E18EF"/>
    <w:rsid w:val="004E2786"/>
    <w:rsid w:val="004E36B5"/>
    <w:rsid w:val="004E3783"/>
    <w:rsid w:val="004E661F"/>
    <w:rsid w:val="004E7B07"/>
    <w:rsid w:val="004F1615"/>
    <w:rsid w:val="004F404D"/>
    <w:rsid w:val="004F60F9"/>
    <w:rsid w:val="004F7FD8"/>
    <w:rsid w:val="005028B3"/>
    <w:rsid w:val="0050545C"/>
    <w:rsid w:val="00506AF4"/>
    <w:rsid w:val="0051227E"/>
    <w:rsid w:val="005130C5"/>
    <w:rsid w:val="00524D34"/>
    <w:rsid w:val="00531992"/>
    <w:rsid w:val="00536A5E"/>
    <w:rsid w:val="00541922"/>
    <w:rsid w:val="0054318F"/>
    <w:rsid w:val="005546F4"/>
    <w:rsid w:val="00557B7D"/>
    <w:rsid w:val="00561F2E"/>
    <w:rsid w:val="00562640"/>
    <w:rsid w:val="00565475"/>
    <w:rsid w:val="00565B41"/>
    <w:rsid w:val="0056771B"/>
    <w:rsid w:val="005729B4"/>
    <w:rsid w:val="00574152"/>
    <w:rsid w:val="005759A5"/>
    <w:rsid w:val="005863F9"/>
    <w:rsid w:val="005922C7"/>
    <w:rsid w:val="0059357D"/>
    <w:rsid w:val="005945A4"/>
    <w:rsid w:val="00594F9B"/>
    <w:rsid w:val="00595B6E"/>
    <w:rsid w:val="005A7DED"/>
    <w:rsid w:val="005B1ED4"/>
    <w:rsid w:val="005B5156"/>
    <w:rsid w:val="005B5C38"/>
    <w:rsid w:val="005C511C"/>
    <w:rsid w:val="005D63A3"/>
    <w:rsid w:val="005E28FE"/>
    <w:rsid w:val="005F34A4"/>
    <w:rsid w:val="005F3963"/>
    <w:rsid w:val="005F63C7"/>
    <w:rsid w:val="00610890"/>
    <w:rsid w:val="00610A54"/>
    <w:rsid w:val="006124E6"/>
    <w:rsid w:val="00620B2C"/>
    <w:rsid w:val="00622BCA"/>
    <w:rsid w:val="00633F4E"/>
    <w:rsid w:val="00635D5D"/>
    <w:rsid w:val="00641AF0"/>
    <w:rsid w:val="0064386E"/>
    <w:rsid w:val="00644A7E"/>
    <w:rsid w:val="00645F93"/>
    <w:rsid w:val="00647FE8"/>
    <w:rsid w:val="00653D10"/>
    <w:rsid w:val="00657EBE"/>
    <w:rsid w:val="00661174"/>
    <w:rsid w:val="00661DE5"/>
    <w:rsid w:val="006633AD"/>
    <w:rsid w:val="00671CEB"/>
    <w:rsid w:val="006803F3"/>
    <w:rsid w:val="00680D50"/>
    <w:rsid w:val="006934E5"/>
    <w:rsid w:val="00694786"/>
    <w:rsid w:val="006A55CC"/>
    <w:rsid w:val="006A591E"/>
    <w:rsid w:val="006A5B04"/>
    <w:rsid w:val="006B2608"/>
    <w:rsid w:val="006B4A03"/>
    <w:rsid w:val="006C0D41"/>
    <w:rsid w:val="006C12E4"/>
    <w:rsid w:val="006C50E6"/>
    <w:rsid w:val="006E37C9"/>
    <w:rsid w:val="006E5F34"/>
    <w:rsid w:val="006E74F7"/>
    <w:rsid w:val="006F382C"/>
    <w:rsid w:val="00703C47"/>
    <w:rsid w:val="00706950"/>
    <w:rsid w:val="00712B98"/>
    <w:rsid w:val="00712E39"/>
    <w:rsid w:val="007138A7"/>
    <w:rsid w:val="0071418E"/>
    <w:rsid w:val="0072443D"/>
    <w:rsid w:val="00725260"/>
    <w:rsid w:val="0073039A"/>
    <w:rsid w:val="0073173F"/>
    <w:rsid w:val="007326A6"/>
    <w:rsid w:val="00740CC7"/>
    <w:rsid w:val="007564AF"/>
    <w:rsid w:val="00756C1A"/>
    <w:rsid w:val="00764BA5"/>
    <w:rsid w:val="00765671"/>
    <w:rsid w:val="007657EB"/>
    <w:rsid w:val="00775A53"/>
    <w:rsid w:val="007813F1"/>
    <w:rsid w:val="0079124B"/>
    <w:rsid w:val="00795E96"/>
    <w:rsid w:val="007A01EC"/>
    <w:rsid w:val="007A11B2"/>
    <w:rsid w:val="007A5C45"/>
    <w:rsid w:val="007B545A"/>
    <w:rsid w:val="007C3B9D"/>
    <w:rsid w:val="007D4B75"/>
    <w:rsid w:val="007D5330"/>
    <w:rsid w:val="007E13E7"/>
    <w:rsid w:val="007E2EC8"/>
    <w:rsid w:val="007E75E0"/>
    <w:rsid w:val="007E7DB0"/>
    <w:rsid w:val="007F0AA4"/>
    <w:rsid w:val="007F0E2A"/>
    <w:rsid w:val="007F2E1E"/>
    <w:rsid w:val="00800663"/>
    <w:rsid w:val="00805C1D"/>
    <w:rsid w:val="00811049"/>
    <w:rsid w:val="0081132E"/>
    <w:rsid w:val="008278D1"/>
    <w:rsid w:val="00833BEF"/>
    <w:rsid w:val="008544E0"/>
    <w:rsid w:val="00866DDE"/>
    <w:rsid w:val="00870509"/>
    <w:rsid w:val="00890E51"/>
    <w:rsid w:val="008A6465"/>
    <w:rsid w:val="008A7646"/>
    <w:rsid w:val="008B4276"/>
    <w:rsid w:val="008B7DDD"/>
    <w:rsid w:val="008C1B0F"/>
    <w:rsid w:val="008C4931"/>
    <w:rsid w:val="008C4B74"/>
    <w:rsid w:val="008D151B"/>
    <w:rsid w:val="008E35E5"/>
    <w:rsid w:val="008E4AA6"/>
    <w:rsid w:val="008E570E"/>
    <w:rsid w:val="008F16FF"/>
    <w:rsid w:val="008F18EB"/>
    <w:rsid w:val="008F26C0"/>
    <w:rsid w:val="008F341E"/>
    <w:rsid w:val="00911EE8"/>
    <w:rsid w:val="009122FC"/>
    <w:rsid w:val="009147E4"/>
    <w:rsid w:val="00922FFB"/>
    <w:rsid w:val="00923C53"/>
    <w:rsid w:val="00932BD5"/>
    <w:rsid w:val="009354E6"/>
    <w:rsid w:val="00937AF1"/>
    <w:rsid w:val="00946A53"/>
    <w:rsid w:val="00952122"/>
    <w:rsid w:val="00952AF7"/>
    <w:rsid w:val="009535FF"/>
    <w:rsid w:val="00956A91"/>
    <w:rsid w:val="009719A8"/>
    <w:rsid w:val="00971CD0"/>
    <w:rsid w:val="00974800"/>
    <w:rsid w:val="0098603C"/>
    <w:rsid w:val="00986803"/>
    <w:rsid w:val="0099386C"/>
    <w:rsid w:val="009A03AD"/>
    <w:rsid w:val="009A4293"/>
    <w:rsid w:val="009A475F"/>
    <w:rsid w:val="009A4D56"/>
    <w:rsid w:val="009B275D"/>
    <w:rsid w:val="009B62BB"/>
    <w:rsid w:val="009C0D6E"/>
    <w:rsid w:val="009C5745"/>
    <w:rsid w:val="009D5647"/>
    <w:rsid w:val="009E25B4"/>
    <w:rsid w:val="009E450A"/>
    <w:rsid w:val="009E630D"/>
    <w:rsid w:val="009F6AF5"/>
    <w:rsid w:val="00A03875"/>
    <w:rsid w:val="00A043CE"/>
    <w:rsid w:val="00A10491"/>
    <w:rsid w:val="00A14FA4"/>
    <w:rsid w:val="00A1519D"/>
    <w:rsid w:val="00A15D93"/>
    <w:rsid w:val="00A2341B"/>
    <w:rsid w:val="00A23E5A"/>
    <w:rsid w:val="00A2557E"/>
    <w:rsid w:val="00A25BFD"/>
    <w:rsid w:val="00A32284"/>
    <w:rsid w:val="00A5100E"/>
    <w:rsid w:val="00A55A47"/>
    <w:rsid w:val="00A62542"/>
    <w:rsid w:val="00A718C6"/>
    <w:rsid w:val="00A7417C"/>
    <w:rsid w:val="00A82B05"/>
    <w:rsid w:val="00A96DBA"/>
    <w:rsid w:val="00AA1780"/>
    <w:rsid w:val="00AC00F1"/>
    <w:rsid w:val="00AC344A"/>
    <w:rsid w:val="00AC58AB"/>
    <w:rsid w:val="00AC6A7C"/>
    <w:rsid w:val="00AD2DD2"/>
    <w:rsid w:val="00AD6CF9"/>
    <w:rsid w:val="00AE255A"/>
    <w:rsid w:val="00AF127D"/>
    <w:rsid w:val="00AF27E0"/>
    <w:rsid w:val="00AF59A5"/>
    <w:rsid w:val="00AF69F6"/>
    <w:rsid w:val="00B06E8A"/>
    <w:rsid w:val="00B10076"/>
    <w:rsid w:val="00B106AC"/>
    <w:rsid w:val="00B14336"/>
    <w:rsid w:val="00B1632F"/>
    <w:rsid w:val="00B16EF4"/>
    <w:rsid w:val="00B20F22"/>
    <w:rsid w:val="00B22552"/>
    <w:rsid w:val="00B2564E"/>
    <w:rsid w:val="00B32F6C"/>
    <w:rsid w:val="00B35312"/>
    <w:rsid w:val="00B37009"/>
    <w:rsid w:val="00B464B2"/>
    <w:rsid w:val="00B51322"/>
    <w:rsid w:val="00B518B8"/>
    <w:rsid w:val="00B526C6"/>
    <w:rsid w:val="00B61BBE"/>
    <w:rsid w:val="00B67599"/>
    <w:rsid w:val="00B70782"/>
    <w:rsid w:val="00B84680"/>
    <w:rsid w:val="00B91584"/>
    <w:rsid w:val="00B95F5C"/>
    <w:rsid w:val="00BB1084"/>
    <w:rsid w:val="00BB55F7"/>
    <w:rsid w:val="00BC069C"/>
    <w:rsid w:val="00BC149E"/>
    <w:rsid w:val="00BC7680"/>
    <w:rsid w:val="00BD16DB"/>
    <w:rsid w:val="00BE164A"/>
    <w:rsid w:val="00BE5840"/>
    <w:rsid w:val="00BE7C5B"/>
    <w:rsid w:val="00BF0976"/>
    <w:rsid w:val="00BF3CD7"/>
    <w:rsid w:val="00C02149"/>
    <w:rsid w:val="00C041FC"/>
    <w:rsid w:val="00C1290D"/>
    <w:rsid w:val="00C165AB"/>
    <w:rsid w:val="00C25541"/>
    <w:rsid w:val="00C26296"/>
    <w:rsid w:val="00C30391"/>
    <w:rsid w:val="00C368F0"/>
    <w:rsid w:val="00C439FE"/>
    <w:rsid w:val="00C4447B"/>
    <w:rsid w:val="00C543E7"/>
    <w:rsid w:val="00C7796C"/>
    <w:rsid w:val="00C77FA7"/>
    <w:rsid w:val="00C80739"/>
    <w:rsid w:val="00C815B1"/>
    <w:rsid w:val="00C824EC"/>
    <w:rsid w:val="00C82D31"/>
    <w:rsid w:val="00C901C7"/>
    <w:rsid w:val="00C93D92"/>
    <w:rsid w:val="00C9635F"/>
    <w:rsid w:val="00C96719"/>
    <w:rsid w:val="00C96B61"/>
    <w:rsid w:val="00CA052B"/>
    <w:rsid w:val="00CB4065"/>
    <w:rsid w:val="00CB62F6"/>
    <w:rsid w:val="00CB71E1"/>
    <w:rsid w:val="00CC06D4"/>
    <w:rsid w:val="00CC0E84"/>
    <w:rsid w:val="00CE1DCB"/>
    <w:rsid w:val="00CE1F3A"/>
    <w:rsid w:val="00CE3E2E"/>
    <w:rsid w:val="00CE6968"/>
    <w:rsid w:val="00CF318B"/>
    <w:rsid w:val="00CF4741"/>
    <w:rsid w:val="00CF5298"/>
    <w:rsid w:val="00CF7A2B"/>
    <w:rsid w:val="00D00531"/>
    <w:rsid w:val="00D032F7"/>
    <w:rsid w:val="00D06988"/>
    <w:rsid w:val="00D117B9"/>
    <w:rsid w:val="00D13C39"/>
    <w:rsid w:val="00D17881"/>
    <w:rsid w:val="00D24DC4"/>
    <w:rsid w:val="00D258D4"/>
    <w:rsid w:val="00D26339"/>
    <w:rsid w:val="00D267A7"/>
    <w:rsid w:val="00D27415"/>
    <w:rsid w:val="00D349E0"/>
    <w:rsid w:val="00D435B3"/>
    <w:rsid w:val="00D5218A"/>
    <w:rsid w:val="00D53DFD"/>
    <w:rsid w:val="00D56CDF"/>
    <w:rsid w:val="00D64CF4"/>
    <w:rsid w:val="00D66759"/>
    <w:rsid w:val="00D67F55"/>
    <w:rsid w:val="00D72B71"/>
    <w:rsid w:val="00D7364D"/>
    <w:rsid w:val="00D7380F"/>
    <w:rsid w:val="00D75325"/>
    <w:rsid w:val="00D85B5A"/>
    <w:rsid w:val="00D87485"/>
    <w:rsid w:val="00D92672"/>
    <w:rsid w:val="00D92A88"/>
    <w:rsid w:val="00D961FB"/>
    <w:rsid w:val="00DA0FD4"/>
    <w:rsid w:val="00DA577C"/>
    <w:rsid w:val="00DB2CE4"/>
    <w:rsid w:val="00DC1680"/>
    <w:rsid w:val="00DC4D50"/>
    <w:rsid w:val="00DD0F87"/>
    <w:rsid w:val="00DD5B72"/>
    <w:rsid w:val="00DD6451"/>
    <w:rsid w:val="00DF15E1"/>
    <w:rsid w:val="00E06999"/>
    <w:rsid w:val="00E10CC8"/>
    <w:rsid w:val="00E11CF9"/>
    <w:rsid w:val="00E12013"/>
    <w:rsid w:val="00E21F96"/>
    <w:rsid w:val="00E33BFE"/>
    <w:rsid w:val="00E406C1"/>
    <w:rsid w:val="00E42E99"/>
    <w:rsid w:val="00E55F23"/>
    <w:rsid w:val="00E628EF"/>
    <w:rsid w:val="00E63B39"/>
    <w:rsid w:val="00E6752F"/>
    <w:rsid w:val="00E77A16"/>
    <w:rsid w:val="00E827DA"/>
    <w:rsid w:val="00E85B65"/>
    <w:rsid w:val="00E86ABD"/>
    <w:rsid w:val="00E87F45"/>
    <w:rsid w:val="00E9130F"/>
    <w:rsid w:val="00E933A5"/>
    <w:rsid w:val="00E93B1A"/>
    <w:rsid w:val="00E959E4"/>
    <w:rsid w:val="00E96DCF"/>
    <w:rsid w:val="00EA601C"/>
    <w:rsid w:val="00EA74DE"/>
    <w:rsid w:val="00EB7434"/>
    <w:rsid w:val="00ED3EB5"/>
    <w:rsid w:val="00ED4D78"/>
    <w:rsid w:val="00EE34B8"/>
    <w:rsid w:val="00EE6A1A"/>
    <w:rsid w:val="00EF0DEC"/>
    <w:rsid w:val="00F01B41"/>
    <w:rsid w:val="00F03F59"/>
    <w:rsid w:val="00F04E4E"/>
    <w:rsid w:val="00F147B2"/>
    <w:rsid w:val="00F162B3"/>
    <w:rsid w:val="00F16BE0"/>
    <w:rsid w:val="00F22901"/>
    <w:rsid w:val="00F30227"/>
    <w:rsid w:val="00F40035"/>
    <w:rsid w:val="00F41FDA"/>
    <w:rsid w:val="00F43484"/>
    <w:rsid w:val="00F4610C"/>
    <w:rsid w:val="00F463B3"/>
    <w:rsid w:val="00F47AEB"/>
    <w:rsid w:val="00F5245D"/>
    <w:rsid w:val="00F636D9"/>
    <w:rsid w:val="00F718B5"/>
    <w:rsid w:val="00F73CE1"/>
    <w:rsid w:val="00F82DB9"/>
    <w:rsid w:val="00F82E2F"/>
    <w:rsid w:val="00F84187"/>
    <w:rsid w:val="00F8439D"/>
    <w:rsid w:val="00F929CA"/>
    <w:rsid w:val="00FA081E"/>
    <w:rsid w:val="00FA4918"/>
    <w:rsid w:val="00FA5FA5"/>
    <w:rsid w:val="00FB162A"/>
    <w:rsid w:val="00FB5645"/>
    <w:rsid w:val="00FB6151"/>
    <w:rsid w:val="00FB6B9E"/>
    <w:rsid w:val="00FC0D6A"/>
    <w:rsid w:val="00FD4B86"/>
    <w:rsid w:val="00FE5FE6"/>
    <w:rsid w:val="00FF6A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5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74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6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7E"/>
    <w:pPr>
      <w:ind w:left="720"/>
      <w:contextualSpacing/>
    </w:pPr>
  </w:style>
  <w:style w:type="table" w:styleId="TableGrid">
    <w:name w:val="Table Grid"/>
    <w:basedOn w:val="TableNormal"/>
    <w:uiPriority w:val="39"/>
    <w:rsid w:val="002D4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E6968"/>
    <w:rPr>
      <w:sz w:val="18"/>
      <w:szCs w:val="18"/>
    </w:rPr>
  </w:style>
  <w:style w:type="paragraph" w:styleId="CommentText">
    <w:name w:val="annotation text"/>
    <w:basedOn w:val="Normal"/>
    <w:link w:val="CommentTextChar"/>
    <w:uiPriority w:val="99"/>
    <w:semiHidden/>
    <w:unhideWhenUsed/>
    <w:rsid w:val="00CE6968"/>
  </w:style>
  <w:style w:type="character" w:customStyle="1" w:styleId="CommentTextChar">
    <w:name w:val="Comment Text Char"/>
    <w:basedOn w:val="DefaultParagraphFont"/>
    <w:link w:val="CommentText"/>
    <w:uiPriority w:val="99"/>
    <w:semiHidden/>
    <w:rsid w:val="00CE6968"/>
    <w:rPr>
      <w:lang w:val="en-GB"/>
    </w:rPr>
  </w:style>
  <w:style w:type="paragraph" w:styleId="CommentSubject">
    <w:name w:val="annotation subject"/>
    <w:basedOn w:val="CommentText"/>
    <w:next w:val="CommentText"/>
    <w:link w:val="CommentSubjectChar"/>
    <w:uiPriority w:val="99"/>
    <w:semiHidden/>
    <w:unhideWhenUsed/>
    <w:rsid w:val="00CE6968"/>
    <w:rPr>
      <w:b/>
      <w:bCs/>
      <w:sz w:val="20"/>
      <w:szCs w:val="20"/>
    </w:rPr>
  </w:style>
  <w:style w:type="character" w:customStyle="1" w:styleId="CommentSubjectChar">
    <w:name w:val="Comment Subject Char"/>
    <w:basedOn w:val="CommentTextChar"/>
    <w:link w:val="CommentSubject"/>
    <w:uiPriority w:val="99"/>
    <w:semiHidden/>
    <w:rsid w:val="00CE6968"/>
    <w:rPr>
      <w:b/>
      <w:bCs/>
      <w:sz w:val="20"/>
      <w:szCs w:val="20"/>
      <w:lang w:val="en-GB"/>
    </w:rPr>
  </w:style>
  <w:style w:type="paragraph" w:styleId="BalloonText">
    <w:name w:val="Balloon Text"/>
    <w:basedOn w:val="Normal"/>
    <w:link w:val="BalloonTextChar"/>
    <w:uiPriority w:val="99"/>
    <w:semiHidden/>
    <w:unhideWhenUsed/>
    <w:rsid w:val="00CE69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968"/>
    <w:rPr>
      <w:rFonts w:ascii="Times New Roman" w:hAnsi="Times New Roman" w:cs="Times New Roman"/>
      <w:sz w:val="18"/>
      <w:szCs w:val="18"/>
      <w:lang w:val="en-GB"/>
    </w:rPr>
  </w:style>
  <w:style w:type="character" w:customStyle="1" w:styleId="Heading1Char">
    <w:name w:val="Heading 1 Char"/>
    <w:basedOn w:val="DefaultParagraphFont"/>
    <w:link w:val="Heading1"/>
    <w:uiPriority w:val="9"/>
    <w:rsid w:val="00A7417C"/>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B61BBE"/>
    <w:rPr>
      <w:color w:val="0563C1" w:themeColor="hyperlink"/>
      <w:u w:val="single"/>
    </w:rPr>
  </w:style>
  <w:style w:type="paragraph" w:styleId="Caption">
    <w:name w:val="caption"/>
    <w:basedOn w:val="Normal"/>
    <w:next w:val="Normal"/>
    <w:uiPriority w:val="35"/>
    <w:unhideWhenUsed/>
    <w:qFormat/>
    <w:rsid w:val="00833BEF"/>
    <w:pPr>
      <w:spacing w:after="200"/>
    </w:pPr>
    <w:rPr>
      <w:i/>
      <w:iCs/>
      <w:color w:val="44546A" w:themeColor="text2"/>
      <w:sz w:val="18"/>
      <w:szCs w:val="18"/>
    </w:rPr>
  </w:style>
  <w:style w:type="paragraph" w:styleId="NoSpacing">
    <w:name w:val="No Spacing"/>
    <w:uiPriority w:val="1"/>
    <w:qFormat/>
    <w:rsid w:val="007326A6"/>
    <w:rPr>
      <w:lang w:val="en-GB"/>
    </w:rPr>
  </w:style>
  <w:style w:type="character" w:customStyle="1" w:styleId="Heading2Char">
    <w:name w:val="Heading 2 Char"/>
    <w:basedOn w:val="DefaultParagraphFont"/>
    <w:link w:val="Heading2"/>
    <w:uiPriority w:val="9"/>
    <w:rsid w:val="007326A6"/>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030113">
      <w:bodyDiv w:val="1"/>
      <w:marLeft w:val="0"/>
      <w:marRight w:val="0"/>
      <w:marTop w:val="0"/>
      <w:marBottom w:val="0"/>
      <w:divBdr>
        <w:top w:val="none" w:sz="0" w:space="0" w:color="auto"/>
        <w:left w:val="none" w:sz="0" w:space="0" w:color="auto"/>
        <w:bottom w:val="none" w:sz="0" w:space="0" w:color="auto"/>
        <w:right w:val="none" w:sz="0" w:space="0" w:color="auto"/>
      </w:divBdr>
    </w:div>
    <w:div w:id="1519849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89C8F34-275F-404E-A236-CF2F8D88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4597</Words>
  <Characters>26205</Characters>
  <Application>Microsoft Macintosh Word</Application>
  <DocSecurity>0</DocSecurity>
  <Lines>218</Lines>
  <Paragraphs>61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 stress-test of the Ahmedabad Heat Action Plan under climate change</vt:lpstr>
      <vt:lpstr>    Introduction</vt:lpstr>
      <vt:lpstr>    Ahmedabad Heat Action Plan 2017</vt:lpstr>
      <vt:lpstr>    Results</vt:lpstr>
      <vt:lpstr>    Discussion</vt:lpstr>
      <vt:lpstr>References</vt:lpstr>
    </vt:vector>
  </TitlesOfParts>
  <LinksUpToDate>false</LinksUpToDate>
  <CharactersWithSpaces>30741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4</cp:revision>
  <dcterms:created xsi:type="dcterms:W3CDTF">2017-10-05T15:17:00Z</dcterms:created>
  <dcterms:modified xsi:type="dcterms:W3CDTF">2017-10-05T15:19:00Z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