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77777777" w:rsidR="00042A07" w:rsidRDefault="00042A07" w:rsidP="005425A0">
      <w:pPr>
        <w:jc w:val="center"/>
        <w:rPr>
          <w:b/>
          <w:sz w:val="40"/>
          <w:szCs w:val="40"/>
        </w:rPr>
      </w:pPr>
      <w:r w:rsidRPr="00042A07">
        <w:rPr>
          <w:b/>
          <w:sz w:val="40"/>
          <w:szCs w:val="40"/>
        </w:rPr>
        <w:t>HIWeather</w:t>
      </w:r>
    </w:p>
    <w:p w14:paraId="0FBDADC5" w14:textId="77777777" w:rsidR="00042A07" w:rsidRDefault="00042A07" w:rsidP="005425A0">
      <w:pPr>
        <w:jc w:val="center"/>
        <w:rPr>
          <w:b/>
          <w:sz w:val="40"/>
          <w:szCs w:val="40"/>
        </w:rPr>
      </w:pPr>
    </w:p>
    <w:p w14:paraId="7AC00E11" w14:textId="17494CF6" w:rsidR="00042A07" w:rsidRDefault="00042A07" w:rsidP="005425A0">
      <w:pPr>
        <w:jc w:val="center"/>
        <w:rPr>
          <w:b/>
          <w:sz w:val="32"/>
          <w:szCs w:val="32"/>
        </w:rPr>
      </w:pPr>
      <w:r>
        <w:rPr>
          <w:b/>
          <w:sz w:val="32"/>
          <w:szCs w:val="32"/>
        </w:rPr>
        <w:t>Health impact</w:t>
      </w:r>
      <w:r w:rsidR="009C2546">
        <w:rPr>
          <w:b/>
          <w:sz w:val="32"/>
          <w:szCs w:val="32"/>
        </w:rPr>
        <w:t>s</w:t>
      </w:r>
      <w:r>
        <w:rPr>
          <w:b/>
          <w:sz w:val="32"/>
          <w:szCs w:val="32"/>
        </w:rPr>
        <w:t xml:space="preserve"> outline</w:t>
      </w:r>
    </w:p>
    <w:p w14:paraId="2104244E" w14:textId="641F3AF5" w:rsidR="003516D2" w:rsidRPr="003516D2" w:rsidRDefault="003516D2" w:rsidP="005425A0">
      <w:pPr>
        <w:jc w:val="center"/>
        <w:rPr>
          <w:b/>
          <w:sz w:val="30"/>
          <w:szCs w:val="30"/>
        </w:rPr>
      </w:pPr>
      <w:r>
        <w:rPr>
          <w:b/>
          <w:sz w:val="30"/>
          <w:szCs w:val="30"/>
        </w:rPr>
        <w:t>Version: 7</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447730C5" w14:textId="2B96CD62" w:rsidR="00042A07" w:rsidRPr="00EC144A" w:rsidRDefault="00EC144A" w:rsidP="00B63972">
      <w:pPr>
        <w:jc w:val="both"/>
        <w:rPr>
          <w:b/>
          <w:sz w:val="28"/>
          <w:szCs w:val="28"/>
        </w:rPr>
      </w:pPr>
      <w:r w:rsidRPr="00EC144A">
        <w:rPr>
          <w:b/>
          <w:sz w:val="28"/>
          <w:szCs w:val="28"/>
        </w:rPr>
        <w:lastRenderedPageBreak/>
        <w:t>Introduction</w:t>
      </w:r>
    </w:p>
    <w:p w14:paraId="5351FDF2" w14:textId="77777777" w:rsidR="00EC144A" w:rsidRDefault="00EC144A" w:rsidP="00B63972">
      <w:pPr>
        <w:jc w:val="both"/>
        <w:rPr>
          <w:b/>
        </w:rPr>
      </w:pP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6D02B550"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3566EFC4" w14:textId="5AB69A3A" w:rsidR="007219CD" w:rsidRDefault="00B9471C" w:rsidP="00B63972">
      <w:pPr>
        <w:jc w:val="both"/>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p>
    <w:p w14:paraId="79C12371" w14:textId="77777777" w:rsidR="007219CD" w:rsidRDefault="007219CD" w:rsidP="00B63972">
      <w:pPr>
        <w:jc w:val="both"/>
      </w:pPr>
    </w:p>
    <w:p w14:paraId="17A4CF56" w14:textId="491607D2" w:rsidR="00EE3B93" w:rsidRDefault="00FF3598" w:rsidP="00B63972">
      <w:pPr>
        <w:jc w:val="both"/>
        <w:rPr>
          <w:b/>
        </w:rPr>
      </w:pPr>
      <w:r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where </w:t>
      </w:r>
      <w:r w:rsidR="007219CD" w:rsidRPr="007219CD">
        <w:rPr>
          <w:b/>
        </w:rPr>
        <w:t>improved HIWeather products</w:t>
      </w:r>
      <w:r w:rsidR="007219CD">
        <w:rPr>
          <w:b/>
        </w:rPr>
        <w:t xml:space="preserve"> could assist. </w:t>
      </w:r>
    </w:p>
    <w:p w14:paraId="0179A9DB" w14:textId="77777777" w:rsidR="007219CD" w:rsidRDefault="007219CD" w:rsidP="00B63972">
      <w:pPr>
        <w:jc w:val="both"/>
        <w:rPr>
          <w:b/>
        </w:rPr>
      </w:pP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669D5482" w14:textId="255A5BB4" w:rsidR="008843EB" w:rsidRDefault="00187BD2" w:rsidP="00B63972">
      <w:pPr>
        <w:jc w:val="both"/>
        <w:rPr>
          <w:b/>
          <w:sz w:val="28"/>
          <w:szCs w:val="28"/>
        </w:rPr>
      </w:pPr>
      <w:r>
        <w:rPr>
          <w:b/>
          <w:sz w:val="28"/>
          <w:szCs w:val="28"/>
        </w:rPr>
        <w:t>Structure</w:t>
      </w:r>
    </w:p>
    <w:p w14:paraId="0FB4C79C" w14:textId="77777777" w:rsidR="00187BD2" w:rsidRDefault="00187BD2" w:rsidP="00B63972">
      <w:pPr>
        <w:jc w:val="both"/>
        <w:rPr>
          <w:b/>
          <w:sz w:val="28"/>
          <w:szCs w:val="28"/>
        </w:rPr>
      </w:pPr>
    </w:p>
    <w:p w14:paraId="52F67B62" w14:textId="41985A37" w:rsidR="00B118B2" w:rsidRDefault="00AC36DC" w:rsidP="00B63972">
      <w:pPr>
        <w:jc w:val="both"/>
      </w:pPr>
      <w:r>
        <w:t>The 5 areas of focus for HIWeather are:</w:t>
      </w:r>
    </w:p>
    <w:p w14:paraId="3513C62B" w14:textId="77777777" w:rsidR="00AC36DC" w:rsidRDefault="00AC36DC" w:rsidP="00B63972">
      <w:pPr>
        <w:jc w:val="both"/>
      </w:pPr>
    </w:p>
    <w:p w14:paraId="0E62E08C" w14:textId="4E4A05EE" w:rsidR="00AC36DC" w:rsidRDefault="00AC36DC" w:rsidP="00AC36DC">
      <w:pPr>
        <w:pStyle w:val="ListParagraph"/>
        <w:numPr>
          <w:ilvl w:val="0"/>
          <w:numId w:val="1"/>
        </w:numPr>
        <w:jc w:val="both"/>
      </w:pPr>
      <w:r>
        <w:t>urban flood</w:t>
      </w:r>
      <w:r>
        <w:t xml:space="preserve"> </w:t>
      </w:r>
    </w:p>
    <w:p w14:paraId="60E10E46" w14:textId="6E6EC19B" w:rsidR="00AC36DC" w:rsidRDefault="00AC36DC" w:rsidP="00AC36DC">
      <w:pPr>
        <w:pStyle w:val="ListParagraph"/>
        <w:numPr>
          <w:ilvl w:val="0"/>
          <w:numId w:val="1"/>
        </w:numPr>
        <w:jc w:val="both"/>
      </w:pPr>
      <w:r>
        <w:t>wildfire</w:t>
      </w:r>
    </w:p>
    <w:p w14:paraId="1803A503" w14:textId="4B3A7C06" w:rsidR="00AC36DC" w:rsidRDefault="00AC36DC" w:rsidP="00AC36DC">
      <w:pPr>
        <w:pStyle w:val="ListParagraph"/>
        <w:numPr>
          <w:ilvl w:val="0"/>
          <w:numId w:val="1"/>
        </w:numPr>
        <w:jc w:val="both"/>
      </w:pPr>
      <w:r>
        <w:t>localised extreme w</w:t>
      </w:r>
      <w:r>
        <w:t>ind</w:t>
      </w:r>
    </w:p>
    <w:p w14:paraId="23B23E1F" w14:textId="77777777" w:rsidR="00AC36DC" w:rsidRDefault="00AC36DC" w:rsidP="00AC36DC">
      <w:pPr>
        <w:pStyle w:val="ListParagraph"/>
        <w:numPr>
          <w:ilvl w:val="0"/>
          <w:numId w:val="1"/>
        </w:numPr>
        <w:jc w:val="both"/>
      </w:pPr>
      <w:r>
        <w:t xml:space="preserve">disruptive </w:t>
      </w:r>
      <w:r>
        <w:t>winter weather</w:t>
      </w:r>
    </w:p>
    <w:p w14:paraId="728A602C" w14:textId="6A6F5967" w:rsidR="00AC36DC" w:rsidRDefault="00AC36DC" w:rsidP="00AC36DC">
      <w:pPr>
        <w:pStyle w:val="ListParagraph"/>
        <w:numPr>
          <w:ilvl w:val="0"/>
          <w:numId w:val="1"/>
        </w:numPr>
        <w:jc w:val="both"/>
      </w:pPr>
      <w:r>
        <w:t>urb</w:t>
      </w:r>
      <w:r>
        <w:t>an heat waves and air pollution</w:t>
      </w:r>
    </w:p>
    <w:p w14:paraId="399D811F" w14:textId="77777777" w:rsidR="00AC36DC" w:rsidRDefault="00AC36DC" w:rsidP="00AC36DC">
      <w:pPr>
        <w:jc w:val="both"/>
      </w:pPr>
    </w:p>
    <w:p w14:paraId="4E1F2139" w14:textId="3A0C2D59" w:rsidR="00AC36DC" w:rsidRPr="002E7E6D" w:rsidRDefault="00E27AF3" w:rsidP="00AC36DC">
      <w:pPr>
        <w:jc w:val="both"/>
      </w:pPr>
      <w:r>
        <w:t>The following process will be reported upon for each of the 5 areas of focus:</w:t>
      </w:r>
    </w:p>
    <w:p w14:paraId="54E840D5" w14:textId="77777777" w:rsidR="00B118B2" w:rsidRDefault="00B118B2" w:rsidP="00B63972">
      <w:pPr>
        <w:jc w:val="both"/>
        <w:rPr>
          <w:b/>
          <w:sz w:val="28"/>
          <w:szCs w:val="28"/>
        </w:rPr>
      </w:pPr>
    </w:p>
    <w:p w14:paraId="1F2631CD" w14:textId="069301B1" w:rsidR="00B118B2" w:rsidRDefault="00B118B2" w:rsidP="00B118B2">
      <w:pPr>
        <w:pStyle w:val="ListParagraph"/>
        <w:numPr>
          <w:ilvl w:val="0"/>
          <w:numId w:val="1"/>
        </w:numPr>
      </w:pPr>
      <w:r>
        <w:t>Identify key health issues for each sector.</w:t>
      </w:r>
    </w:p>
    <w:p w14:paraId="17515918" w14:textId="774913A4" w:rsidR="00B118B2" w:rsidRDefault="00B118B2" w:rsidP="00B118B2">
      <w:pPr>
        <w:pStyle w:val="ListParagraph"/>
        <w:numPr>
          <w:ilvl w:val="0"/>
          <w:numId w:val="1"/>
        </w:numPr>
      </w:pPr>
      <w:r>
        <w:t>Identify key quantitative metrics which can be tracked and measured for success of interventions.</w:t>
      </w:r>
    </w:p>
    <w:p w14:paraId="49836FB1" w14:textId="77777777" w:rsidR="00E27AF3" w:rsidRDefault="00B118B2" w:rsidP="00B118B2">
      <w:pPr>
        <w:pStyle w:val="ListParagraph"/>
        <w:numPr>
          <w:ilvl w:val="0"/>
          <w:numId w:val="1"/>
        </w:numPr>
      </w:pPr>
      <w:r>
        <w:t>Create timeline of decisions which need to be made by key decision makers</w:t>
      </w:r>
    </w:p>
    <w:p w14:paraId="26D3BC78" w14:textId="2BC710F4" w:rsidR="00B118B2" w:rsidRDefault="00E27AF3" w:rsidP="00B118B2">
      <w:pPr>
        <w:pStyle w:val="ListParagraph"/>
        <w:numPr>
          <w:ilvl w:val="0"/>
          <w:numId w:val="1"/>
        </w:numPr>
      </w:pPr>
      <w:r>
        <w:t>Explain how decision makers come to trigger disaster-related health action plans</w:t>
      </w:r>
    </w:p>
    <w:p w14:paraId="39D3C7C1" w14:textId="35780307" w:rsidR="008843EB" w:rsidRPr="00FF69F5" w:rsidRDefault="00B118B2" w:rsidP="00FF69F5">
      <w:pPr>
        <w:pStyle w:val="ListParagraph"/>
        <w:numPr>
          <w:ilvl w:val="0"/>
          <w:numId w:val="1"/>
        </w:numPr>
      </w:pPr>
      <w:r>
        <w:t xml:space="preserve">Identify key gaps in capabilities of forecasting (both in time and space) which can be improved upon to </w:t>
      </w:r>
      <w:r w:rsidR="00B234B5">
        <w:t>help decision makers make calls.</w:t>
      </w:r>
    </w:p>
    <w:p w14:paraId="572231D4" w14:textId="5454BA45" w:rsidR="00A618F9" w:rsidRPr="00A618F9" w:rsidRDefault="00A618F9"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t>Health impacts</w:t>
      </w:r>
      <w:bookmarkStart w:id="0" w:name="_GoBack"/>
      <w:bookmarkEnd w:id="0"/>
    </w:p>
    <w:p w14:paraId="55DE8302" w14:textId="77777777" w:rsidR="00A618F9" w:rsidRDefault="00A618F9" w:rsidP="00FF69F5">
      <w:pPr>
        <w:shd w:val="clear" w:color="auto" w:fill="FFFFFF"/>
        <w:jc w:val="both"/>
        <w:outlineLvl w:val="0"/>
        <w:rPr>
          <w:rFonts w:eastAsia="Times New Roman" w:cs="Arial"/>
          <w:b/>
          <w:color w:val="222222"/>
          <w:sz w:val="28"/>
          <w:szCs w:val="28"/>
          <w:lang w:eastAsia="en-GB"/>
        </w:rPr>
      </w:pPr>
    </w:p>
    <w:p w14:paraId="641B2BFC" w14:textId="6844C459" w:rsidR="00FF69F5" w:rsidRPr="00A618F9" w:rsidRDefault="00A618F9" w:rsidP="00A618F9">
      <w:pPr>
        <w:shd w:val="clear" w:color="auto" w:fill="FFFFFF"/>
        <w:jc w:val="both"/>
        <w:outlineLvl w:val="0"/>
        <w:rPr>
          <w:rFonts w:eastAsia="Times New Roman" w:cs="Times New Roman"/>
          <w:color w:val="351C75"/>
          <w:sz w:val="28"/>
          <w:szCs w:val="28"/>
          <w:lang w:eastAsia="en-GB"/>
        </w:rPr>
      </w:pPr>
      <w:r w:rsidRPr="00A618F9">
        <w:rPr>
          <w:rFonts w:eastAsia="Times New Roman" w:cs="Arial"/>
          <w:b/>
          <w:color w:val="222222"/>
          <w:sz w:val="28"/>
          <w:szCs w:val="28"/>
          <w:lang w:eastAsia="en-GB"/>
        </w:rPr>
        <w:t>1.</w:t>
      </w:r>
      <w:r>
        <w:rPr>
          <w:rFonts w:eastAsia="Times New Roman" w:cs="Arial"/>
          <w:b/>
          <w:color w:val="222222"/>
          <w:sz w:val="28"/>
          <w:szCs w:val="28"/>
          <w:lang w:eastAsia="en-GB"/>
        </w:rPr>
        <w:t xml:space="preserve"> </w:t>
      </w:r>
      <w:r w:rsidR="00FF69F5" w:rsidRPr="00A618F9">
        <w:rPr>
          <w:rFonts w:eastAsia="Times New Roman" w:cs="Arial"/>
          <w:b/>
          <w:color w:val="222222"/>
          <w:sz w:val="28"/>
          <w:szCs w:val="28"/>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3125331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p>
    <w:p w14:paraId="67C190FE" w14:textId="77777777" w:rsidR="00FF69F5" w:rsidRPr="00353192" w:rsidRDefault="00FF69F5" w:rsidP="00FF69F5">
      <w:pPr>
        <w:shd w:val="clear" w:color="auto" w:fill="FFFFFF"/>
        <w:jc w:val="both"/>
        <w:rPr>
          <w:rFonts w:eastAsia="Times New Roman" w:cs="Times New Roman"/>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Illnesses. </w:t>
      </w:r>
      <w:r w:rsidRPr="00353192">
        <w:rPr>
          <w:rFonts w:eastAsia="Times New Roman" w:cs="Times New Roman"/>
          <w:lang w:eastAsia="en-GB"/>
        </w:rPr>
        <w:t>Diseases can be spread from undisinfected groundwaters by the onset of flooding.</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Increased instances of cholera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diarrheal diseases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hepatitis A and 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leptospirosis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melioidosis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8</w:t>
      </w:r>
      <w:r w:rsidRPr="00353192">
        <w:rPr>
          <w:rFonts w:eastAsia="Times New Roman" w:cs="Times New Roman"/>
          <w:lang w:eastAsia="en-GB"/>
        </w:rPr>
        <w:fldChar w:fldCharType="end"/>
      </w:r>
      <w:r w:rsidRPr="00353192">
        <w:rPr>
          <w:rFonts w:eastAsia="Times New Roman" w:cs="Times New Roman"/>
          <w:lang w:eastAsia="en-GB"/>
        </w:rPr>
        <w:t>, respiratory infections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w:t>
      </w:r>
      <w:r w:rsidRPr="00353192">
        <w:rPr>
          <w:rFonts w:eastAsia="Times New Roman" w:cs="Times New Roman"/>
          <w:lang w:eastAsia="en-GB"/>
        </w:rPr>
        <w:fldChar w:fldCharType="end"/>
      </w:r>
      <w:r w:rsidRPr="00353192">
        <w:rPr>
          <w:rFonts w:eastAsia="Times New Roman" w:cs="Times New Roman"/>
          <w:lang w:eastAsia="en-GB"/>
        </w:rPr>
        <w:t>, and typhoid</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have been observed after floods in urban areas.</w:t>
      </w:r>
    </w:p>
    <w:p w14:paraId="4B0647FB" w14:textId="77777777" w:rsidR="00FF69F5" w:rsidRPr="00353192" w:rsidRDefault="00FF69F5" w:rsidP="00FF69F5">
      <w:pPr>
        <w:shd w:val="clear" w:color="auto" w:fill="FFFFFF"/>
        <w:jc w:val="both"/>
        <w:rPr>
          <w:rFonts w:eastAsia="Times New Roman" w:cs="Times New Roman"/>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06B4BA77" w14:textId="77777777" w:rsidR="00FF69F5" w:rsidRPr="00353192" w:rsidRDefault="00FF69F5" w:rsidP="00FF69F5">
      <w:pPr>
        <w:jc w:val="both"/>
      </w:pPr>
    </w:p>
    <w:p w14:paraId="5E6221E6"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Key 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6"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7"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itself.[ref]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77777777" w:rsidR="00FF69F5" w:rsidRPr="00353192" w:rsidRDefault="00FF69F5" w:rsidP="00FF69F5">
      <w:pPr>
        <w:shd w:val="clear" w:color="auto" w:fill="FFFFFF"/>
        <w:jc w:val="both"/>
        <w:outlineLvl w:val="0"/>
        <w:rPr>
          <w:rFonts w:eastAsia="Times New Roman" w:cs="Times New Roman"/>
          <w:color w:val="351C75"/>
          <w:lang w:eastAsia="en-GB"/>
        </w:rPr>
      </w:pPr>
      <w:r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18341A29" w14:textId="77777777" w:rsidR="00FF69F5" w:rsidRPr="00353192" w:rsidRDefault="00FF69F5" w:rsidP="00FF69F5">
      <w:pPr>
        <w:jc w:val="both"/>
        <w:rPr>
          <w:u w:val="single"/>
        </w:rPr>
      </w:pPr>
    </w:p>
    <w:p w14:paraId="21DC602D"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1E626A8D" w14:textId="77777777" w:rsidR="00FF69F5" w:rsidRPr="00353192" w:rsidRDefault="00FF69F5" w:rsidP="00FF69F5">
      <w:pPr>
        <w:shd w:val="clear" w:color="auto" w:fill="FFFFFF"/>
        <w:jc w:val="both"/>
        <w:rPr>
          <w:rFonts w:eastAsia="Times New Roman" w:cs="Times New Roman"/>
          <w:b/>
          <w:u w:val="single"/>
          <w:lang w:eastAsia="en-GB"/>
        </w:rPr>
      </w:pPr>
    </w:p>
    <w:p w14:paraId="409E72A6" w14:textId="77777777" w:rsidR="00FF69F5" w:rsidRPr="00353192" w:rsidRDefault="00FF69F5" w:rsidP="00FF69F5">
      <w:pPr>
        <w:shd w:val="clear" w:color="auto" w:fill="FFFFFF"/>
        <w:jc w:val="both"/>
        <w:rPr>
          <w:rFonts w:eastAsia="Times New Roman" w:cs="Times New Roman"/>
          <w:b/>
          <w:u w:val="single"/>
          <w:lang w:eastAsia="en-GB"/>
        </w:rPr>
      </w:pP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77777777" w:rsidR="00FF69F5" w:rsidRPr="00353192" w:rsidRDefault="00FF69F5" w:rsidP="00FF69F5">
      <w:pPr>
        <w:shd w:val="clear" w:color="auto" w:fill="FFFFFF"/>
        <w:jc w:val="both"/>
        <w:outlineLvl w:val="0"/>
        <w:rPr>
          <w:rFonts w:eastAsia="Times New Roman" w:cs="Arial"/>
          <w:b/>
          <w:color w:val="222222"/>
          <w:lang w:eastAsia="en-GB"/>
        </w:rPr>
      </w:pPr>
      <w:r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77777777" w:rsidR="00FF69F5" w:rsidRPr="00353192" w:rsidRDefault="00FF69F5" w:rsidP="00FF69F5">
      <w:pPr>
        <w:jc w:val="both"/>
      </w:pPr>
      <w:r w:rsidRPr="00353192">
        <w:rPr>
          <w:b/>
        </w:rPr>
        <w:t xml:space="preserve">Injuries from debris </w:t>
      </w:r>
      <w:r w:rsidRPr="00353192">
        <w:t>Buildings and trees</w:t>
      </w:r>
    </w:p>
    <w:p w14:paraId="6A78DB81" w14:textId="77777777" w:rsidR="00FF69F5" w:rsidRPr="00353192" w:rsidRDefault="00FF69F5" w:rsidP="00FF69F5">
      <w:pPr>
        <w:jc w:val="both"/>
        <w:rPr>
          <w:b/>
        </w:rPr>
      </w:pPr>
    </w:p>
    <w:p w14:paraId="3989D634" w14:textId="77777777" w:rsidR="00FF69F5" w:rsidRPr="00353192" w:rsidRDefault="00FF69F5" w:rsidP="00FF69F5">
      <w:pPr>
        <w:jc w:val="both"/>
        <w:rPr>
          <w:b/>
        </w:rPr>
      </w:pPr>
      <w:r w:rsidRPr="00353192">
        <w:rPr>
          <w:b/>
        </w:rPr>
        <w:t>Road accidents</w:t>
      </w:r>
    </w:p>
    <w:p w14:paraId="77EB69C5" w14:textId="77777777" w:rsidR="00FF69F5" w:rsidRPr="00353192" w:rsidRDefault="00FF69F5" w:rsidP="00FF69F5">
      <w:pPr>
        <w:jc w:val="both"/>
        <w:rPr>
          <w:b/>
        </w:rPr>
      </w:pPr>
    </w:p>
    <w:p w14:paraId="1D45A574" w14:textId="77777777" w:rsidR="00FF69F5" w:rsidRPr="00353192" w:rsidRDefault="00FF69F5" w:rsidP="00FF69F5">
      <w:pPr>
        <w:jc w:val="both"/>
        <w:rPr>
          <w:b/>
        </w:rPr>
      </w:pPr>
      <w:r w:rsidRPr="00353192">
        <w:rPr>
          <w:b/>
        </w:rPr>
        <w:t>Psychological distress</w:t>
      </w:r>
    </w:p>
    <w:p w14:paraId="13E9026C" w14:textId="77777777" w:rsidR="00FF69F5" w:rsidRPr="00353192" w:rsidRDefault="00FF69F5" w:rsidP="00FF69F5">
      <w:pPr>
        <w:jc w:val="both"/>
        <w:rPr>
          <w:b/>
        </w:rPr>
      </w:pPr>
    </w:p>
    <w:p w14:paraId="6D0EB44F" w14:textId="77777777" w:rsidR="00FF69F5" w:rsidRPr="00353192" w:rsidRDefault="00FF69F5" w:rsidP="00FF69F5">
      <w:pPr>
        <w:jc w:val="both"/>
        <w:rPr>
          <w:b/>
        </w:rPr>
      </w:pPr>
      <w:r w:rsidRPr="00353192">
        <w:rPr>
          <w:b/>
        </w:rPr>
        <w:t>Sea spray</w:t>
      </w:r>
    </w:p>
    <w:p w14:paraId="68283B0D" w14:textId="77777777" w:rsidR="00FF69F5" w:rsidRPr="00353192" w:rsidRDefault="00FF69F5" w:rsidP="00FF69F5">
      <w:pPr>
        <w:jc w:val="both"/>
        <w:rPr>
          <w:b/>
        </w:rPr>
      </w:pPr>
    </w:p>
    <w:p w14:paraId="6A6E4167" w14:textId="77777777" w:rsidR="00FF69F5" w:rsidRPr="00353192" w:rsidRDefault="00FF69F5" w:rsidP="00FF69F5">
      <w:pPr>
        <w:jc w:val="both"/>
        <w:rPr>
          <w:b/>
        </w:rPr>
      </w:pPr>
    </w:p>
    <w:p w14:paraId="22D00AE6" w14:textId="77777777" w:rsidR="00FF69F5" w:rsidRPr="00353192" w:rsidRDefault="00FF69F5" w:rsidP="00FF69F5">
      <w:pPr>
        <w:jc w:val="both"/>
        <w:rPr>
          <w:u w:val="single"/>
        </w:rPr>
      </w:pPr>
    </w:p>
    <w:p w14:paraId="223EE469"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61CD553A" w14:textId="77777777" w:rsidR="00FF69F5" w:rsidRPr="00353192" w:rsidRDefault="00FF69F5" w:rsidP="00FF69F5">
      <w:pPr>
        <w:shd w:val="clear" w:color="auto" w:fill="FFFFFF"/>
        <w:jc w:val="both"/>
        <w:rPr>
          <w:rFonts w:eastAsia="Times New Roman" w:cs="Times New Roman"/>
          <w:b/>
          <w:u w:val="single"/>
          <w:lang w:eastAsia="en-GB"/>
        </w:rPr>
      </w:pPr>
    </w:p>
    <w:p w14:paraId="1D4B7E0B"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77777777" w:rsidR="00FF69F5" w:rsidRPr="00353192" w:rsidRDefault="00FF69F5" w:rsidP="00FF69F5">
      <w:pPr>
        <w:shd w:val="clear" w:color="auto" w:fill="FFFFFF"/>
        <w:jc w:val="both"/>
        <w:outlineLvl w:val="0"/>
        <w:rPr>
          <w:rFonts w:eastAsia="Times New Roman" w:cs="Arial"/>
          <w:b/>
          <w:color w:val="222222"/>
          <w:lang w:eastAsia="en-GB"/>
        </w:rPr>
      </w:pPr>
      <w:r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770521D4"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1AEFB8DB" w14:textId="77777777" w:rsidR="00FF69F5" w:rsidRPr="00353192" w:rsidRDefault="00FF69F5" w:rsidP="00FF69F5">
      <w:pPr>
        <w:shd w:val="clear" w:color="auto" w:fill="FFFFFF"/>
        <w:jc w:val="both"/>
        <w:rPr>
          <w:rFonts w:eastAsia="Times New Roman" w:cs="Times New Roman"/>
          <w:b/>
          <w:u w:val="single"/>
          <w:lang w:eastAsia="en-GB"/>
        </w:rPr>
      </w:pPr>
    </w:p>
    <w:p w14:paraId="79936054"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21097148"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024B9D71" w14:textId="77777777" w:rsidR="00FF69F5" w:rsidRPr="00353192" w:rsidRDefault="00FF69F5" w:rsidP="00FF69F5">
      <w:pPr>
        <w:shd w:val="clear" w:color="auto" w:fill="FFFFFF"/>
        <w:jc w:val="both"/>
        <w:outlineLvl w:val="0"/>
        <w:rPr>
          <w:rFonts w:eastAsia="Times New Roman" w:cs="Arial"/>
          <w:b/>
          <w:color w:val="222222"/>
          <w:lang w:eastAsia="en-GB"/>
        </w:rPr>
      </w:pP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D4E3AA8"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3D2D4CDF" w14:textId="77777777" w:rsidR="00FF69F5" w:rsidRPr="00353192" w:rsidRDefault="00FF69F5" w:rsidP="00FF69F5">
      <w:pPr>
        <w:jc w:val="both"/>
        <w:rPr>
          <w:u w:val="single"/>
        </w:rPr>
      </w:pPr>
    </w:p>
    <w:p w14:paraId="0DEADB0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Deliverables</w:t>
      </w:r>
    </w:p>
    <w:p w14:paraId="05E0A6F5" w14:textId="77777777" w:rsidR="00FF69F5" w:rsidRPr="00353192" w:rsidRDefault="00FF69F5" w:rsidP="00FF69F5">
      <w:pPr>
        <w:shd w:val="clear" w:color="auto" w:fill="FFFFFF"/>
        <w:jc w:val="both"/>
        <w:rPr>
          <w:rFonts w:eastAsia="Times New Roman" w:cs="Times New Roman"/>
          <w:b/>
          <w:u w:val="single"/>
          <w:lang w:eastAsia="en-GB"/>
        </w:rPr>
      </w:pPr>
    </w:p>
    <w:p w14:paraId="1671C69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77777777" w:rsidR="00FF69F5" w:rsidRPr="00353192" w:rsidRDefault="00FF69F5"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t>References</w:t>
      </w:r>
    </w:p>
    <w:p w14:paraId="71D13549" w14:textId="77777777" w:rsidR="00FF69F5" w:rsidRPr="00A618F9" w:rsidRDefault="00FF69F5" w:rsidP="00FF69F5">
      <w:pPr>
        <w:widowControl w:val="0"/>
        <w:autoSpaceDE w:val="0"/>
        <w:autoSpaceDN w:val="0"/>
        <w:adjustRightInd w:val="0"/>
        <w:ind w:left="640" w:hanging="640"/>
        <w:jc w:val="both"/>
      </w:pPr>
    </w:p>
    <w:p w14:paraId="01F6194D"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fldChar w:fldCharType="begin" w:fldLock="1"/>
      </w:r>
      <w:r w:rsidRPr="00A618F9">
        <w:instrText xml:space="preserve">ADDIN Mendeley Bibliography CSL_BIBLIOGRAPHY </w:instrText>
      </w:r>
      <w:r w:rsidRPr="00A618F9">
        <w:fldChar w:fldCharType="separate"/>
      </w:r>
      <w:r w:rsidRPr="00A618F9">
        <w:rPr>
          <w:rFonts w:eastAsia="Times New Roman" w:cs="Times New Roman"/>
          <w:noProof/>
        </w:rPr>
        <w:t>1</w:t>
      </w:r>
      <w:r w:rsidRPr="00A618F9">
        <w:rPr>
          <w:rFonts w:eastAsia="Times New Roman" w:cs="Times New Roman"/>
          <w:noProof/>
        </w:rPr>
        <w:tab/>
        <w:t xml:space="preserve">Hajat S, Ebi KL, Kovats RS, Menne B, Edwards S, Haines A. The human health consequences of flooding in Europe: A review. </w:t>
      </w:r>
      <w:r w:rsidRPr="00A618F9">
        <w:rPr>
          <w:rFonts w:eastAsia="Times New Roman" w:cs="Times New Roman"/>
          <w:i/>
          <w:iCs/>
          <w:noProof/>
        </w:rPr>
        <w:t>Extrem Weather Events Public Heal Responses</w:t>
      </w:r>
      <w:r w:rsidRPr="00A618F9">
        <w:rPr>
          <w:rFonts w:eastAsia="Times New Roman" w:cs="Times New Roman"/>
          <w:noProof/>
        </w:rPr>
        <w:t xml:space="preserve"> 2005; : 185–96.</w:t>
      </w:r>
    </w:p>
    <w:p w14:paraId="5935421D"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w:t>
      </w:r>
      <w:r w:rsidRPr="00A618F9">
        <w:rPr>
          <w:rFonts w:eastAsia="Times New Roman" w:cs="Times New Roman"/>
          <w:noProof/>
        </w:rPr>
        <w:tab/>
        <w:t xml:space="preserve">UNISDR, CRED. The human cost of weather-related disasters 1995-2015. </w:t>
      </w:r>
      <w:r w:rsidRPr="00A618F9">
        <w:rPr>
          <w:rFonts w:eastAsia="Times New Roman" w:cs="Times New Roman"/>
          <w:i/>
          <w:iCs/>
          <w:noProof/>
        </w:rPr>
        <w:t>UNISDR Publ</w:t>
      </w:r>
      <w:r w:rsidRPr="00A618F9">
        <w:rPr>
          <w:rFonts w:eastAsia="Times New Roman" w:cs="Times New Roman"/>
          <w:noProof/>
        </w:rPr>
        <w:t xml:space="preserve"> 2015; </w:t>
      </w:r>
      <w:r w:rsidRPr="00A618F9">
        <w:rPr>
          <w:rFonts w:eastAsia="Times New Roman" w:cs="Times New Roman"/>
          <w:b/>
          <w:bCs/>
          <w:noProof/>
        </w:rPr>
        <w:t>1</w:t>
      </w:r>
      <w:r w:rsidRPr="00A618F9">
        <w:rPr>
          <w:rFonts w:eastAsia="Times New Roman" w:cs="Times New Roman"/>
          <w:noProof/>
        </w:rPr>
        <w:t>: 30.</w:t>
      </w:r>
    </w:p>
    <w:p w14:paraId="6B3633A4"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3</w:t>
      </w:r>
      <w:r w:rsidRPr="00A618F9">
        <w:rPr>
          <w:rFonts w:eastAsia="Times New Roman" w:cs="Times New Roman"/>
          <w:noProof/>
        </w:rPr>
        <w:tab/>
        <w:t xml:space="preserve">Bennet G. Bristol floods 1968. Controlled survey of effects on health of local community disaster. </w:t>
      </w:r>
      <w:r w:rsidRPr="00A618F9">
        <w:rPr>
          <w:rFonts w:eastAsia="Times New Roman" w:cs="Times New Roman"/>
          <w:i/>
          <w:iCs/>
          <w:noProof/>
        </w:rPr>
        <w:t>Br Med J</w:t>
      </w:r>
      <w:r w:rsidRPr="00A618F9">
        <w:rPr>
          <w:rFonts w:eastAsia="Times New Roman" w:cs="Times New Roman"/>
          <w:noProof/>
        </w:rPr>
        <w:t xml:space="preserve"> 1970; </w:t>
      </w:r>
      <w:r w:rsidRPr="00A618F9">
        <w:rPr>
          <w:rFonts w:eastAsia="Times New Roman" w:cs="Times New Roman"/>
          <w:b/>
          <w:bCs/>
          <w:noProof/>
        </w:rPr>
        <w:t>3</w:t>
      </w:r>
      <w:r w:rsidRPr="00A618F9">
        <w:rPr>
          <w:rFonts w:eastAsia="Times New Roman" w:cs="Times New Roman"/>
          <w:noProof/>
        </w:rPr>
        <w:t>: 454–8.</w:t>
      </w:r>
    </w:p>
    <w:p w14:paraId="19681B02"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4</w:t>
      </w:r>
      <w:r w:rsidRPr="00A618F9">
        <w:rPr>
          <w:rFonts w:eastAsia="Times New Roman" w:cs="Times New Roman"/>
          <w:noProof/>
        </w:rPr>
        <w:tab/>
        <w:t xml:space="preserve">Ochi S, Hodgson S, Landeg O, Mayner L, Murray V. Disaster-Driven Evacuation and Medication Loss: a Systematic Literature Review. </w:t>
      </w:r>
      <w:r w:rsidRPr="00A618F9">
        <w:rPr>
          <w:rFonts w:eastAsia="Times New Roman" w:cs="Times New Roman"/>
          <w:i/>
          <w:iCs/>
          <w:noProof/>
        </w:rPr>
        <w:t>PLoS Curr</w:t>
      </w:r>
      <w:r w:rsidRPr="00A618F9">
        <w:rPr>
          <w:rFonts w:eastAsia="Times New Roman" w:cs="Times New Roman"/>
          <w:noProof/>
        </w:rPr>
        <w:t xml:space="preserve"> 2014; : 1–24.</w:t>
      </w:r>
    </w:p>
    <w:p w14:paraId="49E0DC17"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5</w:t>
      </w:r>
      <w:r w:rsidRPr="00A618F9">
        <w:rPr>
          <w:rFonts w:eastAsia="Times New Roman" w:cs="Times New Roman"/>
          <w:noProof/>
        </w:rPr>
        <w:tab/>
        <w:t xml:space="preserve">French J, Ing R, Von Allmen S, Wood R. Mortality from flash floods: a review of national weather service reports, 1969-81. </w:t>
      </w:r>
      <w:r w:rsidRPr="00A618F9">
        <w:rPr>
          <w:rFonts w:eastAsia="Times New Roman" w:cs="Times New Roman"/>
          <w:i/>
          <w:iCs/>
          <w:noProof/>
        </w:rPr>
        <w:t>Public Health Rep</w:t>
      </w:r>
      <w:r w:rsidRPr="00A618F9">
        <w:rPr>
          <w:rFonts w:eastAsia="Times New Roman" w:cs="Times New Roman"/>
          <w:noProof/>
        </w:rPr>
        <w:t xml:space="preserve"> 1983; </w:t>
      </w:r>
      <w:r w:rsidRPr="00A618F9">
        <w:rPr>
          <w:rFonts w:eastAsia="Times New Roman" w:cs="Times New Roman"/>
          <w:b/>
          <w:bCs/>
          <w:noProof/>
        </w:rPr>
        <w:t>98</w:t>
      </w:r>
      <w:r w:rsidRPr="00A618F9">
        <w:rPr>
          <w:rFonts w:eastAsia="Times New Roman" w:cs="Times New Roman"/>
          <w:noProof/>
        </w:rPr>
        <w:t>: 584–8.</w:t>
      </w:r>
    </w:p>
    <w:p w14:paraId="52683951"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6</w:t>
      </w:r>
      <w:r w:rsidRPr="00A618F9">
        <w:rPr>
          <w:rFonts w:eastAsia="Times New Roman" w:cs="Times New Roman"/>
          <w:noProof/>
        </w:rPr>
        <w:tab/>
        <w:t xml:space="preserve">Miettinen IT, Zacheus O, Bonsdorff C-H von, Vartiainen T. Waterborne epidemics in Finland in 1998-1999. </w:t>
      </w:r>
      <w:r w:rsidRPr="00A618F9">
        <w:rPr>
          <w:rFonts w:eastAsia="Times New Roman" w:cs="Times New Roman"/>
          <w:i/>
          <w:iCs/>
          <w:noProof/>
        </w:rPr>
        <w:t>Water Sci Technol</w:t>
      </w:r>
      <w:r w:rsidRPr="00A618F9">
        <w:rPr>
          <w:rFonts w:eastAsia="Times New Roman" w:cs="Times New Roman"/>
          <w:noProof/>
        </w:rPr>
        <w:t xml:space="preserve"> 2001; </w:t>
      </w:r>
      <w:r w:rsidRPr="00A618F9">
        <w:rPr>
          <w:rFonts w:eastAsia="Times New Roman" w:cs="Times New Roman"/>
          <w:b/>
          <w:bCs/>
          <w:noProof/>
        </w:rPr>
        <w:t>43</w:t>
      </w:r>
      <w:r w:rsidRPr="00A618F9">
        <w:rPr>
          <w:rFonts w:eastAsia="Times New Roman" w:cs="Times New Roman"/>
          <w:noProof/>
        </w:rPr>
        <w:t>: 67–71.</w:t>
      </w:r>
    </w:p>
    <w:p w14:paraId="036BC5E6"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7</w:t>
      </w:r>
      <w:r w:rsidRPr="00A618F9">
        <w:rPr>
          <w:rFonts w:eastAsia="Times New Roman" w:cs="Times New Roman"/>
          <w:noProof/>
        </w:rPr>
        <w:tab/>
        <w:t xml:space="preserve">Watson JT, Gayer M, Connolly MA. Epidemics after Natural Disasters. </w:t>
      </w:r>
      <w:r w:rsidRPr="00A618F9">
        <w:rPr>
          <w:rFonts w:eastAsia="Times New Roman" w:cs="Times New Roman"/>
          <w:i/>
          <w:iCs/>
          <w:noProof/>
        </w:rPr>
        <w:t>Emerg Infect Dis</w:t>
      </w:r>
      <w:r w:rsidRPr="00A618F9">
        <w:rPr>
          <w:rFonts w:eastAsia="Times New Roman" w:cs="Times New Roman"/>
          <w:noProof/>
        </w:rPr>
        <w:t xml:space="preserve"> 2007; </w:t>
      </w:r>
      <w:r w:rsidRPr="00A618F9">
        <w:rPr>
          <w:rFonts w:eastAsia="Times New Roman" w:cs="Times New Roman"/>
          <w:b/>
          <w:bCs/>
          <w:noProof/>
        </w:rPr>
        <w:t>13</w:t>
      </w:r>
      <w:r w:rsidRPr="00A618F9">
        <w:rPr>
          <w:rFonts w:eastAsia="Times New Roman" w:cs="Times New Roman"/>
          <w:noProof/>
        </w:rPr>
        <w:t>: 1–5.</w:t>
      </w:r>
    </w:p>
    <w:p w14:paraId="5893CA7E"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8</w:t>
      </w:r>
      <w:r w:rsidRPr="00A618F9">
        <w:rPr>
          <w:rFonts w:eastAsia="Times New Roman" w:cs="Times New Roman"/>
          <w:noProof/>
        </w:rPr>
        <w:tab/>
        <w:t xml:space="preserve">Munckhof WJ, Mayo MJ, Scott I, Currie BJ. Fatal human melioidosis acquired in a subtropical australian city. </w:t>
      </w:r>
      <w:r w:rsidRPr="00A618F9">
        <w:rPr>
          <w:rFonts w:eastAsia="Times New Roman" w:cs="Times New Roman"/>
          <w:i/>
          <w:iCs/>
          <w:noProof/>
        </w:rPr>
        <w:t>Am J Trop Med Hyg</w:t>
      </w:r>
      <w:r w:rsidRPr="00A618F9">
        <w:rPr>
          <w:rFonts w:eastAsia="Times New Roman" w:cs="Times New Roman"/>
          <w:noProof/>
        </w:rPr>
        <w:t xml:space="preserve"> 2001; </w:t>
      </w:r>
      <w:r w:rsidRPr="00A618F9">
        <w:rPr>
          <w:rFonts w:eastAsia="Times New Roman" w:cs="Times New Roman"/>
          <w:b/>
          <w:bCs/>
          <w:noProof/>
        </w:rPr>
        <w:t>65</w:t>
      </w:r>
      <w:r w:rsidRPr="00A618F9">
        <w:rPr>
          <w:rFonts w:eastAsia="Times New Roman" w:cs="Times New Roman"/>
          <w:noProof/>
        </w:rPr>
        <w:t>: 325–8.</w:t>
      </w:r>
    </w:p>
    <w:p w14:paraId="38CC179E"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9</w:t>
      </w:r>
      <w:r w:rsidRPr="00A618F9">
        <w:rPr>
          <w:rFonts w:eastAsia="Times New Roman" w:cs="Times New Roman"/>
          <w:noProof/>
        </w:rPr>
        <w:tab/>
        <w:t xml:space="preserve">Baqir M, Sobani ZA, Bhamani A, </w:t>
      </w:r>
      <w:r w:rsidRPr="00A618F9">
        <w:rPr>
          <w:rFonts w:eastAsia="Times New Roman" w:cs="Times New Roman"/>
          <w:i/>
          <w:iCs/>
          <w:noProof/>
        </w:rPr>
        <w:t>et al.</w:t>
      </w:r>
      <w:r w:rsidRPr="00A618F9">
        <w:rPr>
          <w:rFonts w:eastAsia="Times New Roman" w:cs="Times New Roman"/>
          <w:noProof/>
        </w:rPr>
        <w:t xml:space="preserve"> Infectious diseases in the aftermath of monsoon flooding in Pakistan. </w:t>
      </w:r>
      <w:r w:rsidRPr="00A618F9">
        <w:rPr>
          <w:rFonts w:eastAsia="Times New Roman" w:cs="Times New Roman"/>
          <w:i/>
          <w:iCs/>
          <w:noProof/>
        </w:rPr>
        <w:t>Asian Pac J Trop Biomed</w:t>
      </w:r>
      <w:r w:rsidRPr="00A618F9">
        <w:rPr>
          <w:rFonts w:eastAsia="Times New Roman" w:cs="Times New Roman"/>
          <w:noProof/>
        </w:rPr>
        <w:t xml:space="preserve"> 2012; </w:t>
      </w:r>
      <w:r w:rsidRPr="00A618F9">
        <w:rPr>
          <w:rFonts w:eastAsia="Times New Roman" w:cs="Times New Roman"/>
          <w:b/>
          <w:bCs/>
          <w:noProof/>
        </w:rPr>
        <w:t>2</w:t>
      </w:r>
      <w:r w:rsidRPr="00A618F9">
        <w:rPr>
          <w:rFonts w:eastAsia="Times New Roman" w:cs="Times New Roman"/>
          <w:noProof/>
        </w:rPr>
        <w:t>: 76–9.</w:t>
      </w:r>
    </w:p>
    <w:p w14:paraId="08B2EC0F"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10</w:t>
      </w:r>
      <w:r w:rsidRPr="00A618F9">
        <w:rPr>
          <w:rFonts w:eastAsia="Times New Roman" w:cs="Times New Roman"/>
          <w:noProof/>
        </w:rPr>
        <w:tab/>
        <w:t xml:space="preserve">Srivastava A, Nagpal BN, Saxena R, </w:t>
      </w:r>
      <w:r w:rsidRPr="00A618F9">
        <w:rPr>
          <w:rFonts w:eastAsia="Times New Roman" w:cs="Times New Roman"/>
          <w:i/>
          <w:iCs/>
          <w:noProof/>
        </w:rPr>
        <w:t>et al.</w:t>
      </w:r>
      <w:r w:rsidRPr="00A618F9">
        <w:rPr>
          <w:rFonts w:eastAsia="Times New Roman" w:cs="Times New Roman"/>
          <w:noProof/>
        </w:rPr>
        <w:t xml:space="preserve"> Malaria epidemicity of Mewat region, District Gurgaon, Haryana, India: A GIS-based study. </w:t>
      </w:r>
      <w:r w:rsidRPr="00A618F9">
        <w:rPr>
          <w:rFonts w:eastAsia="Times New Roman" w:cs="Times New Roman"/>
          <w:i/>
          <w:iCs/>
          <w:noProof/>
        </w:rPr>
        <w:t>Curr Sci</w:t>
      </w:r>
      <w:r w:rsidRPr="00A618F9">
        <w:rPr>
          <w:rFonts w:eastAsia="Times New Roman" w:cs="Times New Roman"/>
          <w:noProof/>
        </w:rPr>
        <w:t xml:space="preserve"> 2004; </w:t>
      </w:r>
      <w:r w:rsidRPr="00A618F9">
        <w:rPr>
          <w:rFonts w:eastAsia="Times New Roman" w:cs="Times New Roman"/>
          <w:b/>
          <w:bCs/>
          <w:noProof/>
        </w:rPr>
        <w:t>86</w:t>
      </w:r>
      <w:r w:rsidRPr="00A618F9">
        <w:rPr>
          <w:rFonts w:eastAsia="Times New Roman" w:cs="Times New Roman"/>
          <w:noProof/>
        </w:rPr>
        <w:t>: 1297–303.</w:t>
      </w:r>
    </w:p>
    <w:p w14:paraId="53169EE4"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11</w:t>
      </w:r>
      <w:r w:rsidRPr="00A618F9">
        <w:rPr>
          <w:rFonts w:eastAsia="Times New Roman" w:cs="Times New Roman"/>
          <w:noProof/>
        </w:rPr>
        <w:tab/>
        <w:t>Brabant M. Six months after floods struck, malnutrition hits hard in affected areas of Pakistan. UNICEF. 2011. https://www.unicef.org/emergencies/pakistan_57553.html.</w:t>
      </w:r>
    </w:p>
    <w:p w14:paraId="25DA6772"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12</w:t>
      </w:r>
      <w:r w:rsidRPr="00A618F9">
        <w:rPr>
          <w:rFonts w:eastAsia="Times New Roman" w:cs="Times New Roman"/>
          <w:noProof/>
        </w:rPr>
        <w:tab/>
        <w:t xml:space="preserve">Munro A, Kovats RS, Rubin GJ, </w:t>
      </w:r>
      <w:r w:rsidRPr="00A618F9">
        <w:rPr>
          <w:rFonts w:eastAsia="Times New Roman" w:cs="Times New Roman"/>
          <w:i/>
          <w:iCs/>
          <w:noProof/>
        </w:rPr>
        <w:t>et al.</w:t>
      </w:r>
      <w:r w:rsidRPr="00A618F9">
        <w:rPr>
          <w:rFonts w:eastAsia="Times New Roman" w:cs="Times New Roman"/>
          <w:noProof/>
        </w:rPr>
        <w:t xml:space="preserve"> Effect of evacuation and displacement on the association between flooding and mental health outcomes: a cross-sectional analysis of UK survey data. </w:t>
      </w:r>
      <w:r w:rsidRPr="00A618F9">
        <w:rPr>
          <w:rFonts w:eastAsia="Times New Roman" w:cs="Times New Roman"/>
          <w:i/>
          <w:iCs/>
          <w:noProof/>
        </w:rPr>
        <w:t>Lancet Planet Heal</w:t>
      </w:r>
      <w:r w:rsidRPr="00A618F9">
        <w:rPr>
          <w:rFonts w:eastAsia="Times New Roman" w:cs="Times New Roman"/>
          <w:noProof/>
        </w:rPr>
        <w:t xml:space="preserve"> 2017; </w:t>
      </w:r>
      <w:r w:rsidRPr="00A618F9">
        <w:rPr>
          <w:rFonts w:eastAsia="Times New Roman" w:cs="Times New Roman"/>
          <w:b/>
          <w:bCs/>
          <w:noProof/>
        </w:rPr>
        <w:t>1</w:t>
      </w:r>
      <w:r w:rsidRPr="00A618F9">
        <w:rPr>
          <w:rFonts w:eastAsia="Times New Roman" w:cs="Times New Roman"/>
          <w:noProof/>
        </w:rPr>
        <w:t>: e134–41.</w:t>
      </w:r>
    </w:p>
    <w:p w14:paraId="46BF595B"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13</w:t>
      </w:r>
      <w:r w:rsidRPr="00A618F9">
        <w:rPr>
          <w:rFonts w:eastAsia="Times New Roman" w:cs="Times New Roman"/>
          <w:noProof/>
        </w:rPr>
        <w:tab/>
        <w:t xml:space="preserve">Waite TD, Chaintarli K, Beck CR, </w:t>
      </w:r>
      <w:r w:rsidRPr="00A618F9">
        <w:rPr>
          <w:rFonts w:eastAsia="Times New Roman" w:cs="Times New Roman"/>
          <w:i/>
          <w:iCs/>
          <w:noProof/>
        </w:rPr>
        <w:t>et al.</w:t>
      </w:r>
      <w:r w:rsidRPr="00A618F9">
        <w:rPr>
          <w:rFonts w:eastAsia="Times New Roman" w:cs="Times New Roman"/>
          <w:noProof/>
        </w:rPr>
        <w:t xml:space="preserve"> The English national cohort study of flooding and health: cross-sectional analysis of mental health outcomes at year one. </w:t>
      </w:r>
      <w:r w:rsidRPr="00A618F9">
        <w:rPr>
          <w:rFonts w:eastAsia="Times New Roman" w:cs="Times New Roman"/>
          <w:i/>
          <w:iCs/>
          <w:noProof/>
        </w:rPr>
        <w:t>BMC Public Health</w:t>
      </w:r>
      <w:r w:rsidRPr="00A618F9">
        <w:rPr>
          <w:rFonts w:eastAsia="Times New Roman" w:cs="Times New Roman"/>
          <w:noProof/>
        </w:rPr>
        <w:t xml:space="preserve"> 2017; </w:t>
      </w:r>
      <w:r w:rsidRPr="00A618F9">
        <w:rPr>
          <w:rFonts w:eastAsia="Times New Roman" w:cs="Times New Roman"/>
          <w:b/>
          <w:bCs/>
          <w:noProof/>
        </w:rPr>
        <w:t>17</w:t>
      </w:r>
      <w:r w:rsidRPr="00A618F9">
        <w:rPr>
          <w:rFonts w:eastAsia="Times New Roman" w:cs="Times New Roman"/>
          <w:noProof/>
        </w:rPr>
        <w:t>: 129.</w:t>
      </w:r>
    </w:p>
    <w:p w14:paraId="35D3C2D7"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14</w:t>
      </w:r>
      <w:r w:rsidRPr="00A618F9">
        <w:rPr>
          <w:rFonts w:eastAsia="Times New Roman" w:cs="Times New Roman"/>
          <w:noProof/>
        </w:rPr>
        <w:tab/>
        <w:t xml:space="preserve">Morss RE, Mulder KJ, Lazo JK, Demuth JL. How do people perceive, understand, and anticipate responding to flash flood risks and warnings? Results from a public survey in Boulder, Colorado, USA. </w:t>
      </w:r>
      <w:r w:rsidRPr="00A618F9">
        <w:rPr>
          <w:rFonts w:eastAsia="Times New Roman" w:cs="Times New Roman"/>
          <w:i/>
          <w:iCs/>
          <w:noProof/>
        </w:rPr>
        <w:t>J Hydrol</w:t>
      </w:r>
      <w:r w:rsidRPr="00A618F9">
        <w:rPr>
          <w:rFonts w:eastAsia="Times New Roman" w:cs="Times New Roman"/>
          <w:noProof/>
        </w:rPr>
        <w:t xml:space="preserve"> 2016; </w:t>
      </w:r>
      <w:r w:rsidRPr="00A618F9">
        <w:rPr>
          <w:rFonts w:eastAsia="Times New Roman" w:cs="Times New Roman"/>
          <w:b/>
          <w:bCs/>
          <w:noProof/>
        </w:rPr>
        <w:t>541</w:t>
      </w:r>
      <w:r w:rsidRPr="00A618F9">
        <w:rPr>
          <w:rFonts w:eastAsia="Times New Roman" w:cs="Times New Roman"/>
          <w:noProof/>
        </w:rPr>
        <w:t>: 649–64.</w:t>
      </w:r>
    </w:p>
    <w:p w14:paraId="17E67039"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15</w:t>
      </w:r>
      <w:r w:rsidRPr="00A618F9">
        <w:rPr>
          <w:rFonts w:eastAsia="Times New Roman" w:cs="Times New Roman"/>
          <w:noProof/>
        </w:rPr>
        <w:tab/>
        <w:t xml:space="preserve">Lazo JK, Bostrom A, Morss RE, Demuth JL, Lazrus H. Factors Affecting Hurricane Evacuation Intentions. </w:t>
      </w:r>
      <w:r w:rsidRPr="00A618F9">
        <w:rPr>
          <w:rFonts w:eastAsia="Times New Roman" w:cs="Times New Roman"/>
          <w:i/>
          <w:iCs/>
          <w:noProof/>
        </w:rPr>
        <w:t>Risk Anal</w:t>
      </w:r>
      <w:r w:rsidRPr="00A618F9">
        <w:rPr>
          <w:rFonts w:eastAsia="Times New Roman" w:cs="Times New Roman"/>
          <w:noProof/>
        </w:rPr>
        <w:t xml:space="preserve"> 2015; </w:t>
      </w:r>
      <w:r w:rsidRPr="00A618F9">
        <w:rPr>
          <w:rFonts w:eastAsia="Times New Roman" w:cs="Times New Roman"/>
          <w:b/>
          <w:bCs/>
          <w:noProof/>
        </w:rPr>
        <w:t>35</w:t>
      </w:r>
      <w:r w:rsidRPr="00A618F9">
        <w:rPr>
          <w:rFonts w:eastAsia="Times New Roman" w:cs="Times New Roman"/>
          <w:noProof/>
        </w:rPr>
        <w:t>: 1837–57.</w:t>
      </w:r>
    </w:p>
    <w:p w14:paraId="7E6C046F"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16</w:t>
      </w:r>
      <w:r w:rsidRPr="00A618F9">
        <w:rPr>
          <w:rFonts w:eastAsia="Times New Roman" w:cs="Times New Roman"/>
          <w:noProof/>
        </w:rPr>
        <w:tab/>
        <w:t xml:space="preserve">Rufat S, Tate E, Burton CG, Maroof AS. Social vulnerability to floods: Review of case studies and implications for measurement. </w:t>
      </w:r>
      <w:r w:rsidRPr="00A618F9">
        <w:rPr>
          <w:rFonts w:eastAsia="Times New Roman" w:cs="Times New Roman"/>
          <w:i/>
          <w:iCs/>
          <w:noProof/>
        </w:rPr>
        <w:t>Int J Disaster Risk Reduct</w:t>
      </w:r>
      <w:r w:rsidRPr="00A618F9">
        <w:rPr>
          <w:rFonts w:eastAsia="Times New Roman" w:cs="Times New Roman"/>
          <w:noProof/>
        </w:rPr>
        <w:t xml:space="preserve"> 2015; </w:t>
      </w:r>
      <w:r w:rsidRPr="00A618F9">
        <w:rPr>
          <w:rFonts w:eastAsia="Times New Roman" w:cs="Times New Roman"/>
          <w:b/>
          <w:bCs/>
          <w:noProof/>
        </w:rPr>
        <w:t>14</w:t>
      </w:r>
      <w:r w:rsidRPr="00A618F9">
        <w:rPr>
          <w:rFonts w:eastAsia="Times New Roman" w:cs="Times New Roman"/>
          <w:noProof/>
        </w:rPr>
        <w:t>: 470–86.</w:t>
      </w:r>
    </w:p>
    <w:p w14:paraId="10F30C57"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17</w:t>
      </w:r>
      <w:r w:rsidRPr="00A618F9">
        <w:rPr>
          <w:rFonts w:eastAsia="Times New Roman" w:cs="Times New Roman"/>
          <w:noProof/>
        </w:rPr>
        <w:tab/>
        <w:t xml:space="preserve">Pasetto D, Finger F, Rinaldo A, Bertuzzo E. Real-time projections of cholera outbreaks through data assimilation and rainfall forecasting. Adv. Water Resour. 2016; </w:t>
      </w:r>
      <w:r w:rsidRPr="00A618F9">
        <w:rPr>
          <w:rFonts w:eastAsia="Times New Roman" w:cs="Times New Roman"/>
          <w:b/>
          <w:bCs/>
          <w:noProof/>
        </w:rPr>
        <w:t>0</w:t>
      </w:r>
      <w:r w:rsidRPr="00A618F9">
        <w:rPr>
          <w:rFonts w:eastAsia="Times New Roman" w:cs="Times New Roman"/>
          <w:noProof/>
        </w:rPr>
        <w:t>: 1–12.</w:t>
      </w:r>
    </w:p>
    <w:p w14:paraId="572D1C61"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18</w:t>
      </w:r>
      <w:r w:rsidRPr="00A618F9">
        <w:rPr>
          <w:rFonts w:eastAsia="Times New Roman" w:cs="Times New Roman"/>
          <w:noProof/>
        </w:rPr>
        <w:tab/>
        <w:t xml:space="preserve">Yu W, Nakakita E, Jung K. Flood Forecast and Early Warning with High-Resolution Ensemble Rainfall from Numerical Weather Prediction Model. </w:t>
      </w:r>
      <w:r w:rsidRPr="00A618F9">
        <w:rPr>
          <w:rFonts w:eastAsia="Times New Roman" w:cs="Times New Roman"/>
          <w:i/>
          <w:iCs/>
          <w:noProof/>
        </w:rPr>
        <w:t>Procedia Eng</w:t>
      </w:r>
      <w:r w:rsidRPr="00A618F9">
        <w:rPr>
          <w:rFonts w:eastAsia="Times New Roman" w:cs="Times New Roman"/>
          <w:noProof/>
        </w:rPr>
        <w:t xml:space="preserve"> 2016; </w:t>
      </w:r>
      <w:r w:rsidRPr="00A618F9">
        <w:rPr>
          <w:rFonts w:eastAsia="Times New Roman" w:cs="Times New Roman"/>
          <w:b/>
          <w:bCs/>
          <w:noProof/>
        </w:rPr>
        <w:t>154</w:t>
      </w:r>
      <w:r w:rsidRPr="00A618F9">
        <w:rPr>
          <w:rFonts w:eastAsia="Times New Roman" w:cs="Times New Roman"/>
          <w:noProof/>
        </w:rPr>
        <w:t>: 498–503.</w:t>
      </w:r>
    </w:p>
    <w:p w14:paraId="78A6869B"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19</w:t>
      </w:r>
      <w:r w:rsidRPr="00A618F9">
        <w:rPr>
          <w:rFonts w:eastAsia="Times New Roman" w:cs="Times New Roman"/>
          <w:noProof/>
        </w:rPr>
        <w:tab/>
        <w:t xml:space="preserve">Chen CF, Liu CM. The definition of urban stormwater tolerance threshold and its conceptual estimation: An example from Taiwan. </w:t>
      </w:r>
      <w:r w:rsidRPr="00A618F9">
        <w:rPr>
          <w:rFonts w:eastAsia="Times New Roman" w:cs="Times New Roman"/>
          <w:i/>
          <w:iCs/>
          <w:noProof/>
        </w:rPr>
        <w:t>Nat Hazards</w:t>
      </w:r>
      <w:r w:rsidRPr="00A618F9">
        <w:rPr>
          <w:rFonts w:eastAsia="Times New Roman" w:cs="Times New Roman"/>
          <w:noProof/>
        </w:rPr>
        <w:t xml:space="preserve"> 2014; </w:t>
      </w:r>
      <w:r w:rsidRPr="00A618F9">
        <w:rPr>
          <w:rFonts w:eastAsia="Times New Roman" w:cs="Times New Roman"/>
          <w:b/>
          <w:bCs/>
          <w:noProof/>
        </w:rPr>
        <w:t>73</w:t>
      </w:r>
      <w:r w:rsidRPr="00A618F9">
        <w:rPr>
          <w:rFonts w:eastAsia="Times New Roman" w:cs="Times New Roman"/>
          <w:noProof/>
        </w:rPr>
        <w:t>: 173–90.</w:t>
      </w:r>
    </w:p>
    <w:p w14:paraId="2786F28E"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20</w:t>
      </w:r>
      <w:r w:rsidRPr="00A618F9">
        <w:rPr>
          <w:rFonts w:eastAsia="Times New Roman" w:cs="Times New Roman"/>
          <w:noProof/>
        </w:rPr>
        <w:tab/>
        <w:t xml:space="preserve">Finlay SE, Moffat A, Gazzard R, Baker D, Murray V. Health impacts of wildfires. </w:t>
      </w:r>
      <w:r w:rsidRPr="00A618F9">
        <w:rPr>
          <w:rFonts w:eastAsia="Times New Roman" w:cs="Times New Roman"/>
          <w:i/>
          <w:iCs/>
          <w:noProof/>
        </w:rPr>
        <w:t>PLoS Curr</w:t>
      </w:r>
      <w:r w:rsidRPr="00A618F9">
        <w:rPr>
          <w:rFonts w:eastAsia="Times New Roman" w:cs="Times New Roman"/>
          <w:noProof/>
        </w:rPr>
        <w:t xml:space="preserve"> 2012; : 1–23.</w:t>
      </w:r>
    </w:p>
    <w:p w14:paraId="7F13EA01"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21</w:t>
      </w:r>
      <w:r w:rsidRPr="00A618F9">
        <w:rPr>
          <w:rFonts w:eastAsia="Times New Roman" w:cs="Times New Roman"/>
          <w:noProof/>
        </w:rPr>
        <w:tab/>
        <w:t xml:space="preserve">Hänninen OO, Salonen RO, Koistinen K, Lanki T, Barregard L, Jantunen M. Population exposure to fine particles and estimated excess mortality in Finland from an East European wildfire episode. </w:t>
      </w:r>
      <w:r w:rsidRPr="00A618F9">
        <w:rPr>
          <w:rFonts w:eastAsia="Times New Roman" w:cs="Times New Roman"/>
          <w:i/>
          <w:iCs/>
          <w:noProof/>
        </w:rPr>
        <w:t>J Expo Sci Environ Epidemiol</w:t>
      </w:r>
      <w:r w:rsidRPr="00A618F9">
        <w:rPr>
          <w:rFonts w:eastAsia="Times New Roman" w:cs="Times New Roman"/>
          <w:noProof/>
        </w:rPr>
        <w:t xml:space="preserve"> 2009; </w:t>
      </w:r>
      <w:r w:rsidRPr="00A618F9">
        <w:rPr>
          <w:rFonts w:eastAsia="Times New Roman" w:cs="Times New Roman"/>
          <w:b/>
          <w:bCs/>
          <w:noProof/>
        </w:rPr>
        <w:t>19</w:t>
      </w:r>
      <w:r w:rsidRPr="00A618F9">
        <w:rPr>
          <w:rFonts w:eastAsia="Times New Roman" w:cs="Times New Roman"/>
          <w:noProof/>
        </w:rPr>
        <w:t>: 414–22.</w:t>
      </w:r>
    </w:p>
    <w:p w14:paraId="3A051FF3"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22</w:t>
      </w:r>
      <w:r w:rsidRPr="00A618F9">
        <w:rPr>
          <w:rFonts w:eastAsia="Times New Roman" w:cs="Times New Roman"/>
          <w:noProof/>
        </w:rPr>
        <w:tab/>
        <w:t xml:space="preserve">Shustermann D, Kaplan JZ, Canabarro C. Immediate Health-Effects of an Urban Wildfire. </w:t>
      </w:r>
      <w:r w:rsidRPr="00A618F9">
        <w:rPr>
          <w:rFonts w:eastAsia="Times New Roman" w:cs="Times New Roman"/>
          <w:i/>
          <w:iCs/>
          <w:noProof/>
        </w:rPr>
        <w:t>West J Med</w:t>
      </w:r>
      <w:r w:rsidRPr="00A618F9">
        <w:rPr>
          <w:rFonts w:eastAsia="Times New Roman" w:cs="Times New Roman"/>
          <w:noProof/>
        </w:rPr>
        <w:t xml:space="preserve"> 1993; </w:t>
      </w:r>
      <w:r w:rsidRPr="00A618F9">
        <w:rPr>
          <w:rFonts w:eastAsia="Times New Roman" w:cs="Times New Roman"/>
          <w:b/>
          <w:bCs/>
          <w:noProof/>
        </w:rPr>
        <w:t>158</w:t>
      </w:r>
      <w:r w:rsidRPr="00A618F9">
        <w:rPr>
          <w:rFonts w:eastAsia="Times New Roman" w:cs="Times New Roman"/>
          <w:noProof/>
        </w:rPr>
        <w:t>: 133–8.</w:t>
      </w:r>
    </w:p>
    <w:p w14:paraId="71A78338"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23</w:t>
      </w:r>
      <w:r w:rsidRPr="00A618F9">
        <w:rPr>
          <w:rFonts w:eastAsia="Times New Roman" w:cs="Times New Roman"/>
          <w:noProof/>
        </w:rPr>
        <w:tab/>
        <w:t xml:space="preserve">Morgan G, Sheppeard V, Khalaj B, </w:t>
      </w:r>
      <w:r w:rsidRPr="00A618F9">
        <w:rPr>
          <w:rFonts w:eastAsia="Times New Roman" w:cs="Times New Roman"/>
          <w:i/>
          <w:iCs/>
          <w:noProof/>
        </w:rPr>
        <w:t>et al.</w:t>
      </w:r>
      <w:r w:rsidRPr="00A618F9">
        <w:rPr>
          <w:rFonts w:eastAsia="Times New Roman" w:cs="Times New Roman"/>
          <w:noProof/>
        </w:rPr>
        <w:t xml:space="preserve"> Effects of bushfire smoke on daily mortality and hospital admissions in Sydney, Australia. </w:t>
      </w:r>
      <w:r w:rsidRPr="00A618F9">
        <w:rPr>
          <w:rFonts w:eastAsia="Times New Roman" w:cs="Times New Roman"/>
          <w:i/>
          <w:iCs/>
          <w:noProof/>
        </w:rPr>
        <w:t>Epidemiology</w:t>
      </w:r>
      <w:r w:rsidRPr="00A618F9">
        <w:rPr>
          <w:rFonts w:eastAsia="Times New Roman" w:cs="Times New Roman"/>
          <w:noProof/>
        </w:rPr>
        <w:t xml:space="preserve"> 2010; </w:t>
      </w:r>
      <w:r w:rsidRPr="00A618F9">
        <w:rPr>
          <w:rFonts w:eastAsia="Times New Roman" w:cs="Times New Roman"/>
          <w:b/>
          <w:bCs/>
          <w:noProof/>
        </w:rPr>
        <w:t>21</w:t>
      </w:r>
      <w:r w:rsidRPr="00A618F9">
        <w:rPr>
          <w:rFonts w:eastAsia="Times New Roman" w:cs="Times New Roman"/>
          <w:noProof/>
        </w:rPr>
        <w:t>: 47–55.</w:t>
      </w:r>
    </w:p>
    <w:p w14:paraId="4261E24C"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24</w:t>
      </w:r>
      <w:r w:rsidRPr="00A618F9">
        <w:rPr>
          <w:rFonts w:eastAsia="Times New Roman" w:cs="Times New Roman"/>
          <w:noProof/>
        </w:rPr>
        <w:tab/>
        <w:t xml:space="preserve">Pope III CA, Burnett RT, Thun MJ, Calle EE, Krewski D, Thurston GD. Lung Cancer, Cardiopulmonary Mortality, and Long-term Exposure to Fine Particulate Air Pollution. </w:t>
      </w:r>
      <w:r w:rsidRPr="00A618F9">
        <w:rPr>
          <w:rFonts w:eastAsia="Times New Roman" w:cs="Times New Roman"/>
          <w:i/>
          <w:iCs/>
          <w:noProof/>
        </w:rPr>
        <w:t>J Am Med Assoc</w:t>
      </w:r>
      <w:r w:rsidRPr="00A618F9">
        <w:rPr>
          <w:rFonts w:eastAsia="Times New Roman" w:cs="Times New Roman"/>
          <w:noProof/>
        </w:rPr>
        <w:t xml:space="preserve"> 2002; </w:t>
      </w:r>
      <w:r w:rsidRPr="00A618F9">
        <w:rPr>
          <w:rFonts w:eastAsia="Times New Roman" w:cs="Times New Roman"/>
          <w:b/>
          <w:bCs/>
          <w:noProof/>
        </w:rPr>
        <w:t>287</w:t>
      </w:r>
      <w:r w:rsidRPr="00A618F9">
        <w:rPr>
          <w:rFonts w:eastAsia="Times New Roman" w:cs="Times New Roman"/>
          <w:noProof/>
        </w:rPr>
        <w:t>: 1132–41.</w:t>
      </w:r>
    </w:p>
    <w:p w14:paraId="40334744"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25</w:t>
      </w:r>
      <w:r w:rsidRPr="00A618F9">
        <w:rPr>
          <w:rFonts w:eastAsia="Times New Roman" w:cs="Times New Roman"/>
          <w:noProof/>
        </w:rPr>
        <w:tab/>
        <w:t xml:space="preserve">Katsouyanni K, Touloumi G, Spix C, </w:t>
      </w:r>
      <w:r w:rsidRPr="00A618F9">
        <w:rPr>
          <w:rFonts w:eastAsia="Times New Roman" w:cs="Times New Roman"/>
          <w:i/>
          <w:iCs/>
          <w:noProof/>
        </w:rPr>
        <w:t>et al.</w:t>
      </w:r>
      <w:r w:rsidRPr="00A618F9">
        <w:rPr>
          <w:rFonts w:eastAsia="Times New Roman" w:cs="Times New Roman"/>
          <w:noProof/>
        </w:rPr>
        <w:t xml:space="preserve"> Short-term effects of ambient sulphur dioxide and particulate matter on mortality in 12 European cities: results from time series data from the APHEA project. Air Pollution and Health: a European Approach. </w:t>
      </w:r>
      <w:r w:rsidRPr="00A618F9">
        <w:rPr>
          <w:rFonts w:eastAsia="Times New Roman" w:cs="Times New Roman"/>
          <w:i/>
          <w:iCs/>
          <w:noProof/>
        </w:rPr>
        <w:t>BMJ</w:t>
      </w:r>
      <w:r w:rsidRPr="00A618F9">
        <w:rPr>
          <w:rFonts w:eastAsia="Times New Roman" w:cs="Times New Roman"/>
          <w:noProof/>
        </w:rPr>
        <w:t xml:space="preserve"> 1997; </w:t>
      </w:r>
      <w:r w:rsidRPr="00A618F9">
        <w:rPr>
          <w:rFonts w:eastAsia="Times New Roman" w:cs="Times New Roman"/>
          <w:b/>
          <w:bCs/>
          <w:noProof/>
        </w:rPr>
        <w:t>314</w:t>
      </w:r>
      <w:r w:rsidRPr="00A618F9">
        <w:rPr>
          <w:rFonts w:eastAsia="Times New Roman" w:cs="Times New Roman"/>
          <w:noProof/>
        </w:rPr>
        <w:t>: 1658–63.</w:t>
      </w:r>
    </w:p>
    <w:p w14:paraId="0A41C463"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26</w:t>
      </w:r>
      <w:r w:rsidRPr="00A618F9">
        <w:rPr>
          <w:rFonts w:eastAsia="Times New Roman" w:cs="Times New Roman"/>
          <w:noProof/>
        </w:rPr>
        <w:tab/>
        <w:t>American Psychological Association. Recovering From Wildfires. 2011. http://www.apa.org/helpcenter/wildfire.aspx.</w:t>
      </w:r>
    </w:p>
    <w:p w14:paraId="1817C4C9" w14:textId="77777777" w:rsidR="00FF69F5" w:rsidRPr="00A618F9" w:rsidRDefault="00FF69F5" w:rsidP="00FF69F5">
      <w:pPr>
        <w:widowControl w:val="0"/>
        <w:autoSpaceDE w:val="0"/>
        <w:autoSpaceDN w:val="0"/>
        <w:adjustRightInd w:val="0"/>
        <w:ind w:left="640" w:hanging="640"/>
        <w:rPr>
          <w:rFonts w:eastAsia="Times New Roman" w:cs="Times New Roman"/>
          <w:noProof/>
        </w:rPr>
      </w:pPr>
      <w:r w:rsidRPr="00A618F9">
        <w:rPr>
          <w:rFonts w:eastAsia="Times New Roman" w:cs="Times New Roman"/>
          <w:noProof/>
        </w:rPr>
        <w:t>27</w:t>
      </w:r>
      <w:r w:rsidRPr="00A618F9">
        <w:rPr>
          <w:rFonts w:eastAsia="Times New Roman" w:cs="Times New Roman"/>
          <w:noProof/>
        </w:rPr>
        <w:tab/>
        <w:t xml:space="preserve">Wittig V, Williams S, DuTeaux SB. Public Health Impacts of Residential Wildfires: Analysis of Ash and Debris from the 2007 Southern California Fires. </w:t>
      </w:r>
      <w:r w:rsidRPr="00A618F9">
        <w:rPr>
          <w:rFonts w:eastAsia="Times New Roman" w:cs="Times New Roman"/>
          <w:i/>
          <w:iCs/>
          <w:noProof/>
        </w:rPr>
        <w:t>Epidemiology</w:t>
      </w:r>
      <w:r w:rsidRPr="00A618F9">
        <w:rPr>
          <w:rFonts w:eastAsia="Times New Roman" w:cs="Times New Roman"/>
          <w:noProof/>
        </w:rPr>
        <w:t xml:space="preserve"> 2008; </w:t>
      </w:r>
      <w:r w:rsidRPr="00A618F9">
        <w:rPr>
          <w:rFonts w:eastAsia="Times New Roman" w:cs="Times New Roman"/>
          <w:b/>
          <w:bCs/>
          <w:noProof/>
        </w:rPr>
        <w:t>19</w:t>
      </w:r>
      <w:r w:rsidRPr="00A618F9">
        <w:rPr>
          <w:rFonts w:eastAsia="Times New Roman" w:cs="Times New Roman"/>
          <w:noProof/>
        </w:rPr>
        <w:t>: S207.</w:t>
      </w:r>
    </w:p>
    <w:p w14:paraId="62E51D0C" w14:textId="77777777" w:rsidR="00FF69F5" w:rsidRPr="00A618F9" w:rsidRDefault="00FF69F5" w:rsidP="00FF69F5">
      <w:pPr>
        <w:widowControl w:val="0"/>
        <w:autoSpaceDE w:val="0"/>
        <w:autoSpaceDN w:val="0"/>
        <w:adjustRightInd w:val="0"/>
        <w:ind w:left="640" w:hanging="640"/>
        <w:rPr>
          <w:noProof/>
        </w:rPr>
      </w:pPr>
      <w:r w:rsidRPr="00A618F9">
        <w:rPr>
          <w:rFonts w:eastAsia="Times New Roman" w:cs="Times New Roman"/>
          <w:noProof/>
        </w:rPr>
        <w:t>28</w:t>
      </w:r>
      <w:r w:rsidRPr="00A618F9">
        <w:rPr>
          <w:rFonts w:eastAsia="Times New Roman" w:cs="Times New Roman"/>
          <w:noProof/>
        </w:rPr>
        <w:tab/>
        <w:t xml:space="preserve">Goldman A, Eggen B, Golding B, Murray V. The health impacts of windstorms: A systematic literature review. </w:t>
      </w:r>
      <w:r w:rsidRPr="00A618F9">
        <w:rPr>
          <w:rFonts w:eastAsia="Times New Roman" w:cs="Times New Roman"/>
          <w:i/>
          <w:iCs/>
          <w:noProof/>
        </w:rPr>
        <w:t>Public Health</w:t>
      </w:r>
      <w:r w:rsidRPr="00A618F9">
        <w:rPr>
          <w:rFonts w:eastAsia="Times New Roman" w:cs="Times New Roman"/>
          <w:noProof/>
        </w:rPr>
        <w:t xml:space="preserve"> 2014; </w:t>
      </w:r>
      <w:r w:rsidRPr="00A618F9">
        <w:rPr>
          <w:rFonts w:eastAsia="Times New Roman" w:cs="Times New Roman"/>
          <w:b/>
          <w:bCs/>
          <w:noProof/>
        </w:rPr>
        <w:t>128</w:t>
      </w:r>
      <w:r w:rsidRPr="00A618F9">
        <w:rPr>
          <w:rFonts w:eastAsia="Times New Roman" w:cs="Times New Roman"/>
          <w:noProof/>
        </w:rPr>
        <w:t>: 3–28.</w:t>
      </w:r>
    </w:p>
    <w:p w14:paraId="0A9840E3" w14:textId="77777777" w:rsidR="00FF69F5" w:rsidRPr="00A618F9" w:rsidRDefault="00FF69F5" w:rsidP="00FF69F5">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7"/>
    <w:rsid w:val="0000461D"/>
    <w:rsid w:val="000157FF"/>
    <w:rsid w:val="0003657E"/>
    <w:rsid w:val="00036FFA"/>
    <w:rsid w:val="00042A07"/>
    <w:rsid w:val="00052A40"/>
    <w:rsid w:val="000544A3"/>
    <w:rsid w:val="00065EAB"/>
    <w:rsid w:val="00066C53"/>
    <w:rsid w:val="000818E6"/>
    <w:rsid w:val="0008315C"/>
    <w:rsid w:val="000870BD"/>
    <w:rsid w:val="000B0D4A"/>
    <w:rsid w:val="000B6495"/>
    <w:rsid w:val="000B68BB"/>
    <w:rsid w:val="000B7625"/>
    <w:rsid w:val="000C7277"/>
    <w:rsid w:val="000E37D7"/>
    <w:rsid w:val="00132C6C"/>
    <w:rsid w:val="00156FC7"/>
    <w:rsid w:val="00161E98"/>
    <w:rsid w:val="00167BD7"/>
    <w:rsid w:val="00176AB2"/>
    <w:rsid w:val="00183ED4"/>
    <w:rsid w:val="00187BD2"/>
    <w:rsid w:val="001928EC"/>
    <w:rsid w:val="001A1F00"/>
    <w:rsid w:val="001A39E7"/>
    <w:rsid w:val="001B0EFF"/>
    <w:rsid w:val="001B23D1"/>
    <w:rsid w:val="001C613C"/>
    <w:rsid w:val="001C7AF2"/>
    <w:rsid w:val="001E4959"/>
    <w:rsid w:val="001F0FFF"/>
    <w:rsid w:val="001F3B4E"/>
    <w:rsid w:val="001F7D80"/>
    <w:rsid w:val="00207B1C"/>
    <w:rsid w:val="00220C4B"/>
    <w:rsid w:val="00221B31"/>
    <w:rsid w:val="002231AC"/>
    <w:rsid w:val="0026033D"/>
    <w:rsid w:val="00260B02"/>
    <w:rsid w:val="00290C5B"/>
    <w:rsid w:val="00296A5E"/>
    <w:rsid w:val="002B1609"/>
    <w:rsid w:val="002E7E6D"/>
    <w:rsid w:val="002F4DC5"/>
    <w:rsid w:val="00306685"/>
    <w:rsid w:val="003118C2"/>
    <w:rsid w:val="003516D2"/>
    <w:rsid w:val="00353192"/>
    <w:rsid w:val="003673C8"/>
    <w:rsid w:val="00375AEE"/>
    <w:rsid w:val="00376B34"/>
    <w:rsid w:val="00392122"/>
    <w:rsid w:val="0039751B"/>
    <w:rsid w:val="003A3266"/>
    <w:rsid w:val="003A3A3F"/>
    <w:rsid w:val="003C153C"/>
    <w:rsid w:val="003E4C9F"/>
    <w:rsid w:val="003F22B3"/>
    <w:rsid w:val="004018CB"/>
    <w:rsid w:val="004022B7"/>
    <w:rsid w:val="00402D6F"/>
    <w:rsid w:val="004060EF"/>
    <w:rsid w:val="00433EDB"/>
    <w:rsid w:val="00437E72"/>
    <w:rsid w:val="0047213D"/>
    <w:rsid w:val="00475C48"/>
    <w:rsid w:val="00480ACC"/>
    <w:rsid w:val="004A5369"/>
    <w:rsid w:val="004C140E"/>
    <w:rsid w:val="004C3449"/>
    <w:rsid w:val="004D77E6"/>
    <w:rsid w:val="004E36B5"/>
    <w:rsid w:val="004E7B07"/>
    <w:rsid w:val="004F1615"/>
    <w:rsid w:val="004F404D"/>
    <w:rsid w:val="004F60F9"/>
    <w:rsid w:val="004F7FD8"/>
    <w:rsid w:val="005028B3"/>
    <w:rsid w:val="00506AF4"/>
    <w:rsid w:val="00511529"/>
    <w:rsid w:val="005130C5"/>
    <w:rsid w:val="00521A1A"/>
    <w:rsid w:val="005425A0"/>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8466F"/>
    <w:rsid w:val="006934E5"/>
    <w:rsid w:val="006A5B04"/>
    <w:rsid w:val="006C0D41"/>
    <w:rsid w:val="006C50E6"/>
    <w:rsid w:val="006F382C"/>
    <w:rsid w:val="00712E39"/>
    <w:rsid w:val="00714582"/>
    <w:rsid w:val="007219CD"/>
    <w:rsid w:val="007657EB"/>
    <w:rsid w:val="007679E4"/>
    <w:rsid w:val="00767DC4"/>
    <w:rsid w:val="00795E96"/>
    <w:rsid w:val="007A11B2"/>
    <w:rsid w:val="007B4B89"/>
    <w:rsid w:val="007B545A"/>
    <w:rsid w:val="007D543F"/>
    <w:rsid w:val="007E13E7"/>
    <w:rsid w:val="007E7DB0"/>
    <w:rsid w:val="007F2E1E"/>
    <w:rsid w:val="00800663"/>
    <w:rsid w:val="00811049"/>
    <w:rsid w:val="0081132E"/>
    <w:rsid w:val="00820BED"/>
    <w:rsid w:val="00834C11"/>
    <w:rsid w:val="008843EB"/>
    <w:rsid w:val="008A6465"/>
    <w:rsid w:val="008B7DDD"/>
    <w:rsid w:val="008C4931"/>
    <w:rsid w:val="008C4B74"/>
    <w:rsid w:val="008D151B"/>
    <w:rsid w:val="008E6C2E"/>
    <w:rsid w:val="008F0E09"/>
    <w:rsid w:val="008F16FF"/>
    <w:rsid w:val="00911EE8"/>
    <w:rsid w:val="009147E4"/>
    <w:rsid w:val="00932BD5"/>
    <w:rsid w:val="00937AF1"/>
    <w:rsid w:val="009451FC"/>
    <w:rsid w:val="00973231"/>
    <w:rsid w:val="00974800"/>
    <w:rsid w:val="0098603C"/>
    <w:rsid w:val="00986803"/>
    <w:rsid w:val="0099718B"/>
    <w:rsid w:val="009A475F"/>
    <w:rsid w:val="009A4D56"/>
    <w:rsid w:val="009B275D"/>
    <w:rsid w:val="009C2546"/>
    <w:rsid w:val="009C5745"/>
    <w:rsid w:val="009D5647"/>
    <w:rsid w:val="009E25B4"/>
    <w:rsid w:val="009E450A"/>
    <w:rsid w:val="00A10491"/>
    <w:rsid w:val="00A25BFD"/>
    <w:rsid w:val="00A55A47"/>
    <w:rsid w:val="00A618F9"/>
    <w:rsid w:val="00A718C6"/>
    <w:rsid w:val="00A85B7A"/>
    <w:rsid w:val="00A91607"/>
    <w:rsid w:val="00AA1780"/>
    <w:rsid w:val="00AC0B60"/>
    <w:rsid w:val="00AC36DC"/>
    <w:rsid w:val="00AC6A7C"/>
    <w:rsid w:val="00AD2DD2"/>
    <w:rsid w:val="00AF59A5"/>
    <w:rsid w:val="00AF69F6"/>
    <w:rsid w:val="00B00C64"/>
    <w:rsid w:val="00B118B2"/>
    <w:rsid w:val="00B234B5"/>
    <w:rsid w:val="00B30B0E"/>
    <w:rsid w:val="00B526C6"/>
    <w:rsid w:val="00B63936"/>
    <w:rsid w:val="00B63972"/>
    <w:rsid w:val="00B65BA0"/>
    <w:rsid w:val="00B70782"/>
    <w:rsid w:val="00B90CA4"/>
    <w:rsid w:val="00B91584"/>
    <w:rsid w:val="00B9471C"/>
    <w:rsid w:val="00BA1040"/>
    <w:rsid w:val="00BB1084"/>
    <w:rsid w:val="00BD7C9C"/>
    <w:rsid w:val="00BE5840"/>
    <w:rsid w:val="00BE7C5B"/>
    <w:rsid w:val="00C02149"/>
    <w:rsid w:val="00C25541"/>
    <w:rsid w:val="00C4447B"/>
    <w:rsid w:val="00C66CFD"/>
    <w:rsid w:val="00C77FA7"/>
    <w:rsid w:val="00CB4D6E"/>
    <w:rsid w:val="00CB62F6"/>
    <w:rsid w:val="00CE1DCB"/>
    <w:rsid w:val="00CE3E2E"/>
    <w:rsid w:val="00CF318B"/>
    <w:rsid w:val="00CF4741"/>
    <w:rsid w:val="00D00531"/>
    <w:rsid w:val="00D117B9"/>
    <w:rsid w:val="00D24809"/>
    <w:rsid w:val="00D24DC4"/>
    <w:rsid w:val="00D27415"/>
    <w:rsid w:val="00D349E0"/>
    <w:rsid w:val="00D435B3"/>
    <w:rsid w:val="00D5045D"/>
    <w:rsid w:val="00D56CDF"/>
    <w:rsid w:val="00D60B22"/>
    <w:rsid w:val="00D64CF4"/>
    <w:rsid w:val="00D7364D"/>
    <w:rsid w:val="00D75325"/>
    <w:rsid w:val="00D92672"/>
    <w:rsid w:val="00D92A88"/>
    <w:rsid w:val="00DA0FD4"/>
    <w:rsid w:val="00DC1680"/>
    <w:rsid w:val="00E27AF3"/>
    <w:rsid w:val="00E42E99"/>
    <w:rsid w:val="00E63B39"/>
    <w:rsid w:val="00E827DA"/>
    <w:rsid w:val="00E85B65"/>
    <w:rsid w:val="00EB23EC"/>
    <w:rsid w:val="00EB577D"/>
    <w:rsid w:val="00EB7434"/>
    <w:rsid w:val="00EC144A"/>
    <w:rsid w:val="00ED3EB5"/>
    <w:rsid w:val="00EE34B8"/>
    <w:rsid w:val="00EE3B93"/>
    <w:rsid w:val="00EF0DEC"/>
    <w:rsid w:val="00F01B41"/>
    <w:rsid w:val="00F04E4E"/>
    <w:rsid w:val="00F147B2"/>
    <w:rsid w:val="00F16BE0"/>
    <w:rsid w:val="00F22901"/>
    <w:rsid w:val="00F40035"/>
    <w:rsid w:val="00F43484"/>
    <w:rsid w:val="00F636D9"/>
    <w:rsid w:val="00F73CE1"/>
    <w:rsid w:val="00FA5FA5"/>
    <w:rsid w:val="00FB162A"/>
    <w:rsid w:val="00FB3A54"/>
    <w:rsid w:val="00FB6151"/>
    <w:rsid w:val="00FC0D6A"/>
    <w:rsid w:val="00FE5FE6"/>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oast.noaa.gov/floodexposure/" TargetMode="External"/><Relationship Id="rId7" Type="http://schemas.openxmlformats.org/officeDocument/2006/relationships/hyperlink" Target="http://ec.europa.eu/eurostat/data/databa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18817</Words>
  <Characters>107263</Characters>
  <Application>Microsoft Macintosh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40</cp:revision>
  <dcterms:created xsi:type="dcterms:W3CDTF">2017-08-08T12:04:00Z</dcterms:created>
  <dcterms:modified xsi:type="dcterms:W3CDTF">2017-08-08T13:17:00Z</dcterms:modified>
</cp:coreProperties>
</file>