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DA16A" w14:textId="473EAF63" w:rsidR="00433EDB" w:rsidRPr="00F718B5" w:rsidRDefault="003043B6" w:rsidP="00C543E7">
      <w:pPr>
        <w:jc w:val="center"/>
        <w:rPr>
          <w:b/>
        </w:rPr>
      </w:pPr>
      <w:r>
        <w:rPr>
          <w:b/>
        </w:rPr>
        <w:t>Exposure paper p</w:t>
      </w:r>
      <w:r w:rsidR="00F718B5" w:rsidRPr="00F718B5">
        <w:rPr>
          <w:b/>
        </w:rPr>
        <w:t>lan</w:t>
      </w:r>
    </w:p>
    <w:p w14:paraId="67E5E2D1" w14:textId="77777777" w:rsidR="00F718B5" w:rsidRDefault="00F718B5">
      <w:pPr>
        <w:rPr>
          <w:b/>
        </w:rPr>
      </w:pPr>
    </w:p>
    <w:p w14:paraId="742B95E0" w14:textId="7238A022" w:rsidR="005945A4" w:rsidRDefault="005945A4">
      <w:pPr>
        <w:rPr>
          <w:b/>
        </w:rPr>
      </w:pPr>
      <w:r>
        <w:rPr>
          <w:b/>
        </w:rPr>
        <w:t>Part 1</w:t>
      </w:r>
    </w:p>
    <w:p w14:paraId="4721AEB8" w14:textId="77777777" w:rsidR="005945A4" w:rsidRDefault="005945A4">
      <w:pPr>
        <w:rPr>
          <w:b/>
        </w:rPr>
      </w:pPr>
    </w:p>
    <w:p w14:paraId="45F35944" w14:textId="1F5A9EB1" w:rsidR="00F718B5" w:rsidRDefault="003C451D" w:rsidP="0051227E">
      <w:pPr>
        <w:pStyle w:val="ListParagraph"/>
        <w:numPr>
          <w:ilvl w:val="0"/>
          <w:numId w:val="1"/>
        </w:numPr>
      </w:pPr>
      <w:r>
        <w:t xml:space="preserve">Use climate models to </w:t>
      </w:r>
      <w:r w:rsidR="005759A5">
        <w:t xml:space="preserve">obtain future statistics for </w:t>
      </w:r>
      <w:r w:rsidR="00360A06">
        <w:t>EHEs based on HHAP definitions</w:t>
      </w:r>
    </w:p>
    <w:p w14:paraId="14C687F6" w14:textId="5E1E320D" w:rsidR="00360A06" w:rsidRDefault="008E570E" w:rsidP="0051227E">
      <w:pPr>
        <w:pStyle w:val="ListParagraph"/>
        <w:numPr>
          <w:ilvl w:val="0"/>
          <w:numId w:val="1"/>
        </w:numPr>
      </w:pPr>
      <w:r>
        <w:t>Use future populations projections for locations with HHAPs</w:t>
      </w:r>
      <w:r w:rsidR="00F47AEB">
        <w:t>, and some without also</w:t>
      </w:r>
    </w:p>
    <w:p w14:paraId="60CDAF6D" w14:textId="5AB3ABB4" w:rsidR="001E564C" w:rsidRDefault="001E564C" w:rsidP="001E564C">
      <w:pPr>
        <w:pStyle w:val="ListParagraph"/>
        <w:numPr>
          <w:ilvl w:val="0"/>
          <w:numId w:val="1"/>
        </w:numPr>
      </w:pPr>
      <w:r>
        <w:t>Calculate exposure in terms of</w:t>
      </w:r>
      <w:r w:rsidR="00D66759">
        <w:t xml:space="preserve"> person-days</w:t>
      </w:r>
    </w:p>
    <w:p w14:paraId="0701DD9F" w14:textId="6E4A0553" w:rsidR="005945A4" w:rsidRDefault="00D66759" w:rsidP="005945A4">
      <w:pPr>
        <w:pStyle w:val="ListParagraph"/>
        <w:numPr>
          <w:ilvl w:val="0"/>
          <w:numId w:val="1"/>
        </w:numPr>
      </w:pPr>
      <w:r>
        <w:t>Highlight vulnerable groups, e.g. young and old</w:t>
      </w:r>
      <w:r w:rsidR="005945A4">
        <w:t xml:space="preserve"> if possible with population projections</w:t>
      </w:r>
    </w:p>
    <w:p w14:paraId="0D2EC62F" w14:textId="7EDBE730" w:rsidR="005945A4" w:rsidRDefault="005945A4" w:rsidP="005945A4">
      <w:pPr>
        <w:rPr>
          <w:b/>
        </w:rPr>
      </w:pPr>
      <w:r>
        <w:br/>
      </w:r>
      <w:r>
        <w:rPr>
          <w:b/>
        </w:rPr>
        <w:t>Part 2</w:t>
      </w:r>
    </w:p>
    <w:p w14:paraId="3E02F09B" w14:textId="3A7C7BD1" w:rsidR="005945A4" w:rsidRDefault="005945A4" w:rsidP="009535FF">
      <w:pPr>
        <w:rPr>
          <w:b/>
        </w:rPr>
      </w:pPr>
    </w:p>
    <w:p w14:paraId="013C8B0B" w14:textId="14EB79F2" w:rsidR="009535FF" w:rsidRPr="007E75E0" w:rsidRDefault="007E75E0" w:rsidP="009535FF">
      <w:pPr>
        <w:pStyle w:val="ListParagraph"/>
        <w:numPr>
          <w:ilvl w:val="0"/>
          <w:numId w:val="1"/>
        </w:numPr>
        <w:rPr>
          <w:b/>
        </w:rPr>
      </w:pPr>
      <w:r>
        <w:t>Compare HHAPs with alternative methods in other papers/HHAPs</w:t>
      </w:r>
    </w:p>
    <w:p w14:paraId="6710E839" w14:textId="3DB80F37" w:rsidR="007E75E0" w:rsidRPr="009535FF" w:rsidRDefault="007E75E0" w:rsidP="009535FF">
      <w:pPr>
        <w:pStyle w:val="ListParagraph"/>
        <w:numPr>
          <w:ilvl w:val="0"/>
          <w:numId w:val="1"/>
        </w:numPr>
        <w:rPr>
          <w:b/>
        </w:rPr>
      </w:pPr>
      <w:r>
        <w:t xml:space="preserve">Quantitative measure of cost </w:t>
      </w:r>
      <w:r w:rsidR="007813F1">
        <w:t xml:space="preserve">from </w:t>
      </w:r>
    </w:p>
    <w:p w14:paraId="2F5BC2B9" w14:textId="77777777" w:rsidR="005945A4" w:rsidRPr="00F718B5" w:rsidRDefault="005945A4" w:rsidP="005945A4"/>
    <w:p w14:paraId="77BB7F24" w14:textId="77777777" w:rsidR="00F718B5" w:rsidRPr="00F718B5" w:rsidRDefault="00F718B5">
      <w:pPr>
        <w:rPr>
          <w:b/>
        </w:rPr>
      </w:pPr>
    </w:p>
    <w:p w14:paraId="6F09777E" w14:textId="260BEDD8" w:rsidR="00F718B5" w:rsidRPr="00F718B5" w:rsidRDefault="00F718B5">
      <w:pPr>
        <w:rPr>
          <w:b/>
        </w:rPr>
      </w:pPr>
      <w:r w:rsidRPr="00F718B5">
        <w:rPr>
          <w:b/>
        </w:rPr>
        <w:t>Abstract</w:t>
      </w:r>
    </w:p>
    <w:p w14:paraId="593A20DF" w14:textId="77777777" w:rsidR="00F718B5" w:rsidRDefault="00F718B5">
      <w:pPr>
        <w:rPr>
          <w:b/>
        </w:rPr>
      </w:pPr>
    </w:p>
    <w:p w14:paraId="56A39F2C" w14:textId="5B1AFC0F" w:rsidR="00F47AEB" w:rsidRDefault="00870509" w:rsidP="002C32C8">
      <w:pPr>
        <w:jc w:val="both"/>
      </w:pPr>
      <w:r>
        <w:t>Extreme Heat Events (EHEs) can cause a significant increase in morbidity and mortality in vulnerable populations.</w:t>
      </w:r>
      <w:r w:rsidR="005729B4">
        <w:fldChar w:fldCharType="begin" w:fldLock="1"/>
      </w:r>
      <w:r w:rsidR="008E4AA6">
        <w:instrText>ADDIN CSL_CITATION { "citationItems" : [ { "id" : "ITEM-1", "itemData" : { "DOI" : "10.1186/1476-069X-8-40", "ISBN" : "1476-069X", "ISSN" : "1476-069X", "PMID" : "19758453", "abstract" : "BACKGROUND: This review examines recent evidence on mortality from elevated ambient temperature for studies published from January 2001 to December 2008. 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 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 CONCLUSION: Many of these outcomes and vulnerable subgroups have only been identified in recent studies and varied by location and study population. Thus, region-specific policies, especially in urban areas, are vital to the mitigation of heat-related deaths.", "author" : [ { "dropping-particle" : "", "family" : "Basu", "given" : "Rupa", "non-dropping-particle" : "", "parse-names" : false, "suffix" : "" } ], "container-title" : "Environmental Health", "id" : "ITEM-1", "issue" : "1", "issued" : { "date-parts" : [ [ "2009" ] ] }, "page" : "40", "title" : "High ambient temperature and mortality: a review of epidemiologic studies from 2001 to 2008", "type" : "article-journal", "volume" : "8" }, "uris" : [ "http://www.mendeley.com/documents/?uuid=421348e3-9c5b-4a0a-8b9d-56fb708e348d" ] }, { "id" : "ITEM-2", "itemData" : { "DOI" : "10.1289/ehp.1003198", "ISSN" : "1552-9924", "PMID" : "21824855", "abstract" : "OBJECTIVE: In this paper, we review the epidemiological evidence on the relationship between ambient temperature and morbidity. We assessed the methodological issues in previous studies and proposed future research directions.\\n\\nDATA SOURCES AND DATA EXTRACTION: We searched the PubMed database for epidemiological studies on ambient temperature and morbidity of noncommunicable diseases published in refereed English journals before 30 June 2010. Forty relevant studies were identified. Of these, 24 examined the relationship between ambient temperature and morbidity, 15 investigated the short-term effects of heat wave on morbidity, and 1 assessed both temperature and heat wave effects.\\n\\nDATA SYNTHESIS: Descriptive and time-series studies were the two main research designs used to investigate the temperature-morbidity relationship. Measurements of temperature exposure and health outcomes used in these studies differed widely. The majority of studies reported a significant relationship between ambient temperature and total or cause-specific morbidities. However, there were some inconsistencies in the direction and magnitude of nonlinear lag effects. The lag effect of hot temperature on morbidity was shorter (several days) compared with that of cold temperature (up to a few weeks). The temperature-morbidity relationship may be confounded or modified by sociodemographic factors and air pollution.\\n\\nCONCLUSIONS: There is a significant short-term effect of ambient temperature on total and cause-specific morbidities. However, further research is needed to determine an appropriate temperature measure, consider a diverse range of morbidities, and to use consistent methodology to make different studies more comparable.", "author" : [ { "dropping-particle" : "", "family" : "Ye", "given" : "Xiaofang", "non-dropping-particle" : "", "parse-names" : false, "suffix" : "" }, { "dropping-particle" : "", "family" : "Wolff", "given" : "Rodney", "non-dropping-particle" : "", "parse-names" : false, "suffix" : "" }, { "dropping-particle" : "", "family" : "Yu", "given" : "Weiwei", "non-dropping-particle" : "", "parse-names" : false, "suffix" : "" }, { "dropping-particle" : "", "family" : "Vaneckova", "given" : "Pavla", "non-dropping-particle" : "", "parse-names" : false, "suffix" : "" }, { "dropping-particle" : "", "family" : "Pan", "given" : "Xiaochuan", "non-dropping-particle" : "", "parse-names" : false, "suffix" : "" }, { "dropping-particle" : "", "family" : "Tong", "given" : "Shilu", "non-dropping-particle" : "", "parse-names" : false, "suffix" : "" } ], "container-title" : "Environmental health perspectives", "id" : "ITEM-2", "issue" : "1", "issued" : { "date-parts" : [ [ "2012" ] ] }, "page" : "19-28", "title" : "Ambient temperature and morbidity: a review of epidemiological evidence.", "type" : "article-journal", "volume" : "120" }, "uris" : [ "http://www.mendeley.com/documents/?uuid=6b3bd029-0525-40b3-b338-f61a17bc6b43" ] } ], "mendeley" : { "formattedCitation" : "&lt;sup&gt;1,2&lt;/sup&gt;", "plainTextFormattedCitation" : "1,2", "previouslyFormattedCitation" : "&lt;sup&gt;1,2&lt;/sup&gt;" }, "properties" : { "noteIndex" : 0 }, "schema" : "https://github.com/citation-style-language/schema/raw/master/csl-citation.json" }</w:instrText>
      </w:r>
      <w:r w:rsidR="005729B4">
        <w:fldChar w:fldCharType="separate"/>
      </w:r>
      <w:r w:rsidR="00D032F7" w:rsidRPr="00D032F7">
        <w:rPr>
          <w:noProof/>
          <w:vertAlign w:val="superscript"/>
        </w:rPr>
        <w:t>1,2</w:t>
      </w:r>
      <w:r w:rsidR="005729B4">
        <w:fldChar w:fldCharType="end"/>
      </w:r>
      <w:r w:rsidR="005729B4">
        <w:t xml:space="preserve"> </w:t>
      </w:r>
      <w:r>
        <w:t xml:space="preserve">In response, many local and national administrations have developed </w:t>
      </w:r>
      <w:r w:rsidR="0012444D">
        <w:t>their own</w:t>
      </w:r>
      <w:r>
        <w:t xml:space="preserve"> </w:t>
      </w:r>
      <w:r w:rsidR="0073173F">
        <w:t xml:space="preserve">Heat Health Warning Systems (HHWSs), triggering </w:t>
      </w:r>
      <w:r w:rsidR="00430834">
        <w:t xml:space="preserve">complementary </w:t>
      </w:r>
      <w:r w:rsidR="000E154F">
        <w:t>Heat Health</w:t>
      </w:r>
      <w:r>
        <w:t xml:space="preserve"> Action Plans (HHAPs)</w:t>
      </w:r>
      <w:r w:rsidR="00195B94">
        <w:t xml:space="preserve">, designed to minimise </w:t>
      </w:r>
      <w:r w:rsidR="00B106AC">
        <w:t xml:space="preserve">extreme heat </w:t>
      </w:r>
      <w:r w:rsidR="00195B94">
        <w:t xml:space="preserve">exposure of </w:t>
      </w:r>
      <w:r w:rsidR="00A14FA4">
        <w:t>the most vulnerable</w:t>
      </w:r>
      <w:r w:rsidR="005922C7">
        <w:t>.</w:t>
      </w:r>
      <w:r w:rsidR="007564AF">
        <w:fldChar w:fldCharType="begin" w:fldLock="1"/>
      </w:r>
      <w:r w:rsidR="00CA052B">
        <w:instrText>ADDIN CSL_CITATION { "citationItems" : [ { "id" : "ITEM-1", "itemData" : { "DOI" : "10.3390/ijerph8124623", "ISBN" : "1661-7827", "ISSN" : "16604601", "PMID" : "22408593", "abstract" : "INTRODUCTION: With climate change, there has been an increase in the frequency, intensity and duration of heatwave events. In response to the devastating mortality and morbidity of recent heatwave events, many countries have introduced heatwave early warning systems (HEWS). HEWS are designed to reduce the avoidable human health consequences of heatwaves through timely notification of prevention measures to vulnerable populations.\\n\\nOBJECTIVE: To identify the key characteristics of HEWS in European countries to help inform modification of current, and development of, new systems and plans.\\n\\nMETHODS: We searched the internet to identify HEWS policy or government documents for 33 European countries and requested information from relevant organizations. We translated the HEWS documents and extracted details on the trigger indicators, thresholds for action, notification strategies, message intermediaries, communication and dissemination strategies, prevention strategies recommended and specified target audiences.\\n\\nFINDINGS AND CONCLUSIONS: Twelve European countries have HEWS. Although there are many similarities among the HEWS, there also are differences in key characteristics that could inform improvements in heatwave early warning plans.", "author" : [ { "dropping-particle" : "", "family" : "Lowe", "given" : "Dianne", "non-dropping-particle" : "", "parse-names" : false, "suffix" : "" }, { "dropping-particle" : "", "family" : "Ebi", "given" : "Kristie L.", "non-dropping-particle" : "", "parse-names" : false, "suffix" : "" }, { "dropping-particle" : "", "family" : "Forsberg", "given" : "Bertil", "non-dropping-particle" : "", "parse-names" : false, "suffix" : "" } ], "container-title" : "International Journal of Environmental Research and Public Health", "id" : "ITEM-1", "issue" : "12", "issued" : { "date-parts" : [ [ "2011" ] ] }, "page" : "4623-4648", "title" : "Heatwave early warning systems and adaptation advice to reduce human health consequences of heatwaves", "type" : "article-journal", "volume" : "8" }, "uris" : [ "http://www.mendeley.com/documents/?uuid=b2afd8b2-7c75-4ec2-b459-99fb371e5965" ] }, { "id" : "ITEM-2", "itemData" : { "DOI" : "10.3390/ijerph13020206", "ISBN" : "10.3390/ijerph13020206", "ISSN" : "16604601", "PMID" : "26861369", "abstract" : "Heat waves have been responsible for more fatalities in Europe over the past decades than any other extreme weather event. However, temperature-related illnesses and deaths are largely preventable. Reliable sub-seasonal-to-seasonal (S2S) climate forecasts of extreme temperatures could allow for better short-to-medium-term resource management within heat-health action plans, to protect vulnerable populations and ensure access to preventive measures well in advance. The objective of this study is to assess the extent to which S2S climate forecasts could be incorporated into heat-health action plans, to support timely public health decision-making ahead of imminent heat wave events in Europe. Forecasts of apparent temperature at different lead times (e.g., 1 day, 4 days, 8 days, up to 3 months) were used in a mortality model to produce probabilistic mortality forecasts up to several months ahead of the 2003 heat wave event in Europe. Results were compared to mortality predictions, inferred using observed apparent temperature data in the mortality model. In general, we found a decreasing transition in skill between excellent predictions when using observed temperature, to predictions with no skill when using forecast temperature with lead times greater than one week. However, even at lead-times up to three months, there were some regions in Spain and the United Kingdom where excess mortality was detected with some certainty. This suggests that in some areas of Europe, there is potential for S2S climate forecasts to be incorporated in localised heat-health action plans. In general, these results show that the performance of this climate service framework is not limited by the mortality model itself, but rather by the predictability of the climate variables, at S2S time scales, over Europe.", "author" : [ { "dropping-particle" : "", "family" : "Lowe", "given" : "Rachel", "non-dropping-particle" : "", "parse-names" : false, "suffix" : "" }, { "dropping-particle" : "", "family" : "Garc\u00eda-D\u00edez", "given" : "Markel", "non-dropping-particle" : "", "parse-names" : false, "suffix" : "" }, { "dropping-particle" : "", "family" : "Ballester", "given" : "Joan", "non-dropping-particle" : "", "parse-names" : false, "suffix" : "" }, { "dropping-particle" : "", "family" : "Creswick", "given" : "James", "non-dropping-particle" : "", "parse-names" : false, "suffix" : "" }, { "dropping-particle" : "", "family" : "Robine", "given" : "Jean Marie", "non-dropping-particle" : "", "parse-names" : false, "suffix" : "" }, { "dropping-particle" : "", "family" : "Herrmann", "given" : "Fran\u00e7ois R.", "non-dropping-particle" : "", "parse-names" : false, "suffix" : "" }, { "dropping-particle" : "", "family" : "Rod\u00f3", "given" : "Xavier", "non-dropping-particle" : "", "parse-names" : false, "suffix" : "" } ], "container-title" : "International Journal of Environmental Research and Public Health", "id" : "ITEM-2", "issue" : "2", "issued" : { "date-parts" : [ [ "2016" ] ] }, "title" : "Evaluation of an early-warning system for heat wave-related mortality in Europe: Implications for sub-seasonal to seasonal forecasting and climate services", "type" : "article-journal", "volume" : "13" }, "uris" : [ "http://www.mendeley.com/documents/?uuid=7a393bcf-8dc4-4fba-a81c-991113b2c1fa" ] } ], "mendeley" : { "formattedCitation" : "&lt;sup&gt;3,4&lt;/sup&gt;", "plainTextFormattedCitation" : "3,4", "previouslyFormattedCitation" : "&lt;sup&gt;3,4&lt;/sup&gt;" }, "properties" : { "noteIndex" : 0 }, "schema" : "https://github.com/citation-style-language/schema/raw/master/csl-citation.json" }</w:instrText>
      </w:r>
      <w:r w:rsidR="007564AF">
        <w:fldChar w:fldCharType="separate"/>
      </w:r>
      <w:r w:rsidR="007564AF" w:rsidRPr="007564AF">
        <w:rPr>
          <w:noProof/>
          <w:vertAlign w:val="superscript"/>
        </w:rPr>
        <w:t>3,4</w:t>
      </w:r>
      <w:r w:rsidR="007564AF">
        <w:fldChar w:fldCharType="end"/>
      </w:r>
    </w:p>
    <w:p w14:paraId="14230ACD" w14:textId="77777777" w:rsidR="00A62542" w:rsidRDefault="00A62542" w:rsidP="002C32C8">
      <w:pPr>
        <w:jc w:val="both"/>
      </w:pPr>
    </w:p>
    <w:p w14:paraId="1D909742" w14:textId="6FDBFAEA" w:rsidR="00E628EF" w:rsidRDefault="00A62542" w:rsidP="002C32C8">
      <w:pPr>
        <w:jc w:val="both"/>
      </w:pPr>
      <w:r>
        <w:t xml:space="preserve">EHEs, </w:t>
      </w:r>
      <w:r w:rsidR="003A391F">
        <w:t>although measured with several diff</w:t>
      </w:r>
      <w:r w:rsidR="00235E78">
        <w:t>erent metrics and thresholds</w:t>
      </w:r>
      <w:r>
        <w:t>, are expected to increase in frequency</w:t>
      </w:r>
      <w:r w:rsidR="00235E78">
        <w:t xml:space="preserve"> and duration under all viable future climate change scenarios.</w:t>
      </w:r>
      <w:r w:rsidR="00CA052B">
        <w:fldChar w:fldCharType="begin" w:fldLock="1"/>
      </w:r>
      <w:r w:rsidR="000F3A6A">
        <w:instrText>ADDIN CSL_CITATION { "citationItems" : [ { "id" : "ITEM-1",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"CEUR Workshop Proceedings", "id" : "ITEM-1", "issued" : { "date-parts" : [ [ "2015" ] ] }, "page" : "33-36", "title" : "Summary for Policymakers. In: Climate Change 2013: The Physical Science Basis. Contribution of Working Group I to the Fifth Assessment Report of the Intergovernmental Panel on Climate Change", "type" : "article-journal", "volume" : "1542" }, "uris" : [ "http://www.mendeley.com/documents/?uuid=df62b8c0-e806-4b2c-943c-a8b841d628ac" ] } ], "mendeley" : { "formattedCitation" : "&lt;sup&gt;5&lt;/sup&gt;", "plainTextFormattedCitation" : "5", "previouslyFormattedCitation" : "&lt;sup&gt;5&lt;/sup&gt;" }, "properties" : { "noteIndex" : 0 }, "schema" : "https://github.com/citation-style-language/schema/raw/master/csl-citation.json" }</w:instrText>
      </w:r>
      <w:r w:rsidR="00CA052B">
        <w:fldChar w:fldCharType="separate"/>
      </w:r>
      <w:r w:rsidR="00CA052B" w:rsidRPr="00CA052B">
        <w:rPr>
          <w:noProof/>
          <w:vertAlign w:val="superscript"/>
        </w:rPr>
        <w:t>5</w:t>
      </w:r>
      <w:r w:rsidR="00CA052B">
        <w:fldChar w:fldCharType="end"/>
      </w:r>
      <w:r w:rsidR="0073173F">
        <w:t xml:space="preserve"> This casts a special focus on how the HHAPs are</w:t>
      </w:r>
      <w:r w:rsidR="002C636B">
        <w:t xml:space="preserve"> designed and equipped to </w:t>
      </w:r>
      <w:r w:rsidR="00BB55F7">
        <w:t>handle</w:t>
      </w:r>
      <w:r w:rsidR="00541922">
        <w:t xml:space="preserve"> </w:t>
      </w:r>
      <w:r w:rsidR="00E628EF">
        <w:t>EHEs</w:t>
      </w:r>
      <w:r w:rsidR="00645F93">
        <w:t xml:space="preserve"> in the next century</w:t>
      </w:r>
      <w:r w:rsidR="00E628EF">
        <w:t>.</w:t>
      </w:r>
      <w:r w:rsidR="001C778E">
        <w:t xml:space="preserve"> </w:t>
      </w:r>
    </w:p>
    <w:p w14:paraId="6F9B7152" w14:textId="77777777" w:rsidR="00E628EF" w:rsidRDefault="00E628EF" w:rsidP="002C32C8">
      <w:pPr>
        <w:jc w:val="both"/>
      </w:pPr>
    </w:p>
    <w:p w14:paraId="1AD33ECE" w14:textId="77777777" w:rsidR="000C4ED8" w:rsidRDefault="001C778E" w:rsidP="002C32C8">
      <w:pPr>
        <w:jc w:val="both"/>
      </w:pPr>
      <w:r>
        <w:t>I</w:t>
      </w:r>
      <w:r w:rsidR="00805C1D">
        <w:t xml:space="preserve">t is </w:t>
      </w:r>
      <w:r>
        <w:t xml:space="preserve">thus </w:t>
      </w:r>
      <w:r w:rsidR="00805C1D">
        <w:t>incumbent on for those in the extreme heat research community to scrutinise these</w:t>
      </w:r>
      <w:r>
        <w:t xml:space="preserve"> tolerance level of HHWSs</w:t>
      </w:r>
      <w:r w:rsidR="00C96B61">
        <w:t xml:space="preserve">, and to understand how </w:t>
      </w:r>
      <w:r w:rsidR="00155080">
        <w:t xml:space="preserve">prepared </w:t>
      </w:r>
      <w:r w:rsidR="00645F93">
        <w:t>we are for</w:t>
      </w:r>
      <w:r w:rsidR="00155080">
        <w:t xml:space="preserve"> future</w:t>
      </w:r>
      <w:r w:rsidR="00645F93">
        <w:t xml:space="preserve"> EHEs</w:t>
      </w:r>
      <w:r>
        <w:t xml:space="preserve">. </w:t>
      </w:r>
      <w:r w:rsidR="00805C1D">
        <w:t>B</w:t>
      </w:r>
      <w:r w:rsidR="00E628EF">
        <w:t xml:space="preserve">ased on the stocktaking of </w:t>
      </w:r>
      <w:r w:rsidR="00595B6E">
        <w:t xml:space="preserve">HHWSs and </w:t>
      </w:r>
      <w:r w:rsidR="00E628EF">
        <w:t xml:space="preserve">HHAPs, </w:t>
      </w:r>
      <w:r w:rsidR="00D53DFD">
        <w:t>we will ‘stress-test’</w:t>
      </w:r>
      <w:r w:rsidR="00595B6E">
        <w:t xml:space="preserve"> a selection of </w:t>
      </w:r>
      <w:r>
        <w:t xml:space="preserve">plans. By using a combination of future global climate projections, </w:t>
      </w:r>
      <w:r w:rsidR="00F82E2F">
        <w:t xml:space="preserve">projected </w:t>
      </w:r>
      <w:r w:rsidR="00A82B05">
        <w:t xml:space="preserve">spatial distribution of </w:t>
      </w:r>
      <w:r w:rsidR="00F82E2F">
        <w:t xml:space="preserve">future </w:t>
      </w:r>
      <w:r w:rsidR="008A7646">
        <w:t>p</w:t>
      </w:r>
      <w:r w:rsidR="00A82B05">
        <w:t>opulation</w:t>
      </w:r>
      <w:r w:rsidR="008A7646">
        <w:t xml:space="preserve"> </w:t>
      </w:r>
      <w:r w:rsidR="00F82E2F">
        <w:t>changes, and thresholds explicit in HHWSs, we w</w:t>
      </w:r>
      <w:r w:rsidR="00661174">
        <w:t xml:space="preserve">ill </w:t>
      </w:r>
      <w:r w:rsidR="00410813">
        <w:t xml:space="preserve">assess the change in exposure of populations over a HHWS threshold in terms of person-days. </w:t>
      </w:r>
    </w:p>
    <w:p w14:paraId="3BB87E84" w14:textId="77777777" w:rsidR="000C4ED8" w:rsidRDefault="000C4ED8" w:rsidP="002C32C8">
      <w:pPr>
        <w:jc w:val="both"/>
      </w:pPr>
    </w:p>
    <w:p w14:paraId="1F621080" w14:textId="27C9BEF6" w:rsidR="00A62542" w:rsidRDefault="00410813" w:rsidP="002C32C8">
      <w:pPr>
        <w:jc w:val="both"/>
      </w:pPr>
      <w:r>
        <w:t>In thi</w:t>
      </w:r>
      <w:r w:rsidR="0044730F">
        <w:t xml:space="preserve">s way, we quantify </w:t>
      </w:r>
      <w:r w:rsidR="000D5F12">
        <w:t>how</w:t>
      </w:r>
      <w:r w:rsidR="000C4ED8">
        <w:t xml:space="preserve"> many warnings current HHWSs would issue in the future, and how </w:t>
      </w:r>
      <w:r w:rsidR="00CC0E84">
        <w:t>often</w:t>
      </w:r>
      <w:r w:rsidR="000C4ED8">
        <w:t xml:space="preserve"> current HHAPs will need </w:t>
      </w:r>
      <w:r w:rsidR="00CC0E84">
        <w:t>to active their plans</w:t>
      </w:r>
      <w:r w:rsidR="000C4ED8">
        <w:t xml:space="preserve">. This method could provide a good quantitative estimate </w:t>
      </w:r>
      <w:r w:rsidR="00CC0E84">
        <w:t xml:space="preserve">of the financial resources necessary </w:t>
      </w:r>
      <w:r w:rsidR="00F4610C">
        <w:t xml:space="preserve">to carry out HHAPs. This study could also </w:t>
      </w:r>
      <w:r w:rsidR="00E9130F">
        <w:t xml:space="preserve">help establish </w:t>
      </w:r>
      <w:r w:rsidR="008544E0">
        <w:t xml:space="preserve">whether </w:t>
      </w:r>
      <w:r w:rsidR="00E9130F">
        <w:t xml:space="preserve">respective HHWSs and HHAPs </w:t>
      </w:r>
      <w:r w:rsidR="008544E0">
        <w:t xml:space="preserve">are optimally-designed to tackle the challenges of climate change </w:t>
      </w:r>
      <w:r w:rsidR="00B14336">
        <w:t xml:space="preserve">in the years </w:t>
      </w:r>
      <w:r w:rsidR="008544E0">
        <w:t>ahead.</w:t>
      </w:r>
    </w:p>
    <w:p w14:paraId="624D48BB" w14:textId="77777777" w:rsidR="00CF5298" w:rsidRDefault="00CF5298" w:rsidP="002C32C8">
      <w:pPr>
        <w:jc w:val="both"/>
      </w:pPr>
    </w:p>
    <w:p w14:paraId="58FF7E00" w14:textId="77777777" w:rsidR="00293935" w:rsidRDefault="00CF5298" w:rsidP="002C32C8">
      <w:pPr>
        <w:jc w:val="both"/>
      </w:pPr>
      <w:r>
        <w:t xml:space="preserve">Other studies have also developed worldwide </w:t>
      </w:r>
      <w:r w:rsidR="002D73B9">
        <w:t xml:space="preserve">projections for numbers of extreme heat days </w:t>
      </w:r>
      <w:r w:rsidR="000F3A6A">
        <w:t xml:space="preserve">defined by a comfort index </w:t>
      </w:r>
      <w:r w:rsidR="002D73B9">
        <w:t>relative to the current baseline.</w:t>
      </w:r>
      <w:r w:rsidR="00C815B1">
        <w:fldChar w:fldCharType="begin" w:fldLock="1"/>
      </w:r>
      <w:r w:rsidR="00C815B1">
        <w:instrText>ADDIN CSL_CITATION { "citationItems" : [ { "id" : "ITEM-1", "itemData" : { "DOI" : "10.1038/nclimate3322", "ISSN" : "1758-678X", "abstract" : "1 2 One Sentence Summary: Climatic conditions capable of exceeding human thermoregulatory capacity currently 3 impact almost one third of the world's human population each year with their occurrence projected to increase in 4 step with CO 2 emissions and be aggravated in humid tropical areas. 24 25 Ongoing climate change can increase the direct risk to human life that occurs when climatic conditions 26 exceed human thermoregulatory capacity (1-6). Although there have been numerous reports of increased 27 mortality associated with extreme heat events (1-7), quantifying the global risk of heat-related mortality 28", "author" : [ { "dropping-particle" : "", "family" : "Mora", "given" : "Camilo", "non-dropping-particle" : "", "parse-names" : false, "suffix" : "" }, { "dropping-particle" : "", "family" : "Dousset", "given" : "B\u00e9n\u00e9dicte", "non-dropping-particle" : "", "parse-names" : false, "suffix" : "" }, { "dropping-particle" : "", "family" : "Caldwell", "given" : "Iain R", "non-dropping-particle" : "", "parse-names" : false, "suffix" : "" }, { "dropping-particle" : "", "family" : "Powell", "given" : "Farrah E", "non-dropping-particle" : "", "parse-names" : false, "suffix" : "" }, { "dropping-particle" : "", "family" : "Geronimo", "given" : "Rollan C", "non-dropping-particle" : "", "parse-names" : false, "suffix" : "" }, { "dropping-particle" : "", "family" : "Bielecki", "given" : "Coral R", "non-dropping-particle" : "", "parse-names" : false, "suffix" : "" }, { "dropping-particle" : "", "family" : "Counsell", "given" : "Chelsie W W", "non-dropping-particle" : "", "parse-names" : false, "suffix" : "" }, { "dropping-particle" : "", "family" : "Dietrich", "given" : "Bonnie S", "non-dropping-particle" : "", "parse-names" : false, "suffix" : "" }, { "dropping-particle" : "", "family" : "Johnston", "given" : "Emily T", "non-dropping-particle" : "", "parse-names" : false, "suffix" : "" }, { "dropping-particle" : "V", "family" : "Louis", "given" : "Leo", "non-dropping-particle" : "", "parse-names" : false, "suffix" : "" }, { "dropping-particle" : "", "family" : "Lucas", "given" : "Matthew P", "non-dropping-particle" : "", "parse-names" : false, "suffix" : "" }, { "dropping-particle" : "", "family" : "Mckenzie", "given" : "Marie M 8", "non-dropping-particle" : "", "parse-names" : false, "suffix" : "" }, { "dropping-particle" : "", "family" : "Shea", "given" : "Alessandra G", "non-dropping-particle" : "", "parse-names" : false, "suffix" : "" }, { "dropping-particle" : "", "family" : "Tseng", "given" : "Han", "non-dropping-particle" : "", "parse-names" : false, "suffix" : "" }, { "dropping-particle" : "", "family" : "Giambelluca", "given" : "Thomas W", "non-dropping-particle" : "", "parse-names" : false, "suffix" : "" }, { "dropping-particle" : "", "family" : "Leon", "given" : "Lisa R", "non-dropping-particle" : "", "parse-names" : false, "suffix" : "" }, { "dropping-particle" : "", "family" : "Hawkins", "given" : "Ed", "non-dropping-particle" : "", "parse-names" : false, "suffix" : "" }, { "dropping-particle" : "", "family" : "Trauernicht", "given" : "Clay 9", "non-dropping-particle" : "", "parse-names" : false, "suffix" : "" } ], "container-title" : "Nature Climate Change", "id" : "ITEM-1", "issue" : "June", "issued" : { "date-parts" : [ [ "2017" ] ] }, "title" : "Global risk of deadly heat", "type" : "article-journal" }, "uris" : [ "http://www.mendeley.com/documents/?uuid=cc9950c4-546d-4000-b252-d0f7f9df038f" ] }, { "id" : "ITEM-2",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"ITEM-2", "issue" : "7", "issued" : { "date-parts" : [ [ "2015" ] ] }, "page" : "652-655", "title" : "Future population exposure to US heat extremes", "type" : "article-journal", "volume" : "5" }, "uris" : [ "http://www.mendeley.com/documents/?uuid=b0844227-bb3b-4305-bfba-45a78fb79023" ] } ], "mendeley" : { "formattedCitation" : "&lt;sup&gt;6,7&lt;/sup&gt;", "plainTextFormattedCitation" : "6,7" }, "properties" : { "noteIndex" : 0 }, "schema" : "https://github.com/citation-style-language/schema/raw/master/csl-citation.json" }</w:instrText>
      </w:r>
      <w:r w:rsidR="00C815B1">
        <w:fldChar w:fldCharType="separate"/>
      </w:r>
      <w:r w:rsidR="00C815B1" w:rsidRPr="00C815B1">
        <w:rPr>
          <w:noProof/>
          <w:vertAlign w:val="superscript"/>
        </w:rPr>
        <w:t>6,7</w:t>
      </w:r>
      <w:r w:rsidR="00C815B1">
        <w:fldChar w:fldCharType="end"/>
      </w:r>
      <w:r w:rsidR="002D73B9">
        <w:t xml:space="preserve"> Using the results from these studies, it will also be possible </w:t>
      </w:r>
      <w:r w:rsidR="00703C47">
        <w:t xml:space="preserve">to compare the discrepancy of number of trigger days in </w:t>
      </w:r>
      <w:r w:rsidR="00C815B1">
        <w:t>HHWSs</w:t>
      </w:r>
      <w:r w:rsidR="00680D50">
        <w:t xml:space="preserve"> using an administration</w:t>
      </w:r>
      <w:r w:rsidR="00C815B1">
        <w:t>’</w:t>
      </w:r>
      <w:r w:rsidR="00680D50">
        <w:t>s own system</w:t>
      </w:r>
      <w:r w:rsidR="00C815B1">
        <w:t xml:space="preserve">. </w:t>
      </w:r>
    </w:p>
    <w:p w14:paraId="58D076BC" w14:textId="77777777" w:rsidR="00293935" w:rsidRDefault="00293935" w:rsidP="002C32C8">
      <w:pPr>
        <w:jc w:val="both"/>
      </w:pPr>
    </w:p>
    <w:p w14:paraId="6CAF9C1D" w14:textId="302CC653" w:rsidR="005729B4" w:rsidRDefault="00C815B1" w:rsidP="002C32C8">
      <w:pPr>
        <w:jc w:val="both"/>
      </w:pPr>
      <w:r>
        <w:lastRenderedPageBreak/>
        <w:t>We will scrutinize whether HHWSs are triggering the same days when compared to other studies, for both the present and under future climate change conditions. In this way, we will be able to provide a quantitative assessment of the suitab</w:t>
      </w:r>
      <w:r w:rsidR="00FB5645">
        <w:t>ility of a HHWS agains</w:t>
      </w:r>
      <w:r w:rsidR="00293935">
        <w:t xml:space="preserve">t architectures of other plans, and if they are </w:t>
      </w:r>
      <w:r w:rsidR="00BF0976">
        <w:t>underperforming, by how much both in the present and going into the future.</w:t>
      </w:r>
      <w:bookmarkStart w:id="0" w:name="_GoBack"/>
      <w:bookmarkEnd w:id="0"/>
    </w:p>
    <w:p w14:paraId="17A3580C" w14:textId="77777777" w:rsidR="003C1065" w:rsidRDefault="003C1065" w:rsidP="002C32C8">
      <w:pPr>
        <w:jc w:val="both"/>
        <w:rPr>
          <w:b/>
        </w:rPr>
      </w:pPr>
    </w:p>
    <w:p w14:paraId="4D8DD71F" w14:textId="77777777" w:rsidR="00B20F22" w:rsidRDefault="00B20F22" w:rsidP="002C32C8">
      <w:pPr>
        <w:jc w:val="both"/>
        <w:rPr>
          <w:b/>
        </w:rPr>
      </w:pPr>
    </w:p>
    <w:p w14:paraId="2804F215" w14:textId="35BE4963" w:rsidR="005729B4" w:rsidRPr="005729B4" w:rsidRDefault="005729B4" w:rsidP="002C32C8">
      <w:pPr>
        <w:jc w:val="both"/>
        <w:rPr>
          <w:b/>
        </w:rPr>
      </w:pPr>
      <w:r w:rsidRPr="005729B4">
        <w:rPr>
          <w:b/>
        </w:rPr>
        <w:t>References</w:t>
      </w:r>
    </w:p>
    <w:p w14:paraId="6FEAC414" w14:textId="4BDE4D35" w:rsidR="00C815B1" w:rsidRPr="00C815B1" w:rsidRDefault="005729B4" w:rsidP="00C815B1">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C815B1" w:rsidRPr="00C815B1">
        <w:rPr>
          <w:rFonts w:ascii="Calibri" w:eastAsia="Times New Roman" w:hAnsi="Calibri" w:cs="Times New Roman"/>
          <w:noProof/>
        </w:rPr>
        <w:t>1</w:t>
      </w:r>
      <w:r w:rsidR="00C815B1" w:rsidRPr="00C815B1">
        <w:rPr>
          <w:rFonts w:ascii="Calibri" w:eastAsia="Times New Roman" w:hAnsi="Calibri" w:cs="Times New Roman"/>
          <w:noProof/>
        </w:rPr>
        <w:tab/>
        <w:t xml:space="preserve">Basu R. High ambient temperature and mortality: a review of epidemiologic studies from 2001 to 2008. </w:t>
      </w:r>
      <w:r w:rsidR="00C815B1" w:rsidRPr="00C815B1">
        <w:rPr>
          <w:rFonts w:ascii="Calibri" w:eastAsia="Times New Roman" w:hAnsi="Calibri" w:cs="Times New Roman"/>
          <w:i/>
          <w:iCs/>
          <w:noProof/>
        </w:rPr>
        <w:t>Environ Heal</w:t>
      </w:r>
      <w:r w:rsidR="00C815B1" w:rsidRPr="00C815B1">
        <w:rPr>
          <w:rFonts w:ascii="Calibri" w:eastAsia="Times New Roman" w:hAnsi="Calibri" w:cs="Times New Roman"/>
          <w:noProof/>
        </w:rPr>
        <w:t xml:space="preserve"> 2009; </w:t>
      </w:r>
      <w:r w:rsidR="00C815B1" w:rsidRPr="00C815B1">
        <w:rPr>
          <w:rFonts w:ascii="Calibri" w:eastAsia="Times New Roman" w:hAnsi="Calibri" w:cs="Times New Roman"/>
          <w:b/>
          <w:bCs/>
          <w:noProof/>
        </w:rPr>
        <w:t>8</w:t>
      </w:r>
      <w:r w:rsidR="00C815B1" w:rsidRPr="00C815B1">
        <w:rPr>
          <w:rFonts w:ascii="Calibri" w:eastAsia="Times New Roman" w:hAnsi="Calibri" w:cs="Times New Roman"/>
          <w:noProof/>
        </w:rPr>
        <w:t>: 40.</w:t>
      </w:r>
    </w:p>
    <w:p w14:paraId="1C712FCD" w14:textId="77777777" w:rsidR="00C815B1" w:rsidRPr="00C815B1" w:rsidRDefault="00C815B1" w:rsidP="00C815B1">
      <w:pPr>
        <w:widowControl w:val="0"/>
        <w:autoSpaceDE w:val="0"/>
        <w:autoSpaceDN w:val="0"/>
        <w:adjustRightInd w:val="0"/>
        <w:ind w:left="640" w:hanging="640"/>
        <w:rPr>
          <w:rFonts w:ascii="Calibri" w:eastAsia="Times New Roman" w:hAnsi="Calibri" w:cs="Times New Roman"/>
          <w:noProof/>
        </w:rPr>
      </w:pPr>
      <w:r w:rsidRPr="00C815B1">
        <w:rPr>
          <w:rFonts w:ascii="Calibri" w:eastAsia="Times New Roman" w:hAnsi="Calibri" w:cs="Times New Roman"/>
          <w:noProof/>
        </w:rPr>
        <w:t>2</w:t>
      </w:r>
      <w:r w:rsidRPr="00C815B1">
        <w:rPr>
          <w:rFonts w:ascii="Calibri" w:eastAsia="Times New Roman" w:hAnsi="Calibri" w:cs="Times New Roman"/>
          <w:noProof/>
        </w:rPr>
        <w:tab/>
        <w:t xml:space="preserve">Ye X, Wolff R, Yu W, Vaneckova P, Pan X, Tong S. Ambient temperature and morbidity: a review of epidemiological evidence. </w:t>
      </w:r>
      <w:r w:rsidRPr="00C815B1">
        <w:rPr>
          <w:rFonts w:ascii="Calibri" w:eastAsia="Times New Roman" w:hAnsi="Calibri" w:cs="Times New Roman"/>
          <w:i/>
          <w:iCs/>
          <w:noProof/>
        </w:rPr>
        <w:t>Environ Health Perspect</w:t>
      </w:r>
      <w:r w:rsidRPr="00C815B1">
        <w:rPr>
          <w:rFonts w:ascii="Calibri" w:eastAsia="Times New Roman" w:hAnsi="Calibri" w:cs="Times New Roman"/>
          <w:noProof/>
        </w:rPr>
        <w:t xml:space="preserve"> 2012; </w:t>
      </w:r>
      <w:r w:rsidRPr="00C815B1">
        <w:rPr>
          <w:rFonts w:ascii="Calibri" w:eastAsia="Times New Roman" w:hAnsi="Calibri" w:cs="Times New Roman"/>
          <w:b/>
          <w:bCs/>
          <w:noProof/>
        </w:rPr>
        <w:t>120</w:t>
      </w:r>
      <w:r w:rsidRPr="00C815B1">
        <w:rPr>
          <w:rFonts w:ascii="Calibri" w:eastAsia="Times New Roman" w:hAnsi="Calibri" w:cs="Times New Roman"/>
          <w:noProof/>
        </w:rPr>
        <w:t>: 19–28.</w:t>
      </w:r>
    </w:p>
    <w:p w14:paraId="3D437AC1" w14:textId="77777777" w:rsidR="00C815B1" w:rsidRPr="00C815B1" w:rsidRDefault="00C815B1" w:rsidP="00C815B1">
      <w:pPr>
        <w:widowControl w:val="0"/>
        <w:autoSpaceDE w:val="0"/>
        <w:autoSpaceDN w:val="0"/>
        <w:adjustRightInd w:val="0"/>
        <w:ind w:left="640" w:hanging="640"/>
        <w:rPr>
          <w:rFonts w:ascii="Calibri" w:eastAsia="Times New Roman" w:hAnsi="Calibri" w:cs="Times New Roman"/>
          <w:noProof/>
        </w:rPr>
      </w:pPr>
      <w:r w:rsidRPr="00C815B1">
        <w:rPr>
          <w:rFonts w:ascii="Calibri" w:eastAsia="Times New Roman" w:hAnsi="Calibri" w:cs="Times New Roman"/>
          <w:noProof/>
        </w:rPr>
        <w:t>3</w:t>
      </w:r>
      <w:r w:rsidRPr="00C815B1">
        <w:rPr>
          <w:rFonts w:ascii="Calibri" w:eastAsia="Times New Roman" w:hAnsi="Calibri" w:cs="Times New Roman"/>
          <w:noProof/>
        </w:rPr>
        <w:tab/>
        <w:t xml:space="preserve">Lowe D, Ebi KL, Forsberg B. Heatwave early warning systems and adaptation advice to reduce human health consequences of heatwaves. </w:t>
      </w:r>
      <w:r w:rsidRPr="00C815B1">
        <w:rPr>
          <w:rFonts w:ascii="Calibri" w:eastAsia="Times New Roman" w:hAnsi="Calibri" w:cs="Times New Roman"/>
          <w:i/>
          <w:iCs/>
          <w:noProof/>
        </w:rPr>
        <w:t>Int J Environ Res Public Health</w:t>
      </w:r>
      <w:r w:rsidRPr="00C815B1">
        <w:rPr>
          <w:rFonts w:ascii="Calibri" w:eastAsia="Times New Roman" w:hAnsi="Calibri" w:cs="Times New Roman"/>
          <w:noProof/>
        </w:rPr>
        <w:t xml:space="preserve"> 2011; </w:t>
      </w:r>
      <w:r w:rsidRPr="00C815B1">
        <w:rPr>
          <w:rFonts w:ascii="Calibri" w:eastAsia="Times New Roman" w:hAnsi="Calibri" w:cs="Times New Roman"/>
          <w:b/>
          <w:bCs/>
          <w:noProof/>
        </w:rPr>
        <w:t>8</w:t>
      </w:r>
      <w:r w:rsidRPr="00C815B1">
        <w:rPr>
          <w:rFonts w:ascii="Calibri" w:eastAsia="Times New Roman" w:hAnsi="Calibri" w:cs="Times New Roman"/>
          <w:noProof/>
        </w:rPr>
        <w:t>: 4623–48.</w:t>
      </w:r>
    </w:p>
    <w:p w14:paraId="60C90931" w14:textId="77777777" w:rsidR="00C815B1" w:rsidRPr="00C815B1" w:rsidRDefault="00C815B1" w:rsidP="00C815B1">
      <w:pPr>
        <w:widowControl w:val="0"/>
        <w:autoSpaceDE w:val="0"/>
        <w:autoSpaceDN w:val="0"/>
        <w:adjustRightInd w:val="0"/>
        <w:ind w:left="640" w:hanging="640"/>
        <w:rPr>
          <w:rFonts w:ascii="Calibri" w:eastAsia="Times New Roman" w:hAnsi="Calibri" w:cs="Times New Roman"/>
          <w:noProof/>
        </w:rPr>
      </w:pPr>
      <w:r w:rsidRPr="00C815B1">
        <w:rPr>
          <w:rFonts w:ascii="Calibri" w:eastAsia="Times New Roman" w:hAnsi="Calibri" w:cs="Times New Roman"/>
          <w:noProof/>
        </w:rPr>
        <w:t>4</w:t>
      </w:r>
      <w:r w:rsidRPr="00C815B1">
        <w:rPr>
          <w:rFonts w:ascii="Calibri" w:eastAsia="Times New Roman" w:hAnsi="Calibri" w:cs="Times New Roman"/>
          <w:noProof/>
        </w:rPr>
        <w:tab/>
        <w:t xml:space="preserve">Lowe R, García-Díez M, Ballester J, </w:t>
      </w:r>
      <w:r w:rsidRPr="00C815B1">
        <w:rPr>
          <w:rFonts w:ascii="Calibri" w:eastAsia="Times New Roman" w:hAnsi="Calibri" w:cs="Times New Roman"/>
          <w:i/>
          <w:iCs/>
          <w:noProof/>
        </w:rPr>
        <w:t>et al.</w:t>
      </w:r>
      <w:r w:rsidRPr="00C815B1">
        <w:rPr>
          <w:rFonts w:ascii="Calibri" w:eastAsia="Times New Roman" w:hAnsi="Calibri" w:cs="Times New Roman"/>
          <w:noProof/>
        </w:rPr>
        <w:t xml:space="preserve"> Evaluation of an early-warning system for heat wave-related mortality in Europe: Implications for sub-seasonal to seasonal forecasting and climate services. </w:t>
      </w:r>
      <w:r w:rsidRPr="00C815B1">
        <w:rPr>
          <w:rFonts w:ascii="Calibri" w:eastAsia="Times New Roman" w:hAnsi="Calibri" w:cs="Times New Roman"/>
          <w:i/>
          <w:iCs/>
          <w:noProof/>
        </w:rPr>
        <w:t>Int J Environ Res Public Health</w:t>
      </w:r>
      <w:r w:rsidRPr="00C815B1">
        <w:rPr>
          <w:rFonts w:ascii="Calibri" w:eastAsia="Times New Roman" w:hAnsi="Calibri" w:cs="Times New Roman"/>
          <w:noProof/>
        </w:rPr>
        <w:t xml:space="preserve"> 2016; </w:t>
      </w:r>
      <w:r w:rsidRPr="00C815B1">
        <w:rPr>
          <w:rFonts w:ascii="Calibri" w:eastAsia="Times New Roman" w:hAnsi="Calibri" w:cs="Times New Roman"/>
          <w:b/>
          <w:bCs/>
          <w:noProof/>
        </w:rPr>
        <w:t>13</w:t>
      </w:r>
      <w:r w:rsidRPr="00C815B1">
        <w:rPr>
          <w:rFonts w:ascii="Calibri" w:eastAsia="Times New Roman" w:hAnsi="Calibri" w:cs="Times New Roman"/>
          <w:noProof/>
        </w:rPr>
        <w:t>. DOI:10.3390/ijerph13020206.</w:t>
      </w:r>
    </w:p>
    <w:p w14:paraId="1B7276CB" w14:textId="77777777" w:rsidR="00C815B1" w:rsidRPr="00C815B1" w:rsidRDefault="00C815B1" w:rsidP="00C815B1">
      <w:pPr>
        <w:widowControl w:val="0"/>
        <w:autoSpaceDE w:val="0"/>
        <w:autoSpaceDN w:val="0"/>
        <w:adjustRightInd w:val="0"/>
        <w:ind w:left="640" w:hanging="640"/>
        <w:rPr>
          <w:rFonts w:ascii="Calibri" w:eastAsia="Times New Roman" w:hAnsi="Calibri" w:cs="Times New Roman"/>
          <w:noProof/>
        </w:rPr>
      </w:pPr>
      <w:r w:rsidRPr="00C815B1">
        <w:rPr>
          <w:rFonts w:ascii="Calibri" w:eastAsia="Times New Roman" w:hAnsi="Calibri" w:cs="Times New Roman"/>
          <w:noProof/>
        </w:rPr>
        <w:t>5</w:t>
      </w:r>
      <w:r w:rsidRPr="00C815B1">
        <w:rPr>
          <w:rFonts w:ascii="Calibri" w:eastAsia="Times New Roman" w:hAnsi="Calibri" w:cs="Times New Roman"/>
          <w:noProof/>
        </w:rPr>
        <w:tab/>
        <w:t xml:space="preserve">Stocker, T.F., D. Qin, G.-K. Plattner, M. Tignor, S.K. Allen, J. Boschung, A. Nauels, Y. Xia VB and PMM (eds. . Summary for Policymakers. In: Climate Change 2013: The Physical Science Basis. Contribution of Working Group I to the Fifth Assessment Report of the Intergovernmental Panel on Climate Change. </w:t>
      </w:r>
      <w:r w:rsidRPr="00C815B1">
        <w:rPr>
          <w:rFonts w:ascii="Calibri" w:eastAsia="Times New Roman" w:hAnsi="Calibri" w:cs="Times New Roman"/>
          <w:i/>
          <w:iCs/>
          <w:noProof/>
        </w:rPr>
        <w:t>CEUR Workshop Proc</w:t>
      </w:r>
      <w:r w:rsidRPr="00C815B1">
        <w:rPr>
          <w:rFonts w:ascii="Calibri" w:eastAsia="Times New Roman" w:hAnsi="Calibri" w:cs="Times New Roman"/>
          <w:noProof/>
        </w:rPr>
        <w:t xml:space="preserve"> 2015; </w:t>
      </w:r>
      <w:r w:rsidRPr="00C815B1">
        <w:rPr>
          <w:rFonts w:ascii="Calibri" w:eastAsia="Times New Roman" w:hAnsi="Calibri" w:cs="Times New Roman"/>
          <w:b/>
          <w:bCs/>
          <w:noProof/>
        </w:rPr>
        <w:t>1542</w:t>
      </w:r>
      <w:r w:rsidRPr="00C815B1">
        <w:rPr>
          <w:rFonts w:ascii="Calibri" w:eastAsia="Times New Roman" w:hAnsi="Calibri" w:cs="Times New Roman"/>
          <w:noProof/>
        </w:rPr>
        <w:t>: 33–6.</w:t>
      </w:r>
    </w:p>
    <w:p w14:paraId="114402FF" w14:textId="77777777" w:rsidR="00C815B1" w:rsidRPr="00C815B1" w:rsidRDefault="00C815B1" w:rsidP="00C815B1">
      <w:pPr>
        <w:widowControl w:val="0"/>
        <w:autoSpaceDE w:val="0"/>
        <w:autoSpaceDN w:val="0"/>
        <w:adjustRightInd w:val="0"/>
        <w:ind w:left="640" w:hanging="640"/>
        <w:rPr>
          <w:rFonts w:ascii="Calibri" w:eastAsia="Times New Roman" w:hAnsi="Calibri" w:cs="Times New Roman"/>
          <w:noProof/>
        </w:rPr>
      </w:pPr>
      <w:r w:rsidRPr="00C815B1">
        <w:rPr>
          <w:rFonts w:ascii="Calibri" w:eastAsia="Times New Roman" w:hAnsi="Calibri" w:cs="Times New Roman"/>
          <w:noProof/>
        </w:rPr>
        <w:t>6</w:t>
      </w:r>
      <w:r w:rsidRPr="00C815B1">
        <w:rPr>
          <w:rFonts w:ascii="Calibri" w:eastAsia="Times New Roman" w:hAnsi="Calibri" w:cs="Times New Roman"/>
          <w:noProof/>
        </w:rPr>
        <w:tab/>
        <w:t xml:space="preserve">Mora C, Dousset B, Caldwell IR, </w:t>
      </w:r>
      <w:r w:rsidRPr="00C815B1">
        <w:rPr>
          <w:rFonts w:ascii="Calibri" w:eastAsia="Times New Roman" w:hAnsi="Calibri" w:cs="Times New Roman"/>
          <w:i/>
          <w:iCs/>
          <w:noProof/>
        </w:rPr>
        <w:t>et al.</w:t>
      </w:r>
      <w:r w:rsidRPr="00C815B1">
        <w:rPr>
          <w:rFonts w:ascii="Calibri" w:eastAsia="Times New Roman" w:hAnsi="Calibri" w:cs="Times New Roman"/>
          <w:noProof/>
        </w:rPr>
        <w:t xml:space="preserve"> Global risk of deadly heat. </w:t>
      </w:r>
      <w:r w:rsidRPr="00C815B1">
        <w:rPr>
          <w:rFonts w:ascii="Calibri" w:eastAsia="Times New Roman" w:hAnsi="Calibri" w:cs="Times New Roman"/>
          <w:i/>
          <w:iCs/>
          <w:noProof/>
        </w:rPr>
        <w:t>Nat Clim Chang</w:t>
      </w:r>
      <w:r w:rsidRPr="00C815B1">
        <w:rPr>
          <w:rFonts w:ascii="Calibri" w:eastAsia="Times New Roman" w:hAnsi="Calibri" w:cs="Times New Roman"/>
          <w:noProof/>
        </w:rPr>
        <w:t xml:space="preserve"> 2017. DOI:10.1038/nclimate3322.</w:t>
      </w:r>
    </w:p>
    <w:p w14:paraId="79339B6B" w14:textId="77777777" w:rsidR="00C815B1" w:rsidRPr="00C815B1" w:rsidRDefault="00C815B1" w:rsidP="00C815B1">
      <w:pPr>
        <w:widowControl w:val="0"/>
        <w:autoSpaceDE w:val="0"/>
        <w:autoSpaceDN w:val="0"/>
        <w:adjustRightInd w:val="0"/>
        <w:ind w:left="640" w:hanging="640"/>
        <w:rPr>
          <w:rFonts w:ascii="Calibri" w:hAnsi="Calibri"/>
          <w:noProof/>
        </w:rPr>
      </w:pPr>
      <w:r w:rsidRPr="00C815B1">
        <w:rPr>
          <w:rFonts w:ascii="Calibri" w:eastAsia="Times New Roman" w:hAnsi="Calibri" w:cs="Times New Roman"/>
          <w:noProof/>
        </w:rPr>
        <w:t>7</w:t>
      </w:r>
      <w:r w:rsidRPr="00C815B1">
        <w:rPr>
          <w:rFonts w:ascii="Calibri" w:eastAsia="Times New Roman" w:hAnsi="Calibri" w:cs="Times New Roman"/>
          <w:noProof/>
        </w:rPr>
        <w:tab/>
        <w:t xml:space="preserve">Jones B, O’Neill BC, McDaniel L, McGinnis S, Mearns LO, Tebaldi C. Future population exposure to US heat extremes. </w:t>
      </w:r>
      <w:r w:rsidRPr="00C815B1">
        <w:rPr>
          <w:rFonts w:ascii="Calibri" w:eastAsia="Times New Roman" w:hAnsi="Calibri" w:cs="Times New Roman"/>
          <w:i/>
          <w:iCs/>
          <w:noProof/>
        </w:rPr>
        <w:t>Nat Clim Chang</w:t>
      </w:r>
      <w:r w:rsidRPr="00C815B1">
        <w:rPr>
          <w:rFonts w:ascii="Calibri" w:eastAsia="Times New Roman" w:hAnsi="Calibri" w:cs="Times New Roman"/>
          <w:noProof/>
        </w:rPr>
        <w:t xml:space="preserve"> 2015; </w:t>
      </w:r>
      <w:r w:rsidRPr="00C815B1">
        <w:rPr>
          <w:rFonts w:ascii="Calibri" w:eastAsia="Times New Roman" w:hAnsi="Calibri" w:cs="Times New Roman"/>
          <w:b/>
          <w:bCs/>
          <w:noProof/>
        </w:rPr>
        <w:t>5</w:t>
      </w:r>
      <w:r w:rsidRPr="00C815B1">
        <w:rPr>
          <w:rFonts w:ascii="Calibri" w:eastAsia="Times New Roman" w:hAnsi="Calibri" w:cs="Times New Roman"/>
          <w:noProof/>
        </w:rPr>
        <w:t>: 652–5.</w:t>
      </w:r>
    </w:p>
    <w:p w14:paraId="70BF9EF4" w14:textId="744F5369" w:rsidR="005729B4" w:rsidRDefault="005729B4" w:rsidP="00C815B1">
      <w:pPr>
        <w:widowControl w:val="0"/>
        <w:autoSpaceDE w:val="0"/>
        <w:autoSpaceDN w:val="0"/>
        <w:adjustRightInd w:val="0"/>
        <w:ind w:left="640" w:hanging="640"/>
      </w:pPr>
      <w:r>
        <w:fldChar w:fldCharType="end"/>
      </w:r>
    </w:p>
    <w:p w14:paraId="0A0EF48F" w14:textId="7F4E5ABF" w:rsidR="00235E78" w:rsidRPr="00F47AEB" w:rsidRDefault="00235E78" w:rsidP="005945A4"/>
    <w:sectPr w:rsidR="00235E78" w:rsidRPr="00F47AE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C21CD"/>
    <w:multiLevelType w:val="hybridMultilevel"/>
    <w:tmpl w:val="232A8E6A"/>
    <w:lvl w:ilvl="0" w:tplc="3DC05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C"/>
    <w:rsid w:val="0000461D"/>
    <w:rsid w:val="00035305"/>
    <w:rsid w:val="0003657E"/>
    <w:rsid w:val="00036FFA"/>
    <w:rsid w:val="000544A3"/>
    <w:rsid w:val="00066C53"/>
    <w:rsid w:val="0008315C"/>
    <w:rsid w:val="000870BD"/>
    <w:rsid w:val="000B0D4A"/>
    <w:rsid w:val="000B6495"/>
    <w:rsid w:val="000B68BB"/>
    <w:rsid w:val="000B7625"/>
    <w:rsid w:val="000C0E55"/>
    <w:rsid w:val="000C4ED8"/>
    <w:rsid w:val="000C7277"/>
    <w:rsid w:val="000D5F12"/>
    <w:rsid w:val="000E154F"/>
    <w:rsid w:val="000E50E3"/>
    <w:rsid w:val="000F3A6A"/>
    <w:rsid w:val="0012444D"/>
    <w:rsid w:val="00127E01"/>
    <w:rsid w:val="00132C6C"/>
    <w:rsid w:val="00155080"/>
    <w:rsid w:val="00156FC7"/>
    <w:rsid w:val="00161E98"/>
    <w:rsid w:val="00167BD7"/>
    <w:rsid w:val="00184273"/>
    <w:rsid w:val="00184959"/>
    <w:rsid w:val="00195B94"/>
    <w:rsid w:val="001A1F00"/>
    <w:rsid w:val="001A39E7"/>
    <w:rsid w:val="001B23D1"/>
    <w:rsid w:val="001C613C"/>
    <w:rsid w:val="001C778E"/>
    <w:rsid w:val="001E4959"/>
    <w:rsid w:val="001E564C"/>
    <w:rsid w:val="001F0FFF"/>
    <w:rsid w:val="001F7D80"/>
    <w:rsid w:val="00220C4B"/>
    <w:rsid w:val="00221B31"/>
    <w:rsid w:val="002231AC"/>
    <w:rsid w:val="00235E78"/>
    <w:rsid w:val="0026033D"/>
    <w:rsid w:val="00260B02"/>
    <w:rsid w:val="00293935"/>
    <w:rsid w:val="00296A5E"/>
    <w:rsid w:val="002B1609"/>
    <w:rsid w:val="002C32C8"/>
    <w:rsid w:val="002C363C"/>
    <w:rsid w:val="002C636B"/>
    <w:rsid w:val="002D73B9"/>
    <w:rsid w:val="002F4DC5"/>
    <w:rsid w:val="003043B6"/>
    <w:rsid w:val="00306685"/>
    <w:rsid w:val="00360A06"/>
    <w:rsid w:val="00376B34"/>
    <w:rsid w:val="0039751B"/>
    <w:rsid w:val="003A391F"/>
    <w:rsid w:val="003A3A3F"/>
    <w:rsid w:val="003C1065"/>
    <w:rsid w:val="003C153C"/>
    <w:rsid w:val="003C451D"/>
    <w:rsid w:val="003E4C41"/>
    <w:rsid w:val="003F22B3"/>
    <w:rsid w:val="004018CB"/>
    <w:rsid w:val="00402D6F"/>
    <w:rsid w:val="004060EF"/>
    <w:rsid w:val="00410813"/>
    <w:rsid w:val="00430834"/>
    <w:rsid w:val="00433EDB"/>
    <w:rsid w:val="00437E72"/>
    <w:rsid w:val="0044730F"/>
    <w:rsid w:val="004A5369"/>
    <w:rsid w:val="004C140E"/>
    <w:rsid w:val="004C3449"/>
    <w:rsid w:val="004D77E6"/>
    <w:rsid w:val="004E36B5"/>
    <w:rsid w:val="004E7B07"/>
    <w:rsid w:val="004F1615"/>
    <w:rsid w:val="004F404D"/>
    <w:rsid w:val="004F60F9"/>
    <w:rsid w:val="004F7FD8"/>
    <w:rsid w:val="005028B3"/>
    <w:rsid w:val="00506AF4"/>
    <w:rsid w:val="0051227E"/>
    <w:rsid w:val="005130C5"/>
    <w:rsid w:val="00541922"/>
    <w:rsid w:val="005546F4"/>
    <w:rsid w:val="00561F2E"/>
    <w:rsid w:val="00565475"/>
    <w:rsid w:val="00565B41"/>
    <w:rsid w:val="005729B4"/>
    <w:rsid w:val="005759A5"/>
    <w:rsid w:val="005922C7"/>
    <w:rsid w:val="0059357D"/>
    <w:rsid w:val="005945A4"/>
    <w:rsid w:val="00594F9B"/>
    <w:rsid w:val="00595B6E"/>
    <w:rsid w:val="005B1ED4"/>
    <w:rsid w:val="005B5156"/>
    <w:rsid w:val="005E28FE"/>
    <w:rsid w:val="005F34A4"/>
    <w:rsid w:val="005F3963"/>
    <w:rsid w:val="00610890"/>
    <w:rsid w:val="006124E6"/>
    <w:rsid w:val="00641AF0"/>
    <w:rsid w:val="00645F93"/>
    <w:rsid w:val="00661174"/>
    <w:rsid w:val="00661DE5"/>
    <w:rsid w:val="006633AD"/>
    <w:rsid w:val="00680D50"/>
    <w:rsid w:val="006934E5"/>
    <w:rsid w:val="006A55CC"/>
    <w:rsid w:val="006A5B04"/>
    <w:rsid w:val="006C0D41"/>
    <w:rsid w:val="006C50E6"/>
    <w:rsid w:val="006F382C"/>
    <w:rsid w:val="00703C47"/>
    <w:rsid w:val="00712E39"/>
    <w:rsid w:val="0073173F"/>
    <w:rsid w:val="007564AF"/>
    <w:rsid w:val="007657EB"/>
    <w:rsid w:val="007813F1"/>
    <w:rsid w:val="00795E96"/>
    <w:rsid w:val="007A11B2"/>
    <w:rsid w:val="007B545A"/>
    <w:rsid w:val="007E13E7"/>
    <w:rsid w:val="007E75E0"/>
    <w:rsid w:val="007E7DB0"/>
    <w:rsid w:val="007F2E1E"/>
    <w:rsid w:val="00800663"/>
    <w:rsid w:val="00805C1D"/>
    <w:rsid w:val="00811049"/>
    <w:rsid w:val="0081132E"/>
    <w:rsid w:val="008544E0"/>
    <w:rsid w:val="00870509"/>
    <w:rsid w:val="008A6465"/>
    <w:rsid w:val="008A7646"/>
    <w:rsid w:val="008B7DDD"/>
    <w:rsid w:val="008C4931"/>
    <w:rsid w:val="008C4B74"/>
    <w:rsid w:val="008D151B"/>
    <w:rsid w:val="008E4AA6"/>
    <w:rsid w:val="008E570E"/>
    <w:rsid w:val="008F16FF"/>
    <w:rsid w:val="00911EE8"/>
    <w:rsid w:val="009147E4"/>
    <w:rsid w:val="00932BD5"/>
    <w:rsid w:val="00937AF1"/>
    <w:rsid w:val="009535FF"/>
    <w:rsid w:val="009719A8"/>
    <w:rsid w:val="00974800"/>
    <w:rsid w:val="0098603C"/>
    <w:rsid w:val="00986803"/>
    <w:rsid w:val="009A475F"/>
    <w:rsid w:val="009A4D56"/>
    <w:rsid w:val="009B275D"/>
    <w:rsid w:val="009C5745"/>
    <w:rsid w:val="009D5647"/>
    <w:rsid w:val="009E25B4"/>
    <w:rsid w:val="009E450A"/>
    <w:rsid w:val="00A10491"/>
    <w:rsid w:val="00A14FA4"/>
    <w:rsid w:val="00A25BFD"/>
    <w:rsid w:val="00A55A47"/>
    <w:rsid w:val="00A62542"/>
    <w:rsid w:val="00A718C6"/>
    <w:rsid w:val="00A82B05"/>
    <w:rsid w:val="00AA1780"/>
    <w:rsid w:val="00AC6A7C"/>
    <w:rsid w:val="00AD2DD2"/>
    <w:rsid w:val="00AF59A5"/>
    <w:rsid w:val="00AF69F6"/>
    <w:rsid w:val="00B106AC"/>
    <w:rsid w:val="00B14336"/>
    <w:rsid w:val="00B20F22"/>
    <w:rsid w:val="00B526C6"/>
    <w:rsid w:val="00B70782"/>
    <w:rsid w:val="00B91584"/>
    <w:rsid w:val="00BB1084"/>
    <w:rsid w:val="00BB55F7"/>
    <w:rsid w:val="00BE164A"/>
    <w:rsid w:val="00BE5840"/>
    <w:rsid w:val="00BE7C5B"/>
    <w:rsid w:val="00BF0976"/>
    <w:rsid w:val="00C02149"/>
    <w:rsid w:val="00C041FC"/>
    <w:rsid w:val="00C25541"/>
    <w:rsid w:val="00C4447B"/>
    <w:rsid w:val="00C543E7"/>
    <w:rsid w:val="00C77FA7"/>
    <w:rsid w:val="00C815B1"/>
    <w:rsid w:val="00C96B61"/>
    <w:rsid w:val="00CA052B"/>
    <w:rsid w:val="00CB62F6"/>
    <w:rsid w:val="00CC0E84"/>
    <w:rsid w:val="00CE1DCB"/>
    <w:rsid w:val="00CE3E2E"/>
    <w:rsid w:val="00CF318B"/>
    <w:rsid w:val="00CF4741"/>
    <w:rsid w:val="00CF5298"/>
    <w:rsid w:val="00D00531"/>
    <w:rsid w:val="00D032F7"/>
    <w:rsid w:val="00D117B9"/>
    <w:rsid w:val="00D24DC4"/>
    <w:rsid w:val="00D27415"/>
    <w:rsid w:val="00D349E0"/>
    <w:rsid w:val="00D435B3"/>
    <w:rsid w:val="00D53DFD"/>
    <w:rsid w:val="00D56CDF"/>
    <w:rsid w:val="00D64CF4"/>
    <w:rsid w:val="00D66759"/>
    <w:rsid w:val="00D7364D"/>
    <w:rsid w:val="00D75325"/>
    <w:rsid w:val="00D85B5A"/>
    <w:rsid w:val="00D92672"/>
    <w:rsid w:val="00D92A88"/>
    <w:rsid w:val="00DA0FD4"/>
    <w:rsid w:val="00DC1680"/>
    <w:rsid w:val="00E42E99"/>
    <w:rsid w:val="00E628EF"/>
    <w:rsid w:val="00E63B39"/>
    <w:rsid w:val="00E827DA"/>
    <w:rsid w:val="00E85B65"/>
    <w:rsid w:val="00E86ABD"/>
    <w:rsid w:val="00E9130F"/>
    <w:rsid w:val="00EA74DE"/>
    <w:rsid w:val="00EB7434"/>
    <w:rsid w:val="00ED3EB5"/>
    <w:rsid w:val="00EE34B8"/>
    <w:rsid w:val="00EF0DEC"/>
    <w:rsid w:val="00F01B41"/>
    <w:rsid w:val="00F03F59"/>
    <w:rsid w:val="00F04E4E"/>
    <w:rsid w:val="00F147B2"/>
    <w:rsid w:val="00F16BE0"/>
    <w:rsid w:val="00F22901"/>
    <w:rsid w:val="00F40035"/>
    <w:rsid w:val="00F43484"/>
    <w:rsid w:val="00F4610C"/>
    <w:rsid w:val="00F47AEB"/>
    <w:rsid w:val="00F636D9"/>
    <w:rsid w:val="00F718B5"/>
    <w:rsid w:val="00F73CE1"/>
    <w:rsid w:val="00F82E2F"/>
    <w:rsid w:val="00FA4918"/>
    <w:rsid w:val="00FA5FA5"/>
    <w:rsid w:val="00FB162A"/>
    <w:rsid w:val="00FB5645"/>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5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933CE2-EF0E-6641-8425-B8F88F37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3797</Words>
  <Characters>21649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17</cp:revision>
  <dcterms:created xsi:type="dcterms:W3CDTF">2017-07-03T15:47:00Z</dcterms:created>
  <dcterms:modified xsi:type="dcterms:W3CDTF">2017-07-03T16:30:00Z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