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DC349" w14:textId="77777777" w:rsidR="00EA4F02" w:rsidRDefault="00EA4F02">
      <w:pPr>
        <w:spacing w:after="0" w:line="240" w:lineRule="auto"/>
        <w:jc w:val="center"/>
      </w:pPr>
    </w:p>
    <w:tbl>
      <w:tblPr>
        <w:tblW w:w="0" w:type="auto"/>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2221"/>
        <w:gridCol w:w="6785"/>
      </w:tblGrid>
      <w:tr w:rsidR="00EA4F02" w14:paraId="46AD9893"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3D29B9B6" w14:textId="77777777" w:rsidR="00EA4F02" w:rsidRDefault="005A1E4B">
            <w:pPr>
              <w:spacing w:after="0"/>
              <w:rPr>
                <w:b/>
                <w:sz w:val="28"/>
                <w:szCs w:val="28"/>
              </w:rPr>
            </w:pPr>
            <w:r>
              <w:rPr>
                <w:b/>
                <w:sz w:val="28"/>
                <w:szCs w:val="28"/>
              </w:rPr>
              <w:t>Use Case Name</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04C64E11" w14:textId="77777777" w:rsidR="00EA4F02" w:rsidRDefault="005A1E4B">
            <w:pPr>
              <w:shd w:val="clear" w:color="auto" w:fill="FFFFFF"/>
              <w:spacing w:after="0" w:line="240" w:lineRule="auto"/>
              <w:jc w:val="both"/>
              <w:rPr>
                <w:rFonts w:ascii="Calibry" w:hAnsi="Calibry"/>
                <w:b/>
                <w:bCs/>
                <w:i/>
                <w:color w:val="000000"/>
                <w:shd w:val="clear" w:color="auto" w:fill="FFFFFF"/>
              </w:rPr>
            </w:pPr>
            <w:r>
              <w:rPr>
                <w:rFonts w:ascii="Calibry" w:hAnsi="Calibry"/>
                <w:b/>
                <w:bCs/>
                <w:i/>
                <w:color w:val="000000"/>
                <w:shd w:val="clear" w:color="auto" w:fill="FFFFFF"/>
              </w:rPr>
              <w:t>Heat wave health impacts #1 – Heat Early Warning System and Heatwave plan for England</w:t>
            </w:r>
          </w:p>
        </w:tc>
      </w:tr>
      <w:tr w:rsidR="00EA4F02" w14:paraId="01C0D7C6"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0CC3144D" w14:textId="77777777" w:rsidR="00EA4F02" w:rsidRDefault="005A1E4B">
            <w:pPr>
              <w:spacing w:after="0"/>
              <w:rPr>
                <w:b/>
                <w:sz w:val="28"/>
                <w:szCs w:val="28"/>
              </w:rPr>
            </w:pPr>
            <w:r>
              <w:rPr>
                <w:b/>
                <w:sz w:val="28"/>
                <w:szCs w:val="28"/>
              </w:rPr>
              <w:t>Sector</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32EE79BB" w14:textId="77777777" w:rsidR="00EA4F02" w:rsidRDefault="005A1E4B">
            <w:pPr>
              <w:spacing w:after="0"/>
              <w:rPr>
                <w:i/>
              </w:rPr>
            </w:pPr>
            <w:r>
              <w:rPr>
                <w:i/>
              </w:rPr>
              <w:t>Health</w:t>
            </w:r>
          </w:p>
        </w:tc>
      </w:tr>
      <w:tr w:rsidR="00EA4F02" w14:paraId="304AB295"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5E227C6D" w14:textId="77777777" w:rsidR="00EA4F02" w:rsidRDefault="005A1E4B">
            <w:pPr>
              <w:spacing w:after="0"/>
              <w:rPr>
                <w:b/>
                <w:sz w:val="28"/>
                <w:szCs w:val="28"/>
              </w:rPr>
            </w:pPr>
            <w:r>
              <w:rPr>
                <w:b/>
                <w:sz w:val="28"/>
                <w:szCs w:val="28"/>
              </w:rPr>
              <w:t>Reference</w:t>
            </w:r>
          </w:p>
        </w:tc>
        <w:tc>
          <w:tcPr>
            <w:tcW w:w="6785" w:type="dxa"/>
            <w:tcBorders>
              <w:top w:val="single" w:sz="4" w:space="0" w:color="00000A"/>
              <w:left w:val="single" w:sz="4" w:space="0" w:color="00000A"/>
              <w:bottom w:val="single" w:sz="4" w:space="0" w:color="00000A"/>
              <w:right w:val="single" w:sz="4" w:space="0" w:color="00000A"/>
            </w:tcBorders>
            <w:shd w:val="clear" w:color="auto" w:fill="D9D9D9"/>
            <w:tcMar>
              <w:left w:w="63" w:type="dxa"/>
            </w:tcMar>
          </w:tcPr>
          <w:p w14:paraId="6C0C55F6" w14:textId="77777777" w:rsidR="00EA4F02" w:rsidRDefault="005A1E4B">
            <w:pPr>
              <w:spacing w:after="0"/>
              <w:rPr>
                <w:b/>
                <w:i/>
              </w:rPr>
            </w:pPr>
            <w:r>
              <w:rPr>
                <w:b/>
                <w:i/>
              </w:rPr>
              <w:t>SEC-HEA-UCT-003</w:t>
            </w:r>
          </w:p>
        </w:tc>
      </w:tr>
      <w:tr w:rsidR="00EA4F02" w14:paraId="1D2989D8" w14:textId="77777777" w:rsidTr="00764640">
        <w:trPr>
          <w:trHeight w:val="2590"/>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CB1CD7A" w14:textId="77777777" w:rsidR="00EA4F02" w:rsidRDefault="005A1E4B">
            <w:pPr>
              <w:spacing w:after="0"/>
              <w:rPr>
                <w:b/>
              </w:rPr>
            </w:pPr>
            <w:r>
              <w:rPr>
                <w:b/>
              </w:rPr>
              <w:t xml:space="preserve">Scope of decision-making </w:t>
            </w:r>
          </w:p>
          <w:p w14:paraId="0C24A8E0" w14:textId="77777777" w:rsidR="00EA4F02" w:rsidRDefault="00EA4F02">
            <w:pPr>
              <w:spacing w:after="0"/>
            </w:pPr>
          </w:p>
          <w:p w14:paraId="756F4DE6" w14:textId="77777777" w:rsidR="00EA4F02" w:rsidRDefault="00EA4F02">
            <w:pPr>
              <w:spacing w:after="0"/>
            </w:pPr>
          </w:p>
          <w:p w14:paraId="4A0C570E"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674A082" w14:textId="77777777" w:rsidR="00EA4F02" w:rsidRDefault="005A1E4B">
            <w:pPr>
              <w:spacing w:after="0"/>
            </w:pPr>
            <w:r>
              <w:t xml:space="preserve">Take preventive action against extreme warm temperatures impacts on health of the </w:t>
            </w:r>
            <w:r>
              <w:t xml:space="preserve">population. In this </w:t>
            </w:r>
            <w:proofErr w:type="gramStart"/>
            <w:r>
              <w:t>case</w:t>
            </w:r>
            <w:proofErr w:type="gramEnd"/>
            <w:r>
              <w:t xml:space="preserve"> we focus on the “Heatwave plan for England”. The heat-health watch alert system operates in England from 1 June to 15 September each year. During this period, the Met Office may forecast heatwaves. There are 5 different levels of a</w:t>
            </w:r>
            <w:r>
              <w:t>lert (level 2 to 3 are based on threshold day and night-time temperatures as defined by the Met Office).</w:t>
            </w:r>
          </w:p>
          <w:p w14:paraId="533E6EB2" w14:textId="77777777" w:rsidR="00EA4F02" w:rsidRDefault="005A1E4B">
            <w:pPr>
              <w:spacing w:after="0"/>
            </w:pPr>
            <w:r>
              <w:t>https://www.gov.uk/government/publications/heatwave-plan-for-england</w:t>
            </w:r>
          </w:p>
        </w:tc>
      </w:tr>
      <w:tr w:rsidR="00EA4F02" w14:paraId="10C1704A"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D99DB83" w14:textId="77777777" w:rsidR="00EA4F02" w:rsidRDefault="005A1E4B">
            <w:pPr>
              <w:spacing w:after="0"/>
              <w:rPr>
                <w:b/>
              </w:rPr>
            </w:pPr>
            <w:r>
              <w:rPr>
                <w:b/>
              </w:rPr>
              <w:t>Actor</w:t>
            </w:r>
          </w:p>
          <w:p w14:paraId="72872BB2" w14:textId="77777777" w:rsidR="00EA4F02" w:rsidRDefault="00EA4F02">
            <w:pPr>
              <w:spacing w:after="0"/>
              <w:rPr>
                <w:b/>
              </w:rPr>
            </w:pPr>
          </w:p>
          <w:p w14:paraId="46A43636" w14:textId="77777777" w:rsidR="00EA4F02" w:rsidRDefault="00EA4F02">
            <w:pPr>
              <w:spacing w:after="0"/>
            </w:pPr>
          </w:p>
          <w:p w14:paraId="24C09AD9" w14:textId="77777777" w:rsidR="00EA4F02" w:rsidRDefault="00EA4F02">
            <w:pPr>
              <w:spacing w:after="0"/>
            </w:pPr>
          </w:p>
          <w:p w14:paraId="0C013986" w14:textId="77777777" w:rsidR="00EA4F02" w:rsidRDefault="00EA4F02">
            <w:pPr>
              <w:spacing w:after="0"/>
              <w:rPr>
                <w:b/>
              </w:rPr>
            </w:pPr>
          </w:p>
          <w:p w14:paraId="2608701F" w14:textId="77777777" w:rsidR="00EA4F02" w:rsidRDefault="00EA4F02">
            <w:pPr>
              <w:spacing w:after="0"/>
              <w:rPr>
                <w:b/>
              </w:rPr>
            </w:pPr>
          </w:p>
          <w:p w14:paraId="2CC20FB5" w14:textId="77777777" w:rsidR="00EA4F02" w:rsidRDefault="00EA4F02">
            <w:pPr>
              <w:spacing w:after="0"/>
              <w:rPr>
                <w:b/>
              </w:rPr>
            </w:pPr>
          </w:p>
          <w:p w14:paraId="2BE1604E"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0386A1B" w14:textId="77777777" w:rsidR="00EA4F02" w:rsidRDefault="005A1E4B">
            <w:pPr>
              <w:spacing w:after="0"/>
            </w:pPr>
            <w:r>
              <w:rPr>
                <w:b/>
              </w:rPr>
              <w:t>Name:</w:t>
            </w:r>
            <w:r>
              <w:t xml:space="preserve"> Yolanda </w:t>
            </w:r>
            <w:proofErr w:type="spellStart"/>
            <w:r>
              <w:t>Clewlow</w:t>
            </w:r>
            <w:proofErr w:type="spellEnd"/>
            <w:r>
              <w:t xml:space="preserve"> (1), </w:t>
            </w:r>
            <w:proofErr w:type="spellStart"/>
            <w:r>
              <w:t>Rutger</w:t>
            </w:r>
            <w:proofErr w:type="spellEnd"/>
            <w:r>
              <w:t xml:space="preserve"> </w:t>
            </w:r>
            <w:proofErr w:type="spellStart"/>
            <w:r>
              <w:t>Dankers</w:t>
            </w:r>
            <w:proofErr w:type="spellEnd"/>
            <w:r>
              <w:t xml:space="preserve"> (2), Angie Bone (3)</w:t>
            </w:r>
          </w:p>
          <w:p w14:paraId="0F4B3227" w14:textId="77777777" w:rsidR="00EA4F02" w:rsidRDefault="005A1E4B">
            <w:pPr>
              <w:spacing w:after="0"/>
            </w:pPr>
            <w:r>
              <w:rPr>
                <w:b/>
              </w:rPr>
              <w:t>Name o</w:t>
            </w:r>
            <w:r>
              <w:rPr>
                <w:b/>
              </w:rPr>
              <w:t xml:space="preserve">f organisation: </w:t>
            </w:r>
            <w:r>
              <w:t>(1) Met Office, (2) Met Office, (3) Public Health England</w:t>
            </w:r>
          </w:p>
          <w:p w14:paraId="52CFB951" w14:textId="77777777" w:rsidR="00EA4F02" w:rsidRDefault="005A1E4B">
            <w:pPr>
              <w:spacing w:after="0"/>
            </w:pPr>
            <w:r>
              <w:rPr>
                <w:b/>
              </w:rPr>
              <w:t xml:space="preserve">Job title: </w:t>
            </w:r>
            <w:r>
              <w:t>(1) Strategic Lead for Health, Weather &amp; Climate, (2) Weather and Impacts Lead and (3) Head of Extreme Events and Health Protection, Public Health England</w:t>
            </w:r>
          </w:p>
          <w:p w14:paraId="060534A6" w14:textId="77777777" w:rsidR="00EA4F02" w:rsidRDefault="005A1E4B">
            <w:pPr>
              <w:spacing w:after="0"/>
            </w:pPr>
            <w:r>
              <w:rPr>
                <w:b/>
              </w:rPr>
              <w:t xml:space="preserve">Country: </w:t>
            </w:r>
            <w:r>
              <w:t xml:space="preserve">United </w:t>
            </w:r>
            <w:r>
              <w:t>Kingdom</w:t>
            </w:r>
          </w:p>
        </w:tc>
      </w:tr>
      <w:tr w:rsidR="00EA4F02" w14:paraId="27617F41"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7FD9242" w14:textId="77777777" w:rsidR="00EA4F02" w:rsidRDefault="005A1E4B">
            <w:pPr>
              <w:spacing w:after="0"/>
              <w:rPr>
                <w:b/>
              </w:rPr>
            </w:pPr>
            <w:r>
              <w:rPr>
                <w:b/>
              </w:rPr>
              <w:t>ECV/CII</w:t>
            </w:r>
          </w:p>
          <w:p w14:paraId="05E0E3D8"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F917E3B" w14:textId="77777777" w:rsidR="00EA4F02" w:rsidRDefault="005A1E4B">
            <w:pPr>
              <w:spacing w:after="0"/>
            </w:pPr>
            <w:r>
              <w:t>* Current: Maximum and minimum temperature higher than certain thresholds during two consecutive days.</w:t>
            </w:r>
          </w:p>
          <w:p w14:paraId="2BA47015" w14:textId="77777777" w:rsidR="00EA4F02" w:rsidRDefault="005A1E4B">
            <w:pPr>
              <w:spacing w:after="0"/>
            </w:pPr>
            <w:r>
              <w:t xml:space="preserve"> * Needs of Public Health England: PHE would like to have impact indicators which </w:t>
            </w:r>
            <w:proofErr w:type="gramStart"/>
            <w:r>
              <w:t>take into account</w:t>
            </w:r>
            <w:proofErr w:type="gramEnd"/>
            <w:r>
              <w:t xml:space="preserve"> the vulnerability of the population</w:t>
            </w:r>
            <w:r>
              <w:t xml:space="preserve"> exposed to extreme temperatures. Huge need to have higher spatial resolution information for urban heat plans at neighbourhood level.</w:t>
            </w:r>
          </w:p>
          <w:p w14:paraId="5E6C9684" w14:textId="77777777" w:rsidR="00EA4F02" w:rsidRDefault="005A1E4B">
            <w:pPr>
              <w:spacing w:after="0"/>
            </w:pPr>
            <w:r>
              <w:t>* More details on current use of the information:  The Met Office's Heat Health Watch Service is designed to alert custom</w:t>
            </w:r>
            <w:r>
              <w:t xml:space="preserve">ers and the </w:t>
            </w:r>
            <w:proofErr w:type="gramStart"/>
            <w:r>
              <w:t>general public</w:t>
            </w:r>
            <w:proofErr w:type="gramEnd"/>
            <w:r>
              <w:t xml:space="preserve"> to the likelihood of heat wave conditions in different administrative regions of England. If there is a high chance (greater than 60%) that these values will be reached on at least two consecutive days and the intervening night, </w:t>
            </w:r>
            <w:r>
              <w:t>then a level 2 alert will be triggered. The threshold for maximum day and night temperatures are defined for each region (see values in Annex 1 of Heatwave plan for England https://www.gov.uk/government/publications/heatwave-plan-for-england).</w:t>
            </w:r>
          </w:p>
          <w:p w14:paraId="06D72B56" w14:textId="77777777" w:rsidR="00EA4F02" w:rsidRDefault="005A1E4B">
            <w:pPr>
              <w:spacing w:after="0"/>
              <w:rPr>
                <w:rFonts w:ascii="Calibri;sans-serif" w:hAnsi="Calibri;sans-serif"/>
                <w:color w:val="000000"/>
              </w:rPr>
            </w:pPr>
            <w:r>
              <w:t>The heatwave</w:t>
            </w:r>
            <w:r>
              <w:t xml:space="preserve"> plan has several levels of alert. The heatwave forecast triggers level 2, and level 3 is reached as soon as is confirmed that the extreme temperatures has been measured.</w:t>
            </w:r>
            <w:r>
              <w:rPr>
                <w:color w:val="000000"/>
              </w:rPr>
              <w:t xml:space="preserve"> </w:t>
            </w:r>
            <w:r>
              <w:rPr>
                <w:rFonts w:ascii="Calibri;sans-serif" w:hAnsi="Calibri;sans-serif"/>
                <w:color w:val="000000"/>
              </w:rPr>
              <w:t>A level 4 alert indicates impacts beyond the health sector (</w:t>
            </w:r>
            <w:proofErr w:type="gramStart"/>
            <w:r>
              <w:rPr>
                <w:rFonts w:ascii="Calibri;sans-serif" w:hAnsi="Calibri;sans-serif"/>
                <w:color w:val="000000"/>
              </w:rPr>
              <w:t>the  event</w:t>
            </w:r>
            <w:proofErr w:type="gramEnd"/>
            <w:r>
              <w:rPr>
                <w:rFonts w:ascii="Calibri;sans-serif" w:hAnsi="Calibri;sans-serif"/>
                <w:color w:val="000000"/>
              </w:rPr>
              <w:t xml:space="preserve"> is severe or p</w:t>
            </w:r>
            <w:r>
              <w:rPr>
                <w:rFonts w:ascii="Calibri;sans-serif" w:hAnsi="Calibri;sans-serif"/>
                <w:color w:val="000000"/>
              </w:rPr>
              <w:t>rolonged in time).</w:t>
            </w:r>
          </w:p>
          <w:p w14:paraId="07A62C81" w14:textId="77777777" w:rsidR="00EA4F02" w:rsidRDefault="005A1E4B">
            <w:pPr>
              <w:spacing w:after="0"/>
            </w:pPr>
            <w:r>
              <w:t xml:space="preserve">The heatwave plan also has an evaluation phase when specific case studies with specific and much more higher data needs could be found. </w:t>
            </w:r>
            <w:r>
              <w:lastRenderedPageBreak/>
              <w:t xml:space="preserve">For example, during extreme heat waves it can happen that there </w:t>
            </w:r>
            <w:proofErr w:type="gramStart"/>
            <w:r>
              <w:t>is</w:t>
            </w:r>
            <w:proofErr w:type="gramEnd"/>
            <w:r>
              <w:t xml:space="preserve"> temperature profile inversions whi</w:t>
            </w:r>
            <w:r>
              <w:t>ch lead to high level of contaminations.</w:t>
            </w:r>
          </w:p>
          <w:p w14:paraId="0D06156D" w14:textId="77777777" w:rsidR="00EA4F02" w:rsidRDefault="005A1E4B">
            <w:pPr>
              <w:spacing w:after="0"/>
            </w:pPr>
            <w:r>
              <w:t xml:space="preserve">They have considered adding other variables such us humidity but more research is required to answer which one have higher predictive value in the morbidity and mortality. </w:t>
            </w:r>
          </w:p>
          <w:p w14:paraId="3D70B1CB" w14:textId="77777777" w:rsidR="00EA4F02" w:rsidRDefault="005A1E4B">
            <w:pPr>
              <w:spacing w:after="0"/>
            </w:pPr>
            <w:r>
              <w:t xml:space="preserve">The Plan is </w:t>
            </w:r>
            <w:proofErr w:type="gramStart"/>
            <w:r>
              <w:t>at the moment</w:t>
            </w:r>
            <w:proofErr w:type="gramEnd"/>
            <w:r>
              <w:t xml:space="preserve"> under external e</w:t>
            </w:r>
            <w:r>
              <w:t xml:space="preserve">valuation and may be fundamentally changed in forthcoming years. </w:t>
            </w:r>
            <w:proofErr w:type="gramStart"/>
            <w:r>
              <w:t>In order to</w:t>
            </w:r>
            <w:proofErr w:type="gramEnd"/>
            <w:r>
              <w:t xml:space="preserve"> substantially improve it, retrospective analysis will be needed. </w:t>
            </w:r>
          </w:p>
        </w:tc>
      </w:tr>
      <w:tr w:rsidR="00EA4F02" w14:paraId="59469915"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25BB787" w14:textId="77777777" w:rsidR="00EA4F02" w:rsidRDefault="005A1E4B">
            <w:pPr>
              <w:spacing w:after="0"/>
              <w:rPr>
                <w:b/>
              </w:rPr>
            </w:pPr>
            <w:r>
              <w:rPr>
                <w:b/>
              </w:rPr>
              <w:lastRenderedPageBreak/>
              <w:t>Data source</w:t>
            </w:r>
          </w:p>
          <w:p w14:paraId="739CAADA" w14:textId="77777777" w:rsidR="00EA4F02" w:rsidRDefault="00EA4F02">
            <w:pPr>
              <w:spacing w:after="0"/>
              <w:rPr>
                <w:b/>
              </w:rPr>
            </w:pPr>
          </w:p>
          <w:p w14:paraId="5C537437" w14:textId="77777777" w:rsidR="00EA4F02" w:rsidRDefault="00EA4F02">
            <w:pPr>
              <w:spacing w:after="0"/>
              <w:rPr>
                <w:b/>
              </w:rPr>
            </w:pPr>
          </w:p>
          <w:p w14:paraId="089E481D" w14:textId="77777777" w:rsidR="00EA4F02" w:rsidRDefault="00EA4F02">
            <w:pPr>
              <w:spacing w:after="0"/>
            </w:pPr>
          </w:p>
          <w:p w14:paraId="3B4123C1" w14:textId="77777777" w:rsidR="00EA4F02" w:rsidRDefault="00EA4F02">
            <w:pPr>
              <w:spacing w:after="0"/>
            </w:pPr>
          </w:p>
          <w:p w14:paraId="4D0564D3"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2F9D7F4" w14:textId="77777777" w:rsidR="00EA4F02" w:rsidRDefault="005A1E4B">
            <w:pPr>
              <w:spacing w:after="0"/>
            </w:pPr>
            <w:r>
              <w:t xml:space="preserve">Current: Observations and weather forecast. </w:t>
            </w:r>
          </w:p>
          <w:p w14:paraId="25DE9BA9" w14:textId="77777777" w:rsidR="00EA4F02" w:rsidRDefault="005A1E4B">
            <w:pPr>
              <w:spacing w:after="0"/>
            </w:pPr>
            <w:r>
              <w:t xml:space="preserve">Potential: to use reanalysis, seasonal forecast </w:t>
            </w:r>
            <w:r>
              <w:t>and climate projections to improve the plan in future years.</w:t>
            </w:r>
          </w:p>
          <w:p w14:paraId="68066B13" w14:textId="77777777" w:rsidR="00EA4F02" w:rsidRDefault="005A1E4B">
            <w:pPr>
              <w:spacing w:after="0"/>
              <w:rPr>
                <w:i/>
              </w:rPr>
            </w:pPr>
            <w:r>
              <w:t xml:space="preserve">Comments on possibilities of seasonal forecast use: </w:t>
            </w:r>
            <w:proofErr w:type="spellStart"/>
            <w:r>
              <w:t>MetOffice</w:t>
            </w:r>
            <w:proofErr w:type="spellEnd"/>
            <w:r>
              <w:t xml:space="preserve"> says seasonal forecast may be very useful internally. </w:t>
            </w:r>
            <w:r>
              <w:rPr>
                <w:color w:val="000000"/>
              </w:rPr>
              <w:t>It is unclear how seasonal forecast could be implemented in the heat plan in pr</w:t>
            </w:r>
            <w:r>
              <w:rPr>
                <w:color w:val="000000"/>
              </w:rPr>
              <w:t xml:space="preserve">actice. There is not a big demand of skilled seasonal forecast from PHE. The biggest demand is to have as gradual information as possible as the event approaches, but mainly at weather lead times. Good skill priority over long lead times. </w:t>
            </w:r>
            <w:r>
              <w:t xml:space="preserve"> </w:t>
            </w:r>
            <w:r>
              <w:rPr>
                <w:i/>
              </w:rPr>
              <w:t xml:space="preserve">  </w:t>
            </w:r>
          </w:p>
        </w:tc>
      </w:tr>
      <w:tr w:rsidR="00EA4F02" w14:paraId="013B3830"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46BAB06" w14:textId="77777777" w:rsidR="00EA4F02" w:rsidRDefault="005A1E4B">
            <w:pPr>
              <w:spacing w:after="0"/>
              <w:rPr>
                <w:b/>
              </w:rPr>
            </w:pPr>
            <w:r>
              <w:rPr>
                <w:b/>
              </w:rPr>
              <w:t>Type of requ</w:t>
            </w:r>
            <w:r>
              <w:rPr>
                <w:b/>
              </w:rPr>
              <w:t>ired product</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18CCA57" w14:textId="77777777" w:rsidR="00EA4F02" w:rsidRDefault="005A1E4B">
            <w:pPr>
              <w:spacing w:after="0"/>
            </w:pPr>
            <w:r>
              <w:t>Raw data, maps, plots, also summary statistics. Key tools would be region depending threshold tools, plots and summary statistics.</w:t>
            </w:r>
          </w:p>
        </w:tc>
      </w:tr>
      <w:tr w:rsidR="00EA4F02" w14:paraId="7E6BC2AA"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7E72EFA" w14:textId="77777777" w:rsidR="00EA4F02" w:rsidRDefault="005A1E4B">
            <w:pPr>
              <w:spacing w:after="0"/>
              <w:rPr>
                <w:b/>
              </w:rPr>
            </w:pPr>
            <w:r>
              <w:rPr>
                <w:b/>
              </w:rPr>
              <w:t>Application</w:t>
            </w:r>
          </w:p>
          <w:p w14:paraId="5B0206BC"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7C93E66" w14:textId="77777777" w:rsidR="00EA4F02" w:rsidRDefault="005A1E4B">
            <w:pPr>
              <w:spacing w:after="0"/>
              <w:rPr>
                <w:color w:val="000000"/>
              </w:rPr>
            </w:pPr>
            <w:r>
              <w:rPr>
                <w:color w:val="000000"/>
              </w:rPr>
              <w:t>The information is used to set the corresponding level of action of the Heatwave Plan.</w:t>
            </w:r>
          </w:p>
        </w:tc>
      </w:tr>
      <w:tr w:rsidR="00EA4F02" w14:paraId="37CE7F96"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717FE74" w14:textId="77777777" w:rsidR="00EA4F02" w:rsidRDefault="005A1E4B">
            <w:pPr>
              <w:spacing w:after="0"/>
              <w:rPr>
                <w:b/>
              </w:rPr>
            </w:pPr>
            <w:r>
              <w:rPr>
                <w:b/>
              </w:rPr>
              <w:t>Current so</w:t>
            </w:r>
            <w:r>
              <w:rPr>
                <w:b/>
              </w:rPr>
              <w:t>urces</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E896402" w14:textId="77777777" w:rsidR="00EA4F02" w:rsidRDefault="005A1E4B">
            <w:pPr>
              <w:spacing w:after="0"/>
              <w:rPr>
                <w:color w:val="7030A0"/>
              </w:rPr>
            </w:pPr>
            <w:proofErr w:type="spellStart"/>
            <w:r>
              <w:rPr>
                <w:color w:val="000000"/>
              </w:rPr>
              <w:t>MetOffice</w:t>
            </w:r>
            <w:proofErr w:type="spellEnd"/>
            <w:r>
              <w:rPr>
                <w:color w:val="7030A0"/>
              </w:rPr>
              <w:t xml:space="preserve"> </w:t>
            </w:r>
          </w:p>
        </w:tc>
      </w:tr>
      <w:tr w:rsidR="00EA4F02" w14:paraId="6B72E604" w14:textId="77777777" w:rsidTr="00764640">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080175B0" w14:textId="77777777" w:rsidR="00EA4F02" w:rsidRDefault="005A1E4B">
            <w:pPr>
              <w:spacing w:after="0"/>
              <w:rPr>
                <w:b/>
              </w:rPr>
            </w:pPr>
            <w:r>
              <w:rPr>
                <w:b/>
              </w:rPr>
              <w:t xml:space="preserve">Key characteristics of the climate information </w:t>
            </w:r>
          </w:p>
          <w:p w14:paraId="3B0C8C66" w14:textId="77777777" w:rsidR="00EA4F02" w:rsidRDefault="00EA4F02">
            <w:pPr>
              <w:spacing w:after="0"/>
              <w:rPr>
                <w:b/>
              </w:rPr>
            </w:pPr>
          </w:p>
        </w:tc>
      </w:tr>
      <w:tr w:rsidR="00EA4F02" w14:paraId="50A1F67A" w14:textId="77777777" w:rsidTr="00764640">
        <w:trPr>
          <w:trHeight w:val="1174"/>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1EF13CD" w14:textId="77777777" w:rsidR="00EA4F02" w:rsidRDefault="005A1E4B">
            <w:pPr>
              <w:spacing w:after="0"/>
              <w:rPr>
                <w:b/>
              </w:rPr>
            </w:pPr>
            <w:r>
              <w:rPr>
                <w:b/>
              </w:rPr>
              <w:t xml:space="preserve">Timeliness </w:t>
            </w:r>
          </w:p>
          <w:p w14:paraId="3BD76C20"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25BDA7F" w14:textId="77777777" w:rsidR="00EA4F02" w:rsidRDefault="005A1E4B">
            <w:pPr>
              <w:spacing w:after="0"/>
              <w:rPr>
                <w:color w:val="000000"/>
              </w:rPr>
            </w:pPr>
            <w:r>
              <w:rPr>
                <w:color w:val="000000"/>
              </w:rPr>
              <w:t>As death rates rise soon after temperature increases, with many deaths occurring in the first two days, this is</w:t>
            </w:r>
          </w:p>
          <w:p w14:paraId="28DA0FEE" w14:textId="77777777" w:rsidR="00EA4F02" w:rsidRDefault="005A1E4B">
            <w:pPr>
              <w:spacing w:after="0"/>
              <w:rPr>
                <w:color w:val="000000"/>
              </w:rPr>
            </w:pPr>
            <w:r>
              <w:rPr>
                <w:color w:val="000000"/>
              </w:rPr>
              <w:t xml:space="preserve">an important stage to ensure readiness and swift action to </w:t>
            </w:r>
            <w:r>
              <w:rPr>
                <w:color w:val="000000"/>
              </w:rPr>
              <w:t>reduce harm from a potential heatwave.</w:t>
            </w:r>
          </w:p>
        </w:tc>
      </w:tr>
      <w:tr w:rsidR="00EA4F02" w14:paraId="1E4BAE52" w14:textId="77777777" w:rsidTr="00764640">
        <w:trPr>
          <w:trHeight w:val="1423"/>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0797810" w14:textId="77777777" w:rsidR="00EA4F02" w:rsidRDefault="005A1E4B">
            <w:pPr>
              <w:spacing w:after="0"/>
              <w:rPr>
                <w:b/>
              </w:rPr>
            </w:pPr>
            <w:r>
              <w:rPr>
                <w:b/>
              </w:rPr>
              <w:t>Frequency of update</w:t>
            </w:r>
          </w:p>
          <w:p w14:paraId="7F000488"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EBAC606" w14:textId="77777777" w:rsidR="00EA4F02" w:rsidRDefault="005A1E4B">
            <w:pPr>
              <w:spacing w:after="0"/>
              <w:rPr>
                <w:color w:val="000000"/>
              </w:rPr>
            </w:pPr>
            <w:r>
              <w:rPr>
                <w:color w:val="000000"/>
              </w:rPr>
              <w:t>Mostly daily. Potentially, urban heat plans could be put in practice and then, it would be important to be able to distinguish different parts of the day, which at city level are affected differently by Heat Urban Island effect which is more intense typica</w:t>
            </w:r>
            <w:r>
              <w:rPr>
                <w:color w:val="000000"/>
              </w:rPr>
              <w:t xml:space="preserve">lly at night. </w:t>
            </w:r>
          </w:p>
        </w:tc>
      </w:tr>
      <w:tr w:rsidR="00EA4F02" w14:paraId="2C97B283"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86B46F8" w14:textId="77777777" w:rsidR="00EA4F02" w:rsidRDefault="005A1E4B">
            <w:pPr>
              <w:spacing w:after="0"/>
              <w:rPr>
                <w:b/>
              </w:rPr>
            </w:pPr>
            <w:r>
              <w:rPr>
                <w:b/>
              </w:rPr>
              <w:t>Horizontal spatial resolution</w:t>
            </w:r>
          </w:p>
          <w:p w14:paraId="268E875D" w14:textId="77777777" w:rsidR="00EA4F02" w:rsidRDefault="00EA4F02">
            <w:pPr>
              <w:spacing w:after="0"/>
            </w:pPr>
          </w:p>
          <w:p w14:paraId="44EBCA82"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4C4C142" w14:textId="77777777" w:rsidR="00EA4F02" w:rsidRDefault="005A1E4B">
            <w:pPr>
              <w:spacing w:after="0"/>
            </w:pPr>
            <w:r>
              <w:t xml:space="preserve">The data is needed for the current plan at region scale resolution. </w:t>
            </w:r>
          </w:p>
          <w:p w14:paraId="2B36C743" w14:textId="77777777" w:rsidR="00EA4F02" w:rsidRDefault="005A1E4B">
            <w:pPr>
              <w:spacing w:after="0"/>
            </w:pPr>
            <w:r>
              <w:t xml:space="preserve">But, there is a big need to go to smaller scales, </w:t>
            </w:r>
            <w:proofErr w:type="gramStart"/>
            <w:r>
              <w:t>in particular to</w:t>
            </w:r>
            <w:proofErr w:type="gramEnd"/>
            <w:r>
              <w:t xml:space="preserve"> the city level for big cities.</w:t>
            </w:r>
          </w:p>
          <w:p w14:paraId="6F871759" w14:textId="77777777" w:rsidR="00EA4F02" w:rsidRDefault="005A1E4B">
            <w:pPr>
              <w:spacing w:after="0"/>
            </w:pPr>
            <w:r>
              <w:t>The requirement from Public Health Englan</w:t>
            </w:r>
            <w:r>
              <w:t xml:space="preserve">d is to develop impact based models and indicators that </w:t>
            </w:r>
            <w:proofErr w:type="gramStart"/>
            <w:r>
              <w:t>take into account</w:t>
            </w:r>
            <w:proofErr w:type="gramEnd"/>
            <w:r>
              <w:t xml:space="preserve"> the impacts on society including information about the vulnerability and socio-economic profile of the population.</w:t>
            </w:r>
          </w:p>
        </w:tc>
      </w:tr>
      <w:tr w:rsidR="00EA4F02" w14:paraId="22A1CDEA"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2A804C2" w14:textId="77777777" w:rsidR="00EA4F02" w:rsidRDefault="005A1E4B">
            <w:pPr>
              <w:spacing w:after="0"/>
              <w:rPr>
                <w:b/>
              </w:rPr>
            </w:pPr>
            <w:r>
              <w:rPr>
                <w:b/>
              </w:rPr>
              <w:t>Horizontal Spatial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2CB7706" w14:textId="77777777" w:rsidR="00EA4F02" w:rsidRDefault="005A1E4B">
            <w:pPr>
              <w:spacing w:after="0"/>
              <w:rPr>
                <w:color w:val="FF0000"/>
              </w:rPr>
            </w:pPr>
            <w:r>
              <w:rPr>
                <w:color w:val="000000"/>
              </w:rPr>
              <w:t>Specific regions from England: London,</w:t>
            </w:r>
            <w:r>
              <w:rPr>
                <w:color w:val="000000"/>
              </w:rPr>
              <w:t xml:space="preserve"> South East, South West, Eastern, West Midlands, East Midlands, North West, Yorkshire and Humber, North East.</w:t>
            </w:r>
            <w:r>
              <w:rPr>
                <w:color w:val="FF0000"/>
              </w:rPr>
              <w:tab/>
            </w:r>
          </w:p>
        </w:tc>
      </w:tr>
      <w:tr w:rsidR="00EA4F02" w14:paraId="20689EA0"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4654E58" w14:textId="77777777" w:rsidR="00EA4F02" w:rsidRDefault="005A1E4B">
            <w:pPr>
              <w:spacing w:after="0"/>
              <w:rPr>
                <w:b/>
              </w:rPr>
            </w:pPr>
            <w:r>
              <w:rPr>
                <w:b/>
              </w:rPr>
              <w:t xml:space="preserve">Vertical spatial </w:t>
            </w:r>
            <w:r>
              <w:rPr>
                <w:b/>
              </w:rPr>
              <w:lastRenderedPageBreak/>
              <w:t>resolution</w:t>
            </w:r>
          </w:p>
          <w:p w14:paraId="2D7B529F" w14:textId="77777777" w:rsidR="00EA4F02" w:rsidRDefault="00EA4F02">
            <w:pPr>
              <w:spacing w:after="0"/>
              <w:rPr>
                <w:b/>
              </w:rPr>
            </w:pPr>
          </w:p>
          <w:p w14:paraId="6F1D70A1"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776CCA5" w14:textId="77777777" w:rsidR="00EA4F02" w:rsidRDefault="005A1E4B">
            <w:pPr>
              <w:spacing w:after="0"/>
              <w:rPr>
                <w:color w:val="000000"/>
              </w:rPr>
            </w:pPr>
            <w:r>
              <w:rPr>
                <w:color w:val="000000"/>
              </w:rPr>
              <w:lastRenderedPageBreak/>
              <w:t>Surface data.</w:t>
            </w:r>
          </w:p>
          <w:p w14:paraId="0395AF09" w14:textId="77777777" w:rsidR="00EA4F02" w:rsidRDefault="005A1E4B">
            <w:pPr>
              <w:spacing w:after="0"/>
              <w:rPr>
                <w:color w:val="000000"/>
              </w:rPr>
            </w:pPr>
            <w:r>
              <w:rPr>
                <w:color w:val="000000"/>
              </w:rPr>
              <w:lastRenderedPageBreak/>
              <w:t>Vertical profiles are sometimes needed for posterior evaluation of heat waves, when temperature inve</w:t>
            </w:r>
            <w:r>
              <w:rPr>
                <w:color w:val="000000"/>
              </w:rPr>
              <w:t xml:space="preserve">rsion may be sometimes observed.  </w:t>
            </w:r>
          </w:p>
        </w:tc>
      </w:tr>
      <w:tr w:rsidR="00EA4F02" w14:paraId="09F7F42D"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89A15FF" w14:textId="77777777" w:rsidR="00EA4F02" w:rsidRDefault="005A1E4B">
            <w:pPr>
              <w:spacing w:after="0"/>
              <w:rPr>
                <w:b/>
              </w:rPr>
            </w:pPr>
            <w:r>
              <w:rPr>
                <w:b/>
              </w:rPr>
              <w:lastRenderedPageBreak/>
              <w:t>Vertical spatial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A4AC87A" w14:textId="77777777" w:rsidR="00EA4F02" w:rsidRDefault="005A1E4B">
            <w:pPr>
              <w:spacing w:after="0"/>
              <w:rPr>
                <w:color w:val="000000"/>
              </w:rPr>
            </w:pPr>
            <w:r>
              <w:rPr>
                <w:color w:val="000000"/>
              </w:rPr>
              <w:t>Surface data.</w:t>
            </w:r>
          </w:p>
          <w:p w14:paraId="21F9DF4B" w14:textId="77777777" w:rsidR="00EA4F02" w:rsidRDefault="00EA4F02">
            <w:pPr>
              <w:spacing w:after="0"/>
              <w:rPr>
                <w:i/>
              </w:rPr>
            </w:pPr>
          </w:p>
        </w:tc>
      </w:tr>
      <w:tr w:rsidR="00EA4F02" w14:paraId="5FB2676E"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85F111B" w14:textId="77777777" w:rsidR="00EA4F02" w:rsidRDefault="005A1E4B">
            <w:pPr>
              <w:spacing w:after="0"/>
              <w:rPr>
                <w:b/>
              </w:rPr>
            </w:pPr>
            <w:r>
              <w:rPr>
                <w:b/>
              </w:rPr>
              <w:t>Temporal resolution</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21FF979" w14:textId="77777777" w:rsidR="00EA4F02" w:rsidRDefault="005A1E4B">
            <w:pPr>
              <w:spacing w:after="0"/>
              <w:rPr>
                <w:color w:val="000000"/>
              </w:rPr>
            </w:pPr>
            <w:r>
              <w:rPr>
                <w:color w:val="000000"/>
              </w:rPr>
              <w:t xml:space="preserve">Daily and sub-daily data would be necessary for urban heat plans. </w:t>
            </w:r>
          </w:p>
        </w:tc>
      </w:tr>
      <w:tr w:rsidR="00EA4F02" w14:paraId="6F5B501F"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A36C3F2" w14:textId="77777777" w:rsidR="00EA4F02" w:rsidRDefault="005A1E4B">
            <w:pPr>
              <w:spacing w:after="0"/>
              <w:rPr>
                <w:b/>
              </w:rPr>
            </w:pPr>
            <w:r>
              <w:rPr>
                <w:b/>
              </w:rPr>
              <w:t>Temporal coverage</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20804B8" w14:textId="77777777" w:rsidR="00EA4F02" w:rsidRDefault="005A1E4B">
            <w:pPr>
              <w:spacing w:after="0"/>
              <w:rPr>
                <w:color w:val="000000"/>
              </w:rPr>
            </w:pPr>
            <w:r>
              <w:rPr>
                <w:color w:val="000000"/>
              </w:rPr>
              <w:t>From 1 of June to 15 September each year.</w:t>
            </w:r>
          </w:p>
          <w:p w14:paraId="08A9A63E" w14:textId="77777777" w:rsidR="00EA4F02" w:rsidRDefault="00EA4F02">
            <w:pPr>
              <w:spacing w:after="0"/>
              <w:rPr>
                <w:i/>
              </w:rPr>
            </w:pPr>
          </w:p>
        </w:tc>
      </w:tr>
      <w:tr w:rsidR="00EA4F02" w14:paraId="1432154C" w14:textId="77777777" w:rsidTr="00764640">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1D1D9D8E" w14:textId="77777777" w:rsidR="00EA4F02" w:rsidRDefault="005A1E4B">
            <w:pPr>
              <w:spacing w:after="0"/>
              <w:rPr>
                <w:i/>
              </w:rPr>
            </w:pPr>
            <w:r>
              <w:rPr>
                <w:b/>
              </w:rPr>
              <w:t xml:space="preserve">Normal flow of events - </w:t>
            </w:r>
            <w:r>
              <w:rPr>
                <w:i/>
              </w:rPr>
              <w:t xml:space="preserve">The typical flow of events from user request, to successfully obtaining the climate data, to using the data. Document the step-by-step chain of activities. </w:t>
            </w:r>
          </w:p>
        </w:tc>
      </w:tr>
      <w:tr w:rsidR="00EA4F02" w14:paraId="5E13DE8C" w14:textId="77777777" w:rsidTr="00764640">
        <w:trPr>
          <w:trHeight w:val="955"/>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067CDBD" w14:textId="77777777" w:rsidR="00EA4F02" w:rsidRDefault="005A1E4B">
            <w:pPr>
              <w:spacing w:after="0"/>
              <w:rPr>
                <w:b/>
              </w:rPr>
            </w:pPr>
            <w:r>
              <w:rPr>
                <w:b/>
              </w:rPr>
              <w:t>Internal or external processing</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94CB04B" w14:textId="77777777" w:rsidR="00EA4F02" w:rsidRDefault="005A1E4B">
            <w:pPr>
              <w:spacing w:after="0"/>
            </w:pPr>
            <w:r>
              <w:t xml:space="preserve">For Met </w:t>
            </w:r>
            <w:proofErr w:type="gramStart"/>
            <w:r>
              <w:t>Office</w:t>
            </w:r>
            <w:proofErr w:type="gramEnd"/>
            <w:r>
              <w:t xml:space="preserve"> internally, for PHE and others externally.</w:t>
            </w:r>
          </w:p>
        </w:tc>
      </w:tr>
      <w:tr w:rsidR="00EA4F02" w14:paraId="3D1D85E8"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B4D8EA1" w14:textId="77777777" w:rsidR="00EA4F02" w:rsidRDefault="005A1E4B">
            <w:pPr>
              <w:spacing w:after="0"/>
              <w:rPr>
                <w:b/>
              </w:rPr>
            </w:pPr>
            <w:r>
              <w:rPr>
                <w:b/>
              </w:rPr>
              <w:t>Details</w:t>
            </w:r>
            <w:r>
              <w:rPr>
                <w:b/>
              </w:rPr>
              <w:t xml:space="preserve"> on data processing / manipulation</w:t>
            </w:r>
          </w:p>
          <w:p w14:paraId="2965944D"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8F71155" w14:textId="77777777" w:rsidR="00EA4F02" w:rsidRDefault="005A1E4B">
            <w:pPr>
              <w:spacing w:after="0"/>
            </w:pPr>
            <w:r>
              <w:t xml:space="preserve">Met Office generate data and check if the heatwave threshold </w:t>
            </w:r>
            <w:proofErr w:type="gramStart"/>
            <w:r>
              <w:t>are</w:t>
            </w:r>
            <w:proofErr w:type="gramEnd"/>
            <w:r>
              <w:t xml:space="preserve"> surpassed. I</w:t>
            </w:r>
            <w:r>
              <w:t xml:space="preserve">n practice </w:t>
            </w:r>
            <w:r>
              <w:t xml:space="preserve">Met Office </w:t>
            </w:r>
            <w:proofErr w:type="gramStart"/>
            <w:r>
              <w:t>forecasters</w:t>
            </w:r>
            <w:proofErr w:type="gramEnd"/>
            <w:r>
              <w:t xml:space="preserve"> will look at a range of data and models, including post-processed model output. The key source </w:t>
            </w:r>
            <w:proofErr w:type="gramStart"/>
            <w:r>
              <w:t>at this time</w:t>
            </w:r>
            <w:proofErr w:type="gramEnd"/>
            <w:r>
              <w:t xml:space="preserve"> </w:t>
            </w:r>
            <w:r>
              <w:t>range is possibly output from the Met Office Global and Regional Ensemble Prediction System (MOGREPS), supplemented by the ECMWF ensemble, but individual forecasters may prefer to look at deterministic models as well.</w:t>
            </w:r>
          </w:p>
          <w:p w14:paraId="7960CF07" w14:textId="77777777" w:rsidR="00EA4F02" w:rsidRDefault="005A1E4B">
            <w:pPr>
              <w:spacing w:after="0"/>
            </w:pPr>
            <w:r>
              <w:t>If so, after a consultation between Me</w:t>
            </w:r>
            <w:r>
              <w:t xml:space="preserve">t Office and PHE, the Met Office sends an alert to many agents </w:t>
            </w:r>
            <w:proofErr w:type="gramStart"/>
            <w:r>
              <w:t>involve</w:t>
            </w:r>
            <w:bookmarkStart w:id="0" w:name="_GoBack"/>
            <w:bookmarkEnd w:id="0"/>
            <w:r>
              <w:t>d(</w:t>
            </w:r>
            <w:proofErr w:type="gramEnd"/>
            <w:r>
              <w:t>Public via media, Local Authorities, NHS England and other government departments).</w:t>
            </w:r>
          </w:p>
          <w:p w14:paraId="11F347FE" w14:textId="77777777" w:rsidR="00EA4F02" w:rsidRDefault="005A1E4B">
            <w:pPr>
              <w:spacing w:after="0"/>
            </w:pPr>
            <w:r>
              <w:t xml:space="preserve">The email alert if that is the case containing the risk per region, among others. </w:t>
            </w:r>
          </w:p>
        </w:tc>
      </w:tr>
      <w:tr w:rsidR="00EA4F02" w14:paraId="425A0D6D" w14:textId="77777777" w:rsidTr="00764640">
        <w:trPr>
          <w:trHeight w:val="844"/>
        </w:trPr>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30A6FCAF" w14:textId="77777777" w:rsidR="00EA4F02" w:rsidRDefault="005A1E4B">
            <w:pPr>
              <w:spacing w:after="0"/>
              <w:rPr>
                <w:b/>
              </w:rPr>
            </w:pPr>
            <w:r>
              <w:rPr>
                <w:b/>
              </w:rPr>
              <w:t xml:space="preserve">Tools for data </w:t>
            </w:r>
            <w:r>
              <w:rPr>
                <w:b/>
              </w:rPr>
              <w:t>processing</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1389287" w14:textId="77777777" w:rsidR="00EA4F02" w:rsidRDefault="005A1E4B">
            <w:pPr>
              <w:spacing w:after="0"/>
              <w:rPr>
                <w:color w:val="000000"/>
              </w:rPr>
            </w:pPr>
            <w:r>
              <w:rPr>
                <w:color w:val="000000"/>
              </w:rPr>
              <w:t xml:space="preserve">The raw data is generated with the Met Office Unified model, averaged up to the desired regional level and threshold combining two days ahead (heatwave definition). </w:t>
            </w:r>
          </w:p>
        </w:tc>
      </w:tr>
      <w:tr w:rsidR="00EA4F02" w14:paraId="0DEB45CC" w14:textId="77777777" w:rsidTr="00764640">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13C1D3E9" w14:textId="77777777" w:rsidR="00EA4F02" w:rsidRDefault="005A1E4B">
            <w:pPr>
              <w:spacing w:after="0"/>
              <w:rPr>
                <w:b/>
              </w:rPr>
            </w:pPr>
            <w:r>
              <w:rPr>
                <w:b/>
              </w:rPr>
              <w:t xml:space="preserve">User requirements in relation to accessibility and visualisation </w:t>
            </w:r>
          </w:p>
        </w:tc>
      </w:tr>
      <w:tr w:rsidR="00EA4F02" w14:paraId="74019F07"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5E166C6" w14:textId="77777777" w:rsidR="00EA4F02" w:rsidRDefault="005A1E4B">
            <w:pPr>
              <w:spacing w:after="0"/>
              <w:rPr>
                <w:b/>
              </w:rPr>
            </w:pPr>
            <w:r>
              <w:rPr>
                <w:b/>
              </w:rPr>
              <w:t>Accessibility</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3306E3C" w14:textId="77777777" w:rsidR="00EA4F02" w:rsidRDefault="005A1E4B">
            <w:pPr>
              <w:spacing w:after="0"/>
              <w:rPr>
                <w:color w:val="000000"/>
              </w:rPr>
            </w:pPr>
            <w:r>
              <w:rPr>
                <w:color w:val="000000"/>
              </w:rPr>
              <w:t>-</w:t>
            </w:r>
          </w:p>
        </w:tc>
      </w:tr>
      <w:tr w:rsidR="00EA4F02" w14:paraId="244111E8"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7D3EC854" w14:textId="77777777" w:rsidR="00EA4F02" w:rsidRDefault="005A1E4B">
            <w:pPr>
              <w:spacing w:after="0"/>
              <w:rPr>
                <w:b/>
              </w:rPr>
            </w:pPr>
            <w:r>
              <w:rPr>
                <w:b/>
              </w:rPr>
              <w:t>Visualisation capabilities required</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C9827F0" w14:textId="77777777" w:rsidR="00EA4F02" w:rsidRDefault="005A1E4B">
            <w:pPr>
              <w:spacing w:after="0"/>
              <w:rPr>
                <w:color w:val="000000"/>
              </w:rPr>
            </w:pPr>
            <w:r>
              <w:rPr>
                <w:color w:val="000000"/>
              </w:rPr>
              <w:t xml:space="preserve">Maps for specific regions of a level of alert. </w:t>
            </w:r>
          </w:p>
        </w:tc>
      </w:tr>
      <w:tr w:rsidR="00EA4F02" w14:paraId="3B784151" w14:textId="77777777" w:rsidTr="00764640">
        <w:tc>
          <w:tcPr>
            <w:tcW w:w="9006" w:type="dxa"/>
            <w:gridSpan w:val="2"/>
            <w:tcBorders>
              <w:top w:val="single" w:sz="4" w:space="0" w:color="00000A"/>
              <w:left w:val="single" w:sz="4" w:space="0" w:color="00000A"/>
              <w:bottom w:val="single" w:sz="4" w:space="0" w:color="00000A"/>
              <w:right w:val="single" w:sz="4" w:space="0" w:color="00000A"/>
            </w:tcBorders>
            <w:shd w:val="clear" w:color="auto" w:fill="BFBFBF"/>
            <w:tcMar>
              <w:left w:w="63" w:type="dxa"/>
            </w:tcMar>
          </w:tcPr>
          <w:p w14:paraId="6F58C486" w14:textId="77777777" w:rsidR="00EA4F02" w:rsidRDefault="005A1E4B">
            <w:pPr>
              <w:spacing w:after="0"/>
              <w:rPr>
                <w:i/>
              </w:rPr>
            </w:pPr>
            <w:r>
              <w:rPr>
                <w:b/>
              </w:rPr>
              <w:t xml:space="preserve">Quality requirements - </w:t>
            </w:r>
            <w:r>
              <w:rPr>
                <w:i/>
              </w:rPr>
              <w:t xml:space="preserve">What information do users require about the quality of climate information </w:t>
            </w:r>
            <w:proofErr w:type="gramStart"/>
            <w:r>
              <w:rPr>
                <w:i/>
              </w:rPr>
              <w:t>in order to</w:t>
            </w:r>
            <w:proofErr w:type="gramEnd"/>
            <w:r>
              <w:rPr>
                <w:i/>
              </w:rPr>
              <w:t xml:space="preserve"> use the climate information. Essentially ECM</w:t>
            </w:r>
            <w:r>
              <w:rPr>
                <w:i/>
              </w:rPr>
              <w:t xml:space="preserve">WF wants to know what is the minimum ‘quality’ that is required </w:t>
            </w:r>
            <w:proofErr w:type="gramStart"/>
            <w:r>
              <w:rPr>
                <w:i/>
              </w:rPr>
              <w:t>in order for</w:t>
            </w:r>
            <w:proofErr w:type="gramEnd"/>
            <w:r>
              <w:rPr>
                <w:i/>
              </w:rPr>
              <w:t xml:space="preserve"> the user to decide whether or not to use the dataset. </w:t>
            </w:r>
          </w:p>
        </w:tc>
      </w:tr>
      <w:tr w:rsidR="00EA4F02" w14:paraId="393E6558"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F6E84FD" w14:textId="77777777" w:rsidR="00EA4F02" w:rsidRDefault="005A1E4B">
            <w:pPr>
              <w:spacing w:after="0"/>
              <w:rPr>
                <w:b/>
              </w:rPr>
            </w:pPr>
            <w:r>
              <w:rPr>
                <w:b/>
              </w:rPr>
              <w:t xml:space="preserve">Level of skilfulness </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DF0991B" w14:textId="77777777" w:rsidR="00EA4F02" w:rsidRDefault="005A1E4B">
            <w:pPr>
              <w:pStyle w:val="Default"/>
              <w:rPr>
                <w:sz w:val="22"/>
                <w:szCs w:val="22"/>
              </w:rPr>
            </w:pPr>
            <w:r>
              <w:rPr>
                <w:sz w:val="22"/>
                <w:szCs w:val="22"/>
              </w:rPr>
              <w:t xml:space="preserve">The minimum skill would depend on the specific </w:t>
            </w:r>
            <w:proofErr w:type="gramStart"/>
            <w:r>
              <w:rPr>
                <w:sz w:val="22"/>
                <w:szCs w:val="22"/>
              </w:rPr>
              <w:t>final end</w:t>
            </w:r>
            <w:proofErr w:type="gramEnd"/>
            <w:r>
              <w:rPr>
                <w:sz w:val="22"/>
                <w:szCs w:val="22"/>
              </w:rPr>
              <w:t xml:space="preserve"> user. The person from Public Health England thinks that a cost-benefit detailed analysis would be required to answer properly this question. </w:t>
            </w:r>
            <w:r w:rsidRPr="00FA52E1">
              <w:rPr>
                <w:sz w:val="22"/>
                <w:szCs w:val="22"/>
                <w:highlight w:val="yellow"/>
              </w:rPr>
              <w:t>Angie Bone says the alerts are not very costly as only beh</w:t>
            </w:r>
            <w:r w:rsidRPr="00FA52E1">
              <w:rPr>
                <w:sz w:val="22"/>
                <w:szCs w:val="22"/>
                <w:highlight w:val="yellow"/>
              </w:rPr>
              <w:t>avioural changes can be put in place. There is not the capacity of having extra people working in hospitals due to a Heat wave, for example.</w:t>
            </w:r>
            <w:r>
              <w:rPr>
                <w:sz w:val="22"/>
                <w:szCs w:val="22"/>
              </w:rPr>
              <w:t xml:space="preserve"> </w:t>
            </w:r>
          </w:p>
          <w:p w14:paraId="322E6751" w14:textId="77777777" w:rsidR="00EA4F02" w:rsidRDefault="005A1E4B">
            <w:pPr>
              <w:pStyle w:val="Default"/>
              <w:rPr>
                <w:sz w:val="22"/>
                <w:szCs w:val="22"/>
              </w:rPr>
            </w:pPr>
            <w:r>
              <w:rPr>
                <w:sz w:val="22"/>
                <w:szCs w:val="22"/>
              </w:rPr>
              <w:t>T</w:t>
            </w:r>
            <w:r>
              <w:rPr>
                <w:sz w:val="22"/>
                <w:szCs w:val="22"/>
              </w:rPr>
              <w:t xml:space="preserve">hey prefer having higher spatial resolution than more skilful predictions for longer lead times. </w:t>
            </w:r>
            <w:proofErr w:type="spellStart"/>
            <w:r>
              <w:rPr>
                <w:sz w:val="22"/>
                <w:szCs w:val="22"/>
              </w:rPr>
              <w:t>MetOffice</w:t>
            </w:r>
            <w:proofErr w:type="spellEnd"/>
            <w:r>
              <w:rPr>
                <w:sz w:val="22"/>
                <w:szCs w:val="22"/>
              </w:rPr>
              <w:t xml:space="preserve"> find h</w:t>
            </w:r>
            <w:r>
              <w:rPr>
                <w:sz w:val="22"/>
                <w:szCs w:val="22"/>
              </w:rPr>
              <w:t>ighly beneficial the use of multi-model approaches.</w:t>
            </w:r>
          </w:p>
        </w:tc>
      </w:tr>
      <w:tr w:rsidR="00EA4F02" w14:paraId="55462D05"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9C2AF6C" w14:textId="77777777" w:rsidR="00EA4F02" w:rsidRDefault="005A1E4B">
            <w:pPr>
              <w:spacing w:after="0"/>
              <w:rPr>
                <w:b/>
              </w:rPr>
            </w:pPr>
            <w:r>
              <w:rPr>
                <w:b/>
              </w:rPr>
              <w:t xml:space="preserve">Validation of data </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CD07C88" w14:textId="77777777" w:rsidR="00EA4F02" w:rsidRDefault="005A1E4B">
            <w:pPr>
              <w:pStyle w:val="Default"/>
              <w:rPr>
                <w:color w:val="7030A0"/>
                <w:sz w:val="22"/>
                <w:szCs w:val="22"/>
              </w:rPr>
            </w:pPr>
            <w:r>
              <w:rPr>
                <w:color w:val="7030A0"/>
                <w:sz w:val="22"/>
                <w:szCs w:val="22"/>
              </w:rPr>
              <w:t>-</w:t>
            </w:r>
          </w:p>
        </w:tc>
      </w:tr>
      <w:tr w:rsidR="00EA4F02" w14:paraId="12CD30DE"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0039FAD4" w14:textId="77777777" w:rsidR="00EA4F02" w:rsidRDefault="005A1E4B">
            <w:pPr>
              <w:spacing w:after="0"/>
              <w:rPr>
                <w:b/>
              </w:rPr>
            </w:pPr>
            <w:r>
              <w:rPr>
                <w:b/>
              </w:rPr>
              <w:lastRenderedPageBreak/>
              <w:t>Meta data</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4B583A9B" w14:textId="77777777" w:rsidR="00EA4F02" w:rsidRDefault="005A1E4B">
            <w:pPr>
              <w:pStyle w:val="Default"/>
              <w:rPr>
                <w:color w:val="7030A0"/>
                <w:sz w:val="22"/>
                <w:szCs w:val="22"/>
              </w:rPr>
            </w:pPr>
            <w:r>
              <w:rPr>
                <w:color w:val="7030A0"/>
                <w:sz w:val="22"/>
                <w:szCs w:val="22"/>
              </w:rPr>
              <w:t>-</w:t>
            </w:r>
          </w:p>
        </w:tc>
      </w:tr>
      <w:tr w:rsidR="00EA4F02" w14:paraId="3FBEE258"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4D86D5E" w14:textId="77777777" w:rsidR="00EA4F02" w:rsidRDefault="005A1E4B">
            <w:pPr>
              <w:spacing w:after="0"/>
              <w:rPr>
                <w:b/>
              </w:rPr>
            </w:pPr>
            <w:r>
              <w:rPr>
                <w:b/>
              </w:rPr>
              <w:t>Stability</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DE89C3E" w14:textId="77777777" w:rsidR="00EA4F02" w:rsidRDefault="005A1E4B">
            <w:pPr>
              <w:pStyle w:val="Default"/>
              <w:rPr>
                <w:i/>
                <w:color w:val="00000A"/>
                <w:sz w:val="22"/>
                <w:szCs w:val="22"/>
              </w:rPr>
            </w:pPr>
            <w:r>
              <w:rPr>
                <w:i/>
                <w:color w:val="00000A"/>
                <w:sz w:val="22"/>
                <w:szCs w:val="22"/>
              </w:rPr>
              <w:t>-</w:t>
            </w:r>
          </w:p>
        </w:tc>
      </w:tr>
      <w:tr w:rsidR="00EA4F02" w14:paraId="1E1BE0A7"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18FE326C" w14:textId="77777777" w:rsidR="00EA4F02" w:rsidRDefault="005A1E4B">
            <w:pPr>
              <w:spacing w:after="0"/>
              <w:rPr>
                <w:b/>
              </w:rPr>
            </w:pPr>
            <w:r>
              <w:rPr>
                <w:b/>
              </w:rPr>
              <w:t>Uncertainty representation</w:t>
            </w:r>
          </w:p>
          <w:p w14:paraId="6AE114A6" w14:textId="77777777" w:rsidR="00EA4F02" w:rsidRDefault="00EA4F02">
            <w:pPr>
              <w:spacing w:after="0"/>
            </w:pP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57E22614" w14:textId="77777777" w:rsidR="00EA4F02" w:rsidRDefault="005A1E4B">
            <w:pPr>
              <w:pStyle w:val="Default"/>
              <w:rPr>
                <w:sz w:val="22"/>
                <w:szCs w:val="22"/>
              </w:rPr>
            </w:pPr>
            <w:r>
              <w:rPr>
                <w:sz w:val="22"/>
                <w:szCs w:val="22"/>
              </w:rPr>
              <w:t xml:space="preserve">An alert is only issued if there is a 60% chance of surpassing threshold. The uncertainty information is already incorporated </w:t>
            </w:r>
            <w:r>
              <w:rPr>
                <w:sz w:val="22"/>
                <w:szCs w:val="22"/>
              </w:rPr>
              <w:t xml:space="preserve">in the </w:t>
            </w:r>
            <w:proofErr w:type="gramStart"/>
            <w:r>
              <w:rPr>
                <w:sz w:val="22"/>
                <w:szCs w:val="22"/>
              </w:rPr>
              <w:t>decision making</w:t>
            </w:r>
            <w:proofErr w:type="gramEnd"/>
            <w:r>
              <w:rPr>
                <w:sz w:val="22"/>
                <w:szCs w:val="22"/>
              </w:rPr>
              <w:t xml:space="preserve"> process and in the level of alert.</w:t>
            </w:r>
          </w:p>
          <w:p w14:paraId="19DBBE2F" w14:textId="77777777" w:rsidR="00EA4F02" w:rsidRDefault="005A1E4B">
            <w:pPr>
              <w:pStyle w:val="Default"/>
              <w:rPr>
                <w:color w:val="00000A"/>
                <w:sz w:val="22"/>
                <w:szCs w:val="22"/>
              </w:rPr>
            </w:pPr>
            <w:r>
              <w:rPr>
                <w:color w:val="00000A"/>
                <w:sz w:val="22"/>
                <w:szCs w:val="22"/>
              </w:rPr>
              <w:t xml:space="preserve">This also would depend on the user and cost of false alarms for each case. For the Met </w:t>
            </w:r>
            <w:proofErr w:type="gramStart"/>
            <w:r>
              <w:rPr>
                <w:color w:val="00000A"/>
                <w:sz w:val="22"/>
                <w:szCs w:val="22"/>
              </w:rPr>
              <w:t>Office</w:t>
            </w:r>
            <w:proofErr w:type="gramEnd"/>
            <w:r>
              <w:rPr>
                <w:color w:val="00000A"/>
                <w:sz w:val="22"/>
                <w:szCs w:val="22"/>
              </w:rPr>
              <w:t xml:space="preserve"> this cost could be also in terms of </w:t>
            </w:r>
            <w:proofErr w:type="spellStart"/>
            <w:r>
              <w:rPr>
                <w:color w:val="00000A"/>
                <w:sz w:val="22"/>
                <w:szCs w:val="22"/>
              </w:rPr>
              <w:t>lost</w:t>
            </w:r>
            <w:proofErr w:type="spellEnd"/>
            <w:r>
              <w:rPr>
                <w:color w:val="00000A"/>
                <w:sz w:val="22"/>
                <w:szCs w:val="22"/>
              </w:rPr>
              <w:t xml:space="preserve"> of trust. </w:t>
            </w:r>
          </w:p>
        </w:tc>
      </w:tr>
      <w:tr w:rsidR="00EA4F02" w14:paraId="0F46B665" w14:textId="77777777" w:rsidTr="00764640">
        <w:tc>
          <w:tcPr>
            <w:tcW w:w="222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2E861666" w14:textId="77777777" w:rsidR="00EA4F02" w:rsidRDefault="005A1E4B">
            <w:pPr>
              <w:spacing w:after="0"/>
              <w:rPr>
                <w:b/>
              </w:rPr>
            </w:pPr>
            <w:r>
              <w:rPr>
                <w:b/>
              </w:rPr>
              <w:t>Other</w:t>
            </w:r>
          </w:p>
        </w:tc>
        <w:tc>
          <w:tcPr>
            <w:tcW w:w="6785"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14:paraId="69161594" w14:textId="77777777" w:rsidR="00EA4F02" w:rsidRDefault="005A1E4B">
            <w:pPr>
              <w:pStyle w:val="Default"/>
            </w:pPr>
            <w:r>
              <w:t>-</w:t>
            </w:r>
          </w:p>
        </w:tc>
      </w:tr>
    </w:tbl>
    <w:p w14:paraId="26CFFC30" w14:textId="77777777" w:rsidR="00EA4F02" w:rsidRDefault="005A1E4B">
      <w:r>
        <w:t xml:space="preserve"> </w:t>
      </w:r>
    </w:p>
    <w:p w14:paraId="140A7975" w14:textId="77777777" w:rsidR="00EA4F02" w:rsidRDefault="00EA4F02">
      <w:pPr>
        <w:spacing w:after="0" w:line="240" w:lineRule="auto"/>
        <w:jc w:val="both"/>
        <w:rPr>
          <w:rFonts w:ascii="Verdana" w:hAnsi="Verdana"/>
        </w:rPr>
      </w:pPr>
    </w:p>
    <w:p w14:paraId="70E243EF" w14:textId="77777777" w:rsidR="00EA4F02" w:rsidRDefault="00EA4F02">
      <w:pPr>
        <w:spacing w:after="0" w:line="240" w:lineRule="auto"/>
        <w:jc w:val="both"/>
        <w:rPr>
          <w:rFonts w:ascii="Verdana" w:hAnsi="Verdana"/>
          <w:b/>
        </w:rPr>
      </w:pPr>
    </w:p>
    <w:p w14:paraId="33551E23" w14:textId="77777777" w:rsidR="00EA4F02" w:rsidRDefault="00EA4F02">
      <w:pPr>
        <w:spacing w:after="0" w:line="240" w:lineRule="auto"/>
        <w:jc w:val="both"/>
      </w:pPr>
    </w:p>
    <w:sectPr w:rsidR="00EA4F02">
      <w:headerReference w:type="default" r:id="rId7"/>
      <w:footerReference w:type="default" r:id="rId8"/>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76B21" w14:textId="77777777" w:rsidR="005A1E4B" w:rsidRDefault="005A1E4B">
      <w:pPr>
        <w:spacing w:after="0" w:line="240" w:lineRule="auto"/>
      </w:pPr>
      <w:r>
        <w:separator/>
      </w:r>
    </w:p>
  </w:endnote>
  <w:endnote w:type="continuationSeparator" w:id="0">
    <w:p w14:paraId="203AF727" w14:textId="77777777" w:rsidR="005A1E4B" w:rsidRDefault="005A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charset w:val="01"/>
    <w:family w:val="roman"/>
    <w:pitch w:val="variable"/>
  </w:font>
  <w:font w:name="Segoe U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y">
    <w:altName w:val="Times New Roman"/>
    <w:charset w:val="01"/>
    <w:family w:val="roman"/>
    <w:pitch w:val="variable"/>
  </w:font>
  <w:font w:name="Calibri;sans-serif">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2AE8" w14:textId="77777777" w:rsidR="00EA4F02" w:rsidRDefault="005A1E4B">
    <w:pPr>
      <w:pStyle w:val="Footer"/>
      <w:jc w:val="center"/>
    </w:pPr>
    <w:r>
      <w:fldChar w:fldCharType="begin"/>
    </w:r>
    <w:r>
      <w:instrText>PAGE</w:instrText>
    </w:r>
    <w:r>
      <w:fldChar w:fldCharType="separate"/>
    </w:r>
    <w:r w:rsidR="00FA52E1">
      <w:rPr>
        <w:noProof/>
      </w:rPr>
      <w:t>1</w:t>
    </w:r>
    <w:r>
      <w:fldChar w:fldCharType="end"/>
    </w:r>
  </w:p>
  <w:p w14:paraId="0538FA80" w14:textId="77777777" w:rsidR="00EA4F02" w:rsidRDefault="00EA4F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8E14B" w14:textId="77777777" w:rsidR="005A1E4B" w:rsidRDefault="005A1E4B">
      <w:pPr>
        <w:spacing w:after="0" w:line="240" w:lineRule="auto"/>
      </w:pPr>
      <w:r>
        <w:separator/>
      </w:r>
    </w:p>
  </w:footnote>
  <w:footnote w:type="continuationSeparator" w:id="0">
    <w:p w14:paraId="14BFCAA6" w14:textId="77777777" w:rsidR="005A1E4B" w:rsidRDefault="005A1E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AB707" w14:textId="77777777" w:rsidR="00EA4F02" w:rsidRDefault="005A1E4B">
    <w:pPr>
      <w:pStyle w:val="Header"/>
    </w:pPr>
    <w:r>
      <w:rPr>
        <w:noProof/>
        <w:lang w:eastAsia="en-GB"/>
      </w:rPr>
      <w:drawing>
        <wp:anchor distT="0" distB="0" distL="114300" distR="114300" simplePos="0" relativeHeight="3" behindDoc="1" locked="0" layoutInCell="1" allowOverlap="1" wp14:anchorId="042385A0" wp14:editId="61C9F2D6">
          <wp:simplePos x="0" y="0"/>
          <wp:positionH relativeFrom="page">
            <wp:posOffset>18415</wp:posOffset>
          </wp:positionH>
          <wp:positionV relativeFrom="paragraph">
            <wp:posOffset>-486410</wp:posOffset>
          </wp:positionV>
          <wp:extent cx="7560310" cy="9048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14:paraId="0D6C3AF2" w14:textId="77777777" w:rsidR="00EA4F02" w:rsidRDefault="00EA4F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92"/>
  <w:characterSpacingControl w:val="doNotCompress"/>
  <w:footnotePr>
    <w:footnote w:id="-1"/>
    <w:footnote w:id="0"/>
  </w:footnotePr>
  <w:endnotePr>
    <w:endnote w:id="-1"/>
    <w:endnote w:id="0"/>
  </w:endnotePr>
  <w:compat>
    <w:compatSetting w:name="compatibilityMode" w:uri="http://schemas.microsoft.com/office/word" w:val="12"/>
  </w:compat>
  <w:rsids>
    <w:rsidRoot w:val="00EA4F02"/>
    <w:rsid w:val="005A1E4B"/>
    <w:rsid w:val="00764640"/>
    <w:rsid w:val="00EA4F02"/>
    <w:rsid w:val="00FA52E1"/>
    <w:rsid w:val="00FB44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1C34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ABE"/>
    <w:pPr>
      <w:suppressAutoHyphens/>
      <w:spacing w:after="20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9AD"/>
    <w:rPr>
      <w:sz w:val="16"/>
      <w:szCs w:val="16"/>
    </w:rPr>
  </w:style>
  <w:style w:type="character" w:customStyle="1" w:styleId="CommentTextChar">
    <w:name w:val="Comment Text Char"/>
    <w:basedOn w:val="DefaultParagraphFont"/>
    <w:link w:val="CommentText"/>
    <w:uiPriority w:val="99"/>
    <w:semiHidden/>
    <w:rsid w:val="007259AD"/>
    <w:rPr>
      <w:sz w:val="20"/>
      <w:szCs w:val="20"/>
    </w:rPr>
  </w:style>
  <w:style w:type="character" w:customStyle="1" w:styleId="CommentSubjectChar">
    <w:name w:val="Comment Subject Char"/>
    <w:basedOn w:val="CommentTextChar"/>
    <w:link w:val="CommentSubject"/>
    <w:uiPriority w:val="99"/>
    <w:semiHidden/>
    <w:rsid w:val="007259AD"/>
    <w:rPr>
      <w:b/>
      <w:bCs/>
      <w:sz w:val="20"/>
      <w:szCs w:val="20"/>
    </w:rPr>
  </w:style>
  <w:style w:type="character" w:customStyle="1" w:styleId="BalloonTextChar">
    <w:name w:val="Balloon Text Char"/>
    <w:basedOn w:val="DefaultParagraphFont"/>
    <w:link w:val="BalloonText"/>
    <w:uiPriority w:val="99"/>
    <w:semiHidden/>
    <w:rsid w:val="007259AD"/>
    <w:rPr>
      <w:rFonts w:ascii="Segoe UI" w:hAnsi="Segoe UI" w:cs="Segoe UI"/>
      <w:sz w:val="18"/>
      <w:szCs w:val="18"/>
    </w:rPr>
  </w:style>
  <w:style w:type="character" w:customStyle="1" w:styleId="HeaderChar">
    <w:name w:val="Header Char"/>
    <w:basedOn w:val="DefaultParagraphFont"/>
    <w:link w:val="Header"/>
    <w:uiPriority w:val="99"/>
    <w:rsid w:val="004F0F1B"/>
  </w:style>
  <w:style w:type="character" w:customStyle="1" w:styleId="FooterChar">
    <w:name w:val="Footer Char"/>
    <w:basedOn w:val="DefaultParagraphFont"/>
    <w:link w:val="Footer"/>
    <w:uiPriority w:val="99"/>
    <w:rsid w:val="004F0F1B"/>
  </w:style>
  <w:style w:type="character" w:customStyle="1" w:styleId="ListLabel1">
    <w:name w:val="ListLabel 1"/>
    <w:rPr>
      <w:rFonts w:cs="Courier New"/>
    </w:rPr>
  </w:style>
  <w:style w:type="character" w:customStyle="1" w:styleId="ListLabel2">
    <w:name w:val="ListLabel 2"/>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F4BA3"/>
    <w:pPr>
      <w:ind w:left="720"/>
      <w:contextualSpacing/>
    </w:pPr>
  </w:style>
  <w:style w:type="paragraph" w:customStyle="1" w:styleId="Default">
    <w:name w:val="Default"/>
    <w:rsid w:val="005F4BA3"/>
    <w:pPr>
      <w:suppressAutoHyphens/>
      <w:spacing w:line="240" w:lineRule="auto"/>
    </w:pPr>
    <w:rPr>
      <w:rFonts w:cs="Calibri"/>
      <w:color w:val="000000"/>
      <w:sz w:val="24"/>
      <w:szCs w:val="24"/>
    </w:rPr>
  </w:style>
  <w:style w:type="paragraph" w:styleId="CommentText">
    <w:name w:val="annotation text"/>
    <w:basedOn w:val="Normal"/>
    <w:link w:val="CommentTextChar"/>
    <w:uiPriority w:val="99"/>
    <w:semiHidden/>
    <w:unhideWhenUsed/>
    <w:rsid w:val="007259AD"/>
    <w:pPr>
      <w:spacing w:line="240" w:lineRule="auto"/>
    </w:pPr>
    <w:rPr>
      <w:sz w:val="20"/>
      <w:szCs w:val="20"/>
    </w:rPr>
  </w:style>
  <w:style w:type="paragraph" w:styleId="CommentSubject">
    <w:name w:val="annotation subject"/>
    <w:basedOn w:val="CommentText"/>
    <w:link w:val="CommentSubjectChar"/>
    <w:uiPriority w:val="99"/>
    <w:semiHidden/>
    <w:unhideWhenUsed/>
    <w:rsid w:val="007259AD"/>
    <w:rPr>
      <w:b/>
      <w:bCs/>
    </w:rPr>
  </w:style>
  <w:style w:type="paragraph" w:styleId="BalloonText">
    <w:name w:val="Balloon Text"/>
    <w:basedOn w:val="Normal"/>
    <w:link w:val="BalloonTextChar"/>
    <w:uiPriority w:val="99"/>
    <w:semiHidden/>
    <w:unhideWhenUsed/>
    <w:rsid w:val="007259A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4F0F1B"/>
    <w:pPr>
      <w:tabs>
        <w:tab w:val="center" w:pos="4513"/>
        <w:tab w:val="right" w:pos="9026"/>
      </w:tabs>
      <w:spacing w:after="0" w:line="240" w:lineRule="auto"/>
    </w:pPr>
  </w:style>
  <w:style w:type="paragraph" w:styleId="Footer">
    <w:name w:val="footer"/>
    <w:basedOn w:val="Normal"/>
    <w:link w:val="FooterChar"/>
    <w:uiPriority w:val="99"/>
    <w:unhideWhenUsed/>
    <w:rsid w:val="004F0F1B"/>
    <w:pPr>
      <w:tabs>
        <w:tab w:val="center" w:pos="4513"/>
        <w:tab w:val="right" w:pos="9026"/>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5F4B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ECAF-95D4-CF4A-8180-DEB5D4D3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1207</Words>
  <Characters>6884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jane.strachan</dc:creator>
  <cp:lastModifiedBy>Parks, Robbie M</cp:lastModifiedBy>
  <cp:revision>6</cp:revision>
  <cp:lastPrinted>2017-03-29T11:48:00Z</cp:lastPrinted>
  <dcterms:created xsi:type="dcterms:W3CDTF">2017-04-04T08:28:00Z</dcterms:created>
  <dcterms:modified xsi:type="dcterms:W3CDTF">2017-07-06T11:49:00Z</dcterms:modified>
  <dc:language>en-US</dc:language>
</cp:coreProperties>
</file>