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8312164" w:displacedByCustomXml="next"/>
    <w:bookmarkStart w:id="1" w:name="_Toc7079038" w:displacedByCustomXml="next"/>
    <w:sdt>
      <w:sdtPr>
        <w:rPr>
          <w:rFonts w:eastAsiaTheme="minorEastAsia" w:cs="Times New Roman"/>
          <w:b w:val="0"/>
          <w:sz w:val="24"/>
          <w:szCs w:val="24"/>
          <w:lang w:eastAsia="en-US"/>
        </w:rPr>
        <w:id w:val="-1652053317"/>
        <w:docPartObj>
          <w:docPartGallery w:val="Table of Contents"/>
          <w:docPartUnique/>
        </w:docPartObj>
      </w:sdtPr>
      <w:sdtEndPr>
        <w:rPr>
          <w:bCs/>
          <w:noProof/>
        </w:rPr>
      </w:sdtEndPr>
      <w:sdtContent>
        <w:p w14:paraId="53505C17" w14:textId="02D55FAD" w:rsidR="00E14922" w:rsidRDefault="00E14922" w:rsidP="00E14922">
          <w:pPr>
            <w:pStyle w:val="Heading1"/>
            <w:numPr>
              <w:ilvl w:val="0"/>
              <w:numId w:val="0"/>
            </w:numPr>
          </w:pPr>
          <w:r>
            <w:t>Table of Contents</w:t>
          </w:r>
          <w:bookmarkEnd w:id="0"/>
        </w:p>
        <w:p w14:paraId="7FE9DFB1" w14:textId="4086E09F" w:rsidR="007A4976" w:rsidRDefault="00E14922">
          <w:pPr>
            <w:pStyle w:val="TOC1"/>
            <w:tabs>
              <w:tab w:val="right" w:leader="dot" w:pos="9010"/>
            </w:tabs>
            <w:rPr>
              <w:rFonts w:cstheme="minorBidi"/>
              <w:b w:val="0"/>
              <w:bCs w:val="0"/>
              <w:i w:val="0"/>
              <w:iCs w:val="0"/>
              <w:noProof/>
              <w:lang w:eastAsia="en-US"/>
            </w:rPr>
          </w:pPr>
          <w:r w:rsidRPr="00E14922">
            <w:rPr>
              <w:rFonts w:ascii="Times New Roman" w:hAnsi="Times New Roman" w:cs="Times New Roman"/>
            </w:rPr>
            <w:fldChar w:fldCharType="begin"/>
          </w:r>
          <w:r w:rsidRPr="00E14922">
            <w:rPr>
              <w:rFonts w:ascii="Times New Roman" w:hAnsi="Times New Roman" w:cs="Times New Roman"/>
            </w:rPr>
            <w:instrText xml:space="preserve"> TOC \o "1-3" \h \z \u </w:instrText>
          </w:r>
          <w:r w:rsidRPr="00E14922">
            <w:rPr>
              <w:rFonts w:ascii="Times New Roman" w:hAnsi="Times New Roman" w:cs="Times New Roman"/>
            </w:rPr>
            <w:fldChar w:fldCharType="separate"/>
          </w:r>
          <w:hyperlink w:anchor="_Toc8312164" w:history="1">
            <w:r w:rsidR="007A4976" w:rsidRPr="00F177C6">
              <w:rPr>
                <w:rStyle w:val="Hyperlink"/>
                <w:noProof/>
              </w:rPr>
              <w:t>Table of Contents</w:t>
            </w:r>
            <w:r w:rsidR="007A4976">
              <w:rPr>
                <w:noProof/>
                <w:webHidden/>
              </w:rPr>
              <w:tab/>
            </w:r>
            <w:r w:rsidR="007A4976">
              <w:rPr>
                <w:noProof/>
                <w:webHidden/>
              </w:rPr>
              <w:fldChar w:fldCharType="begin"/>
            </w:r>
            <w:r w:rsidR="007A4976">
              <w:rPr>
                <w:noProof/>
                <w:webHidden/>
              </w:rPr>
              <w:instrText xml:space="preserve"> PAGEREF _Toc8312164 \h </w:instrText>
            </w:r>
            <w:r w:rsidR="007A4976">
              <w:rPr>
                <w:noProof/>
                <w:webHidden/>
              </w:rPr>
            </w:r>
            <w:r w:rsidR="007A4976">
              <w:rPr>
                <w:noProof/>
                <w:webHidden/>
              </w:rPr>
              <w:fldChar w:fldCharType="separate"/>
            </w:r>
            <w:r w:rsidR="007A4976">
              <w:rPr>
                <w:noProof/>
                <w:webHidden/>
              </w:rPr>
              <w:t>1</w:t>
            </w:r>
            <w:r w:rsidR="007A4976">
              <w:rPr>
                <w:noProof/>
                <w:webHidden/>
              </w:rPr>
              <w:fldChar w:fldCharType="end"/>
            </w:r>
          </w:hyperlink>
        </w:p>
        <w:p w14:paraId="4A378E60" w14:textId="01F16909" w:rsidR="007A4976" w:rsidRDefault="007A4976">
          <w:pPr>
            <w:pStyle w:val="TOC1"/>
            <w:tabs>
              <w:tab w:val="left" w:pos="480"/>
              <w:tab w:val="right" w:leader="dot" w:pos="9010"/>
            </w:tabs>
            <w:rPr>
              <w:rFonts w:cstheme="minorBidi"/>
              <w:b w:val="0"/>
              <w:bCs w:val="0"/>
              <w:i w:val="0"/>
              <w:iCs w:val="0"/>
              <w:noProof/>
              <w:lang w:eastAsia="en-US"/>
            </w:rPr>
          </w:pPr>
          <w:hyperlink w:anchor="_Toc8312165" w:history="1">
            <w:r w:rsidRPr="00F177C6">
              <w:rPr>
                <w:rStyle w:val="Hyperlink"/>
                <w:noProof/>
              </w:rPr>
              <w:t>1</w:t>
            </w:r>
            <w:r>
              <w:rPr>
                <w:rFonts w:cstheme="minorBidi"/>
                <w:b w:val="0"/>
                <w:bCs w:val="0"/>
                <w:i w:val="0"/>
                <w:iCs w:val="0"/>
                <w:noProof/>
                <w:lang w:eastAsia="en-US"/>
              </w:rPr>
              <w:tab/>
            </w:r>
            <w:r w:rsidRPr="00F177C6">
              <w:rPr>
                <w:rStyle w:val="Hyperlink"/>
                <w:noProof/>
              </w:rPr>
              <w:t>Background</w:t>
            </w:r>
            <w:r>
              <w:rPr>
                <w:noProof/>
                <w:webHidden/>
              </w:rPr>
              <w:tab/>
            </w:r>
            <w:r>
              <w:rPr>
                <w:noProof/>
                <w:webHidden/>
              </w:rPr>
              <w:fldChar w:fldCharType="begin"/>
            </w:r>
            <w:r>
              <w:rPr>
                <w:noProof/>
                <w:webHidden/>
              </w:rPr>
              <w:instrText xml:space="preserve"> PAGEREF _Toc8312165 \h </w:instrText>
            </w:r>
            <w:r>
              <w:rPr>
                <w:noProof/>
                <w:webHidden/>
              </w:rPr>
            </w:r>
            <w:r>
              <w:rPr>
                <w:noProof/>
                <w:webHidden/>
              </w:rPr>
              <w:fldChar w:fldCharType="separate"/>
            </w:r>
            <w:r>
              <w:rPr>
                <w:noProof/>
                <w:webHidden/>
              </w:rPr>
              <w:t>2</w:t>
            </w:r>
            <w:r>
              <w:rPr>
                <w:noProof/>
                <w:webHidden/>
              </w:rPr>
              <w:fldChar w:fldCharType="end"/>
            </w:r>
          </w:hyperlink>
        </w:p>
        <w:p w14:paraId="505DC321" w14:textId="178E98C2" w:rsidR="007A4976" w:rsidRDefault="007A4976">
          <w:pPr>
            <w:pStyle w:val="TOC2"/>
            <w:tabs>
              <w:tab w:val="left" w:pos="960"/>
              <w:tab w:val="right" w:leader="dot" w:pos="9010"/>
            </w:tabs>
            <w:rPr>
              <w:rFonts w:cstheme="minorBidi"/>
              <w:b w:val="0"/>
              <w:bCs w:val="0"/>
              <w:noProof/>
              <w:sz w:val="24"/>
              <w:szCs w:val="24"/>
              <w:lang w:eastAsia="en-US"/>
            </w:rPr>
          </w:pPr>
          <w:hyperlink w:anchor="_Toc8312166" w:history="1">
            <w:r w:rsidRPr="00F177C6">
              <w:rPr>
                <w:rStyle w:val="Hyperlink"/>
                <w:noProof/>
              </w:rPr>
              <w:t>1.1</w:t>
            </w:r>
            <w:r>
              <w:rPr>
                <w:rFonts w:cstheme="minorBidi"/>
                <w:b w:val="0"/>
                <w:bCs w:val="0"/>
                <w:noProof/>
                <w:sz w:val="24"/>
                <w:szCs w:val="24"/>
                <w:lang w:eastAsia="en-US"/>
              </w:rPr>
              <w:tab/>
            </w:r>
            <w:r w:rsidRPr="00F177C6">
              <w:rPr>
                <w:rStyle w:val="Hyperlink"/>
                <w:noProof/>
              </w:rPr>
              <w:t>Seasonal dynamics of mortality</w:t>
            </w:r>
            <w:r>
              <w:rPr>
                <w:noProof/>
                <w:webHidden/>
              </w:rPr>
              <w:tab/>
            </w:r>
            <w:r>
              <w:rPr>
                <w:noProof/>
                <w:webHidden/>
              </w:rPr>
              <w:fldChar w:fldCharType="begin"/>
            </w:r>
            <w:r>
              <w:rPr>
                <w:noProof/>
                <w:webHidden/>
              </w:rPr>
              <w:instrText xml:space="preserve"> PAGEREF _Toc8312166 \h </w:instrText>
            </w:r>
            <w:r>
              <w:rPr>
                <w:noProof/>
                <w:webHidden/>
              </w:rPr>
            </w:r>
            <w:r>
              <w:rPr>
                <w:noProof/>
                <w:webHidden/>
              </w:rPr>
              <w:fldChar w:fldCharType="separate"/>
            </w:r>
            <w:r>
              <w:rPr>
                <w:noProof/>
                <w:webHidden/>
              </w:rPr>
              <w:t>2</w:t>
            </w:r>
            <w:r>
              <w:rPr>
                <w:noProof/>
                <w:webHidden/>
              </w:rPr>
              <w:fldChar w:fldCharType="end"/>
            </w:r>
          </w:hyperlink>
        </w:p>
        <w:p w14:paraId="3813A30E" w14:textId="72769F07" w:rsidR="007A4976" w:rsidRDefault="007A4976">
          <w:pPr>
            <w:pStyle w:val="TOC2"/>
            <w:tabs>
              <w:tab w:val="left" w:pos="960"/>
              <w:tab w:val="right" w:leader="dot" w:pos="9010"/>
            </w:tabs>
            <w:rPr>
              <w:rFonts w:cstheme="minorBidi"/>
              <w:b w:val="0"/>
              <w:bCs w:val="0"/>
              <w:noProof/>
              <w:sz w:val="24"/>
              <w:szCs w:val="24"/>
              <w:lang w:eastAsia="en-US"/>
            </w:rPr>
          </w:pPr>
          <w:hyperlink w:anchor="_Toc8312167" w:history="1">
            <w:r w:rsidRPr="00F177C6">
              <w:rPr>
                <w:rStyle w:val="Hyperlink"/>
                <w:noProof/>
              </w:rPr>
              <w:t>1.2</w:t>
            </w:r>
            <w:r>
              <w:rPr>
                <w:rFonts w:cstheme="minorBidi"/>
                <w:b w:val="0"/>
                <w:bCs w:val="0"/>
                <w:noProof/>
                <w:sz w:val="24"/>
                <w:szCs w:val="24"/>
                <w:lang w:eastAsia="en-US"/>
              </w:rPr>
              <w:tab/>
            </w:r>
            <w:r w:rsidRPr="00F177C6">
              <w:rPr>
                <w:rStyle w:val="Hyperlink"/>
                <w:noProof/>
              </w:rPr>
              <w:t>Mortality and temperature</w:t>
            </w:r>
            <w:r>
              <w:rPr>
                <w:noProof/>
                <w:webHidden/>
              </w:rPr>
              <w:tab/>
            </w:r>
            <w:r>
              <w:rPr>
                <w:noProof/>
                <w:webHidden/>
              </w:rPr>
              <w:fldChar w:fldCharType="begin"/>
            </w:r>
            <w:r>
              <w:rPr>
                <w:noProof/>
                <w:webHidden/>
              </w:rPr>
              <w:instrText xml:space="preserve"> PAGEREF _Toc8312167 \h </w:instrText>
            </w:r>
            <w:r>
              <w:rPr>
                <w:noProof/>
                <w:webHidden/>
              </w:rPr>
            </w:r>
            <w:r>
              <w:rPr>
                <w:noProof/>
                <w:webHidden/>
              </w:rPr>
              <w:fldChar w:fldCharType="separate"/>
            </w:r>
            <w:r>
              <w:rPr>
                <w:noProof/>
                <w:webHidden/>
              </w:rPr>
              <w:t>5</w:t>
            </w:r>
            <w:r>
              <w:rPr>
                <w:noProof/>
                <w:webHidden/>
              </w:rPr>
              <w:fldChar w:fldCharType="end"/>
            </w:r>
          </w:hyperlink>
        </w:p>
        <w:p w14:paraId="6463104C" w14:textId="45A7F19E" w:rsidR="007A4976" w:rsidRDefault="007A4976">
          <w:pPr>
            <w:pStyle w:val="TOC2"/>
            <w:tabs>
              <w:tab w:val="left" w:pos="960"/>
              <w:tab w:val="right" w:leader="dot" w:pos="9010"/>
            </w:tabs>
            <w:rPr>
              <w:rFonts w:cstheme="minorBidi"/>
              <w:b w:val="0"/>
              <w:bCs w:val="0"/>
              <w:noProof/>
              <w:sz w:val="24"/>
              <w:szCs w:val="24"/>
              <w:lang w:eastAsia="en-US"/>
            </w:rPr>
          </w:pPr>
          <w:hyperlink w:anchor="_Toc8312168" w:history="1">
            <w:r w:rsidRPr="00F177C6">
              <w:rPr>
                <w:rStyle w:val="Hyperlink"/>
                <w:noProof/>
              </w:rPr>
              <w:t>1.3</w:t>
            </w:r>
            <w:r>
              <w:rPr>
                <w:rFonts w:cstheme="minorBidi"/>
                <w:b w:val="0"/>
                <w:bCs w:val="0"/>
                <w:noProof/>
                <w:sz w:val="24"/>
                <w:szCs w:val="24"/>
                <w:lang w:eastAsia="en-US"/>
              </w:rPr>
              <w:tab/>
            </w:r>
            <w:r w:rsidRPr="00F177C6">
              <w:rPr>
                <w:rStyle w:val="Hyperlink"/>
                <w:noProof/>
              </w:rPr>
              <w:t>Modelling meth</w:t>
            </w:r>
            <w:r w:rsidRPr="00F177C6">
              <w:rPr>
                <w:rStyle w:val="Hyperlink"/>
                <w:noProof/>
              </w:rPr>
              <w:t>o</w:t>
            </w:r>
            <w:r w:rsidRPr="00F177C6">
              <w:rPr>
                <w:rStyle w:val="Hyperlink"/>
                <w:noProof/>
              </w:rPr>
              <w:t>dology</w:t>
            </w:r>
            <w:r>
              <w:rPr>
                <w:noProof/>
                <w:webHidden/>
              </w:rPr>
              <w:tab/>
            </w:r>
            <w:r>
              <w:rPr>
                <w:noProof/>
                <w:webHidden/>
              </w:rPr>
              <w:fldChar w:fldCharType="begin"/>
            </w:r>
            <w:r>
              <w:rPr>
                <w:noProof/>
                <w:webHidden/>
              </w:rPr>
              <w:instrText xml:space="preserve"> PAGEREF _Toc8312168 \h </w:instrText>
            </w:r>
            <w:r>
              <w:rPr>
                <w:noProof/>
                <w:webHidden/>
              </w:rPr>
            </w:r>
            <w:r>
              <w:rPr>
                <w:noProof/>
                <w:webHidden/>
              </w:rPr>
              <w:fldChar w:fldCharType="separate"/>
            </w:r>
            <w:r>
              <w:rPr>
                <w:noProof/>
                <w:webHidden/>
              </w:rPr>
              <w:t>8</w:t>
            </w:r>
            <w:r>
              <w:rPr>
                <w:noProof/>
                <w:webHidden/>
              </w:rPr>
              <w:fldChar w:fldCharType="end"/>
            </w:r>
          </w:hyperlink>
        </w:p>
        <w:p w14:paraId="47752700" w14:textId="4170A7CC" w:rsidR="007A4976" w:rsidRDefault="007A4976">
          <w:pPr>
            <w:pStyle w:val="TOC2"/>
            <w:tabs>
              <w:tab w:val="left" w:pos="960"/>
              <w:tab w:val="right" w:leader="dot" w:pos="9010"/>
            </w:tabs>
            <w:rPr>
              <w:rFonts w:cstheme="minorBidi"/>
              <w:b w:val="0"/>
              <w:bCs w:val="0"/>
              <w:noProof/>
              <w:sz w:val="24"/>
              <w:szCs w:val="24"/>
              <w:lang w:eastAsia="en-US"/>
            </w:rPr>
          </w:pPr>
          <w:hyperlink w:anchor="_Toc8312169" w:history="1">
            <w:r w:rsidRPr="00F177C6">
              <w:rPr>
                <w:rStyle w:val="Hyperlink"/>
                <w:noProof/>
              </w:rPr>
              <w:t>1.4</w:t>
            </w:r>
            <w:r>
              <w:rPr>
                <w:rFonts w:cstheme="minorBidi"/>
                <w:b w:val="0"/>
                <w:bCs w:val="0"/>
                <w:noProof/>
                <w:sz w:val="24"/>
                <w:szCs w:val="24"/>
                <w:lang w:eastAsia="en-US"/>
              </w:rPr>
              <w:tab/>
            </w:r>
            <w:r w:rsidRPr="00F177C6">
              <w:rPr>
                <w:rStyle w:val="Hyperlink"/>
                <w:noProof/>
              </w:rPr>
              <w:t>Temperature and climate change</w:t>
            </w:r>
            <w:r>
              <w:rPr>
                <w:noProof/>
                <w:webHidden/>
              </w:rPr>
              <w:tab/>
            </w:r>
            <w:r>
              <w:rPr>
                <w:noProof/>
                <w:webHidden/>
              </w:rPr>
              <w:fldChar w:fldCharType="begin"/>
            </w:r>
            <w:r>
              <w:rPr>
                <w:noProof/>
                <w:webHidden/>
              </w:rPr>
              <w:instrText xml:space="preserve"> PAGEREF _Toc8312169 \h </w:instrText>
            </w:r>
            <w:r>
              <w:rPr>
                <w:noProof/>
                <w:webHidden/>
              </w:rPr>
            </w:r>
            <w:r>
              <w:rPr>
                <w:noProof/>
                <w:webHidden/>
              </w:rPr>
              <w:fldChar w:fldCharType="separate"/>
            </w:r>
            <w:r>
              <w:rPr>
                <w:noProof/>
                <w:webHidden/>
              </w:rPr>
              <w:t>11</w:t>
            </w:r>
            <w:r>
              <w:rPr>
                <w:noProof/>
                <w:webHidden/>
              </w:rPr>
              <w:fldChar w:fldCharType="end"/>
            </w:r>
          </w:hyperlink>
        </w:p>
        <w:p w14:paraId="7465FA59" w14:textId="38541606" w:rsidR="007A4976" w:rsidRDefault="007A4976">
          <w:pPr>
            <w:pStyle w:val="TOC2"/>
            <w:tabs>
              <w:tab w:val="left" w:pos="960"/>
              <w:tab w:val="right" w:leader="dot" w:pos="9010"/>
            </w:tabs>
            <w:rPr>
              <w:rFonts w:cstheme="minorBidi"/>
              <w:b w:val="0"/>
              <w:bCs w:val="0"/>
              <w:noProof/>
              <w:sz w:val="24"/>
              <w:szCs w:val="24"/>
              <w:lang w:eastAsia="en-US"/>
            </w:rPr>
          </w:pPr>
          <w:hyperlink w:anchor="_Toc8312170" w:history="1">
            <w:r w:rsidRPr="00F177C6">
              <w:rPr>
                <w:rStyle w:val="Hyperlink"/>
                <w:noProof/>
              </w:rPr>
              <w:t>1.5</w:t>
            </w:r>
            <w:r>
              <w:rPr>
                <w:rFonts w:cstheme="minorBidi"/>
                <w:b w:val="0"/>
                <w:bCs w:val="0"/>
                <w:noProof/>
                <w:sz w:val="24"/>
                <w:szCs w:val="24"/>
                <w:lang w:eastAsia="en-US"/>
              </w:rPr>
              <w:tab/>
            </w:r>
            <w:r w:rsidRPr="00F177C6">
              <w:rPr>
                <w:rStyle w:val="Hyperlink"/>
                <w:noProof/>
              </w:rPr>
              <w:t>From research to action: The Global Heat Health Information Network</w:t>
            </w:r>
            <w:r>
              <w:rPr>
                <w:noProof/>
                <w:webHidden/>
              </w:rPr>
              <w:tab/>
            </w:r>
            <w:r>
              <w:rPr>
                <w:noProof/>
                <w:webHidden/>
              </w:rPr>
              <w:fldChar w:fldCharType="begin"/>
            </w:r>
            <w:r>
              <w:rPr>
                <w:noProof/>
                <w:webHidden/>
              </w:rPr>
              <w:instrText xml:space="preserve"> PAGEREF _Toc8312170 \h </w:instrText>
            </w:r>
            <w:r>
              <w:rPr>
                <w:noProof/>
                <w:webHidden/>
              </w:rPr>
            </w:r>
            <w:r>
              <w:rPr>
                <w:noProof/>
                <w:webHidden/>
              </w:rPr>
              <w:fldChar w:fldCharType="separate"/>
            </w:r>
            <w:r>
              <w:rPr>
                <w:noProof/>
                <w:webHidden/>
              </w:rPr>
              <w:t>12</w:t>
            </w:r>
            <w:r>
              <w:rPr>
                <w:noProof/>
                <w:webHidden/>
              </w:rPr>
              <w:fldChar w:fldCharType="end"/>
            </w:r>
          </w:hyperlink>
        </w:p>
        <w:p w14:paraId="07420FE3" w14:textId="4944051D" w:rsidR="007A4976" w:rsidRDefault="007A4976">
          <w:pPr>
            <w:pStyle w:val="TOC2"/>
            <w:tabs>
              <w:tab w:val="left" w:pos="960"/>
              <w:tab w:val="right" w:leader="dot" w:pos="9010"/>
            </w:tabs>
            <w:rPr>
              <w:rFonts w:cstheme="minorBidi"/>
              <w:b w:val="0"/>
              <w:bCs w:val="0"/>
              <w:noProof/>
              <w:sz w:val="24"/>
              <w:szCs w:val="24"/>
              <w:lang w:eastAsia="en-US"/>
            </w:rPr>
          </w:pPr>
          <w:hyperlink w:anchor="_Toc8312171" w:history="1">
            <w:r w:rsidRPr="00F177C6">
              <w:rPr>
                <w:rStyle w:val="Hyperlink"/>
                <w:noProof/>
              </w:rPr>
              <w:t>1.6</w:t>
            </w:r>
            <w:r>
              <w:rPr>
                <w:rFonts w:cstheme="minorBidi"/>
                <w:b w:val="0"/>
                <w:bCs w:val="0"/>
                <w:noProof/>
                <w:sz w:val="24"/>
                <w:szCs w:val="24"/>
                <w:lang w:eastAsia="en-US"/>
              </w:rPr>
              <w:tab/>
            </w:r>
            <w:r w:rsidRPr="00F177C6">
              <w:rPr>
                <w:rStyle w:val="Hyperlink"/>
                <w:noProof/>
              </w:rPr>
              <w:t>Summary</w:t>
            </w:r>
            <w:r>
              <w:rPr>
                <w:noProof/>
                <w:webHidden/>
              </w:rPr>
              <w:tab/>
            </w:r>
            <w:r>
              <w:rPr>
                <w:noProof/>
                <w:webHidden/>
              </w:rPr>
              <w:fldChar w:fldCharType="begin"/>
            </w:r>
            <w:r>
              <w:rPr>
                <w:noProof/>
                <w:webHidden/>
              </w:rPr>
              <w:instrText xml:space="preserve"> PAGEREF _Toc8312171 \h </w:instrText>
            </w:r>
            <w:r>
              <w:rPr>
                <w:noProof/>
                <w:webHidden/>
              </w:rPr>
            </w:r>
            <w:r>
              <w:rPr>
                <w:noProof/>
                <w:webHidden/>
              </w:rPr>
              <w:fldChar w:fldCharType="separate"/>
            </w:r>
            <w:r>
              <w:rPr>
                <w:noProof/>
                <w:webHidden/>
              </w:rPr>
              <w:t>13</w:t>
            </w:r>
            <w:r>
              <w:rPr>
                <w:noProof/>
                <w:webHidden/>
              </w:rPr>
              <w:fldChar w:fldCharType="end"/>
            </w:r>
          </w:hyperlink>
        </w:p>
        <w:p w14:paraId="0C682C25" w14:textId="608DDD76" w:rsidR="007A4976" w:rsidRDefault="007A4976">
          <w:pPr>
            <w:pStyle w:val="TOC1"/>
            <w:tabs>
              <w:tab w:val="right" w:leader="dot" w:pos="9010"/>
            </w:tabs>
            <w:rPr>
              <w:rFonts w:cstheme="minorBidi"/>
              <w:b w:val="0"/>
              <w:bCs w:val="0"/>
              <w:i w:val="0"/>
              <w:iCs w:val="0"/>
              <w:noProof/>
              <w:lang w:eastAsia="en-US"/>
            </w:rPr>
          </w:pPr>
          <w:hyperlink w:anchor="_Toc8312172" w:history="1">
            <w:r w:rsidRPr="00F177C6">
              <w:rPr>
                <w:rStyle w:val="Hyperlink"/>
                <w:noProof/>
              </w:rPr>
              <w:t>Works cited</w:t>
            </w:r>
            <w:r>
              <w:rPr>
                <w:noProof/>
                <w:webHidden/>
              </w:rPr>
              <w:tab/>
            </w:r>
            <w:r>
              <w:rPr>
                <w:noProof/>
                <w:webHidden/>
              </w:rPr>
              <w:fldChar w:fldCharType="begin"/>
            </w:r>
            <w:r>
              <w:rPr>
                <w:noProof/>
                <w:webHidden/>
              </w:rPr>
              <w:instrText xml:space="preserve"> PAGEREF _Toc8312172 \h </w:instrText>
            </w:r>
            <w:r>
              <w:rPr>
                <w:noProof/>
                <w:webHidden/>
              </w:rPr>
            </w:r>
            <w:r>
              <w:rPr>
                <w:noProof/>
                <w:webHidden/>
              </w:rPr>
              <w:fldChar w:fldCharType="separate"/>
            </w:r>
            <w:r>
              <w:rPr>
                <w:noProof/>
                <w:webHidden/>
              </w:rPr>
              <w:t>14</w:t>
            </w:r>
            <w:r>
              <w:rPr>
                <w:noProof/>
                <w:webHidden/>
              </w:rPr>
              <w:fldChar w:fldCharType="end"/>
            </w:r>
          </w:hyperlink>
        </w:p>
        <w:p w14:paraId="4CE9CF6C" w14:textId="62916C05" w:rsidR="00E14922" w:rsidRDefault="00E14922" w:rsidP="00E14922">
          <w:pPr>
            <w:pStyle w:val="Style1"/>
          </w:pPr>
          <w:r w:rsidRPr="00E14922">
            <w:rPr>
              <w:b/>
              <w:bCs/>
              <w:noProof/>
            </w:rPr>
            <w:fldChar w:fldCharType="end"/>
          </w:r>
        </w:p>
      </w:sdtContent>
    </w:sdt>
    <w:p w14:paraId="52D0DB32" w14:textId="77777777" w:rsidR="00B549DF" w:rsidRDefault="00B549DF">
      <w:pPr>
        <w:spacing w:after="0" w:line="240" w:lineRule="auto"/>
        <w:jc w:val="left"/>
        <w:rPr>
          <w:rFonts w:eastAsiaTheme="majorEastAsia" w:cstheme="majorBidi"/>
          <w:b/>
          <w:sz w:val="32"/>
          <w:szCs w:val="32"/>
        </w:rPr>
      </w:pPr>
      <w:r>
        <w:br w:type="page"/>
      </w:r>
    </w:p>
    <w:p w14:paraId="51041B4F" w14:textId="2D989D22" w:rsidR="00785362" w:rsidRPr="00785362" w:rsidRDefault="000858BC" w:rsidP="00785362">
      <w:pPr>
        <w:pStyle w:val="Heading1"/>
      </w:pPr>
      <w:bookmarkStart w:id="2" w:name="_Toc8312165"/>
      <w:r>
        <w:lastRenderedPageBreak/>
        <w:t>Background</w:t>
      </w:r>
      <w:bookmarkEnd w:id="1"/>
      <w:bookmarkEnd w:id="2"/>
    </w:p>
    <w:p w14:paraId="0F42D578" w14:textId="2B4197C6" w:rsidR="00954451" w:rsidRDefault="00EB4E62" w:rsidP="00D551EC">
      <w:pPr>
        <w:pStyle w:val="Heading2"/>
      </w:pPr>
      <w:bookmarkStart w:id="3" w:name="_Toc8312166"/>
      <w:r>
        <w:t>Seasonal</w:t>
      </w:r>
      <w:r w:rsidR="00D551EC">
        <w:t xml:space="preserve"> </w:t>
      </w:r>
      <w:r w:rsidR="00727337">
        <w:t>dynamics</w:t>
      </w:r>
      <w:r w:rsidR="00D551EC">
        <w:t xml:space="preserve"> </w:t>
      </w:r>
      <w:r w:rsidR="00727337">
        <w:t>of</w:t>
      </w:r>
      <w:r>
        <w:t xml:space="preserve"> mortality</w:t>
      </w:r>
      <w:bookmarkEnd w:id="3"/>
    </w:p>
    <w:p w14:paraId="6F524527" w14:textId="02D7B766" w:rsidR="0069109D" w:rsidRDefault="00EF76BE" w:rsidP="0069109D">
      <w:pPr>
        <w:ind w:firstLine="567"/>
      </w:pPr>
      <w:r>
        <w:t xml:space="preserve">Measuring and understanding trends in </w:t>
      </w:r>
      <w:r w:rsidR="00D551EC">
        <w:t xml:space="preserve">mortality </w:t>
      </w:r>
      <w:r w:rsidR="000C1EC3">
        <w:t xml:space="preserve">is an important </w:t>
      </w:r>
      <w:r w:rsidR="0056638E">
        <w:t>component</w:t>
      </w:r>
      <w:r w:rsidR="000C1EC3">
        <w:t xml:space="preserve"> of </w:t>
      </w:r>
      <w:r>
        <w:t>public health research.</w:t>
      </w:r>
      <w:r w:rsidR="0069109D">
        <w:t xml:space="preserve"> </w:t>
      </w:r>
      <w:r w:rsidR="003B1ED3">
        <w:t>Possessing</w:t>
      </w:r>
      <w:r w:rsidR="009620BE">
        <w:t xml:space="preserve"> reliable mortality data </w:t>
      </w:r>
      <w:r w:rsidR="00506358">
        <w:t>can influence</w:t>
      </w:r>
      <w:r w:rsidR="009620BE">
        <w:t xml:space="preserve"> policy decisions</w:t>
      </w:r>
      <w:r w:rsidR="00A8089A">
        <w:t xml:space="preserve"> and serve as metrics to</w:t>
      </w:r>
      <w:r w:rsidR="003E38C6">
        <w:t xml:space="preserve"> inform</w:t>
      </w:r>
      <w:r w:rsidR="00A8089A">
        <w:t xml:space="preserve"> whether established targets, such as the Sustainable Development Goals</w:t>
      </w:r>
      <w:r w:rsidR="0087461D">
        <w:t xml:space="preserve"> (SDGs)</w:t>
      </w:r>
      <w:r w:rsidR="0017762F">
        <w:t xml:space="preserve">, are </w:t>
      </w:r>
      <w:r w:rsidR="00212141">
        <w:t>on track</w:t>
      </w:r>
      <w:r w:rsidR="00E201EB">
        <w:t xml:space="preserve"> </w:t>
      </w:r>
      <w:r w:rsidR="00E201EB">
        <w:fldChar w:fldCharType="begin" w:fldLock="1"/>
      </w:r>
      <w:r w:rsidR="000950FF">
        <w:instrText>ADDIN CSL_CITATION {"citationItems":[{"id":"ITEM-1","itemData":{"abstract":"he 17 Sustainable Development Goals (SDGs) of the 2030 Agenda integrate all three dimensions of sustainable development (economic, social and environmental) recognizing that eradicating poverty and inequality, creating inclusive economic growth and preserving the planet are inextricably linked. Health is centrally positioned within the 2030 Agenda, with one comprehensive goal (SDG 3) and its 13 targets covering all major health priorities, and links to targets in many of the other goals. The 2030 Agenda has major implications for health monitoring. Monitoring will need to reflect the fact that the SDGs are relevant for all countries. In order to accommodate a much broader range of health and health-related issues, country, regional and global monitoring systems will have to adapt. This will mean, at the very least, undertaking health data collection, analysis and communication in an integrated manner. The SDG focus on leaving no one behind means that much greater attention will have to be given to disaggregated data. Health monitoring will have to look beyond the health sector and consider economic, social and environmental indicators, as well as intersectoral actions. The 2030 Agenda also puts strong emphasis on country follow-up and review processes as the basis for accountability. Strengthening country health information systems should therefore be a priority. This report brings together the most recent data on the proposed health and selected health-related SDG indicators – to assess the current situation and describe crucial data gaps. In the current absence of official goal-level indicators, summary measures of health such as (healthy) life expectancy are used to provide a general assessment of the situation. As universal health coverage (UHC) is a central concern, statistics are presented on a service-coverage index and on measures of financial protection using the WHO/World Bank UHC monitoring framework. In relation to equity, special attention is given to describing the statistical situation disaggregated by key demographic, geographic and socioeconomic characteristics. Because the 2030 Agenda emphasizes the interlinked nature of all the various goals, this report also includes indicators of selected health determinants and risk factors in relation to other SDG targets. More work is required to fully integrate monitoring the health dimension in other goals. Available data show that in spite of the major progress during the Millennium Developmen…","author":[{"dropping-particle":"","family":"WHO","given":"","non-dropping-particle":"","parse-names":false,"suffix":""}],"container-title":"WHO Library Cataloguing-in-Publication Data World","id":"ITEM-1","issued":{"date-parts":[["2016"]]},"title":"World Health Statistics 2016 Monitoring Health for the SDGs","type":"report"},"uris":["http://www.mendeley.com/documents/?uuid=2d6c4613-c751-4861-b9f8-89be711016b5"]}],"mendeley":{"formattedCitation":"(WHO, 2016)","plainTextFormattedCitation":"(WHO, 2016)","previouslyFormattedCitation":"(WHO, 2016)"},"properties":{"noteIndex":0},"schema":"https://github.com/citation-style-language/schema/raw/master/csl-citation.json"}</w:instrText>
      </w:r>
      <w:r w:rsidR="00E201EB">
        <w:fldChar w:fldCharType="separate"/>
      </w:r>
      <w:r w:rsidR="00E201EB" w:rsidRPr="00E201EB">
        <w:rPr>
          <w:noProof/>
        </w:rPr>
        <w:t>(WHO, 2016)</w:t>
      </w:r>
      <w:r w:rsidR="00E201EB">
        <w:fldChar w:fldCharType="end"/>
      </w:r>
      <w:r w:rsidR="009620BE">
        <w:t>.</w:t>
      </w:r>
      <w:r w:rsidR="00063EAB">
        <w:t xml:space="preserve"> </w:t>
      </w:r>
      <w:r w:rsidR="00C728FC">
        <w:t xml:space="preserve">Generating reliable </w:t>
      </w:r>
      <w:r w:rsidR="006C10F2">
        <w:t xml:space="preserve">mortality data requires considerable effort </w:t>
      </w:r>
      <w:r w:rsidR="00102B74">
        <w:t xml:space="preserve">in </w:t>
      </w:r>
      <w:r w:rsidR="00094CCD">
        <w:t>accurately recording the number of deaths</w:t>
      </w:r>
      <w:r w:rsidR="00D61352">
        <w:t xml:space="preserve"> by cause and measuring the size of a </w:t>
      </w:r>
      <w:r w:rsidR="00094CCD">
        <w:t>population</w:t>
      </w:r>
      <w:r w:rsidR="009074F1">
        <w:t>.</w:t>
      </w:r>
      <w:r w:rsidR="003F2A65">
        <w:t xml:space="preserve"> </w:t>
      </w:r>
      <w:r w:rsidR="000671A8">
        <w:t>In some countries, such as the United Kingdom</w:t>
      </w:r>
      <w:r w:rsidR="00005639">
        <w:t xml:space="preserve"> and the United States</w:t>
      </w:r>
      <w:r w:rsidR="000671A8">
        <w:t xml:space="preserve">, calculating mortality statistics goes back over a century </w:t>
      </w:r>
      <w:r w:rsidR="000671A8">
        <w:fldChar w:fldCharType="begin" w:fldLock="1"/>
      </w:r>
      <w:r w:rsidR="006F1504">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towns","type":"article-journal"},"uris":["http://www.mendeley.com/documents/?uuid=e2bb7250-c31f-4d62-bfcc-4734b4d9dafd"]}],"mendeley":{"formattedCitation":"(Great Britain, 1876)","plainTextFormattedCitation":"(Great Britain, 1876)","previouslyFormattedCitation":"(Great Britain, 1876)"},"properties":{"noteIndex":0},"schema":"https://github.com/citation-style-language/schema/raw/master/csl-citation.json"}</w:instrText>
      </w:r>
      <w:r w:rsidR="000671A8">
        <w:fldChar w:fldCharType="separate"/>
      </w:r>
      <w:r w:rsidR="000671A8" w:rsidRPr="000950FF">
        <w:rPr>
          <w:noProof/>
        </w:rPr>
        <w:t>(Great Britain, 1876)</w:t>
      </w:r>
      <w:r w:rsidR="000671A8">
        <w:fldChar w:fldCharType="end"/>
      </w:r>
      <w:r w:rsidR="000671A8">
        <w:t>.</w:t>
      </w:r>
      <w:r w:rsidR="00232F40">
        <w:t xml:space="preserve"> In many other countries</w:t>
      </w:r>
      <w:r w:rsidR="00040A0E">
        <w:t xml:space="preserve"> today</w:t>
      </w:r>
      <w:r w:rsidR="00232F40">
        <w:t xml:space="preserve">, data </w:t>
      </w:r>
      <w:r w:rsidR="00F313B1">
        <w:t xml:space="preserve">are either less reliable or </w:t>
      </w:r>
      <w:r w:rsidR="00232F40">
        <w:t>not available</w:t>
      </w:r>
      <w:r w:rsidR="00C07FA6">
        <w:t xml:space="preserve"> </w:t>
      </w:r>
      <w:r w:rsidR="00C07FA6">
        <w:rPr>
          <w:szCs w:val="24"/>
        </w:rPr>
        <w:fldChar w:fldCharType="begin" w:fldLock="1"/>
      </w:r>
      <w:r w:rsidR="004C2A1B">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determinants","author":[{"dropping-particle":"","family":"WHO","given":"","non-dropping-particle":"","parse-names":false,"suffix":""}],"id":"ITEM-1","issue":"March","issued":{"date-parts":[["2018"]]},"page":"1-51","title":"WHO Methods and Data Sources for Country-Level Cause of Death 2000-2016","type":"article-journal"},"uris":["http://www.mendeley.com/documents/?uuid=698f09a5-e737-4459-97a4-bea31f801641"]}],"mendeley":{"formattedCitation":"(WHO, 2018a)","plainTextFormattedCitation":"(WHO, 2018a)","previouslyFormattedCitation":"(WHO, 2018a)"},"properties":{"noteIndex":0},"schema":"https://github.com/citation-style-language/schema/raw/master/csl-citation.json"}</w:instrText>
      </w:r>
      <w:r w:rsidR="00C07FA6">
        <w:rPr>
          <w:szCs w:val="24"/>
        </w:rPr>
        <w:fldChar w:fldCharType="separate"/>
      </w:r>
      <w:r w:rsidR="00654895" w:rsidRPr="00654895">
        <w:rPr>
          <w:noProof/>
          <w:szCs w:val="24"/>
        </w:rPr>
        <w:t>(WHO, 2018a)</w:t>
      </w:r>
      <w:r w:rsidR="00C07FA6">
        <w:rPr>
          <w:szCs w:val="24"/>
        </w:rPr>
        <w:fldChar w:fldCharType="end"/>
      </w:r>
      <w:r w:rsidR="00232F40">
        <w:t>.</w:t>
      </w:r>
      <w:r w:rsidR="000671A8">
        <w:t xml:space="preserve"> </w:t>
      </w:r>
      <w:r w:rsidR="00A77BB3">
        <w:t>Annual death rates by age group and sex are often a</w:t>
      </w:r>
      <w:r w:rsidR="00210564">
        <w:t xml:space="preserve"> </w:t>
      </w:r>
      <w:r w:rsidR="0064050E">
        <w:t>particular</w:t>
      </w:r>
      <w:r w:rsidR="00210564">
        <w:t xml:space="preserve"> focus </w:t>
      </w:r>
      <w:r w:rsidR="00627DDC">
        <w:t xml:space="preserve">in efforts to </w:t>
      </w:r>
      <w:r w:rsidR="002558CB">
        <w:t>quantify</w:t>
      </w:r>
      <w:r w:rsidR="002276B6">
        <w:t xml:space="preserve"> mortality</w:t>
      </w:r>
      <w:r w:rsidR="0010673A">
        <w:t>,</w:t>
      </w:r>
      <w:r w:rsidR="00A77BB3">
        <w:t xml:space="preserve"> </w:t>
      </w:r>
      <w:r w:rsidR="00210564">
        <w:t>which can then be processed</w:t>
      </w:r>
      <w:r w:rsidR="00053748">
        <w:t xml:space="preserve"> to </w:t>
      </w:r>
      <w:r w:rsidR="00210564">
        <w:t>generate life expectancy</w:t>
      </w:r>
      <w:r w:rsidR="00053748">
        <w:t xml:space="preserve"> by applying life </w:t>
      </w:r>
      <w:r w:rsidR="0010673A">
        <w:t>table methods</w:t>
      </w:r>
      <w:r w:rsidR="00654895">
        <w:t xml:space="preserve"> </w:t>
      </w:r>
      <w:r w:rsidR="00654895">
        <w:fldChar w:fldCharType="begin" w:fldLock="1"/>
      </w:r>
      <w:r w:rsidR="004C2A1B">
        <w:instrText>ADDIN CSL_CITATION {"citationItems":[{"id":"ITEM-1","itemData":{"URL":"http://www.who.int/healthinfo/statistics/LT_method.pdf","author":[{"dropping-particle":"","family":"WHO","given":"","non-dropping-particle":"","parse-names":false,"suffix":""}],"id":"ITEM-1","issued":{"date-parts":[["2018"]]},"title":"WHO methods and data sources for life tables 1990-2016","type":"webpage"},"uris":["http://www.mendeley.com/documents/?uuid=5e042300-c90e-4e02-b038-3e6277587981"]}],"mendeley":{"formattedCitation":"(WHO, 2018b)","plainTextFormattedCitation":"(WHO, 2018b)","previouslyFormattedCitation":"(WHO, 2018b)"},"properties":{"noteIndex":0},"schema":"https://github.com/citation-style-language/schema/raw/master/csl-citation.json"}</w:instrText>
      </w:r>
      <w:r w:rsidR="00654895">
        <w:fldChar w:fldCharType="separate"/>
      </w:r>
      <w:r w:rsidR="00654895" w:rsidRPr="00654895">
        <w:rPr>
          <w:noProof/>
        </w:rPr>
        <w:t>(WHO, 2018b)</w:t>
      </w:r>
      <w:r w:rsidR="00654895">
        <w:fldChar w:fldCharType="end"/>
      </w:r>
      <w:r w:rsidR="00210564">
        <w:t>.</w:t>
      </w:r>
      <w:r w:rsidR="0087452B">
        <w:t xml:space="preserve"> </w:t>
      </w:r>
      <w:r w:rsidR="00D5792E">
        <w:t xml:space="preserve">In a country </w:t>
      </w:r>
      <w:r w:rsidR="00897263">
        <w:t>such as</w:t>
      </w:r>
      <w:r w:rsidR="00D5792E">
        <w:t xml:space="preserve"> the United States, </w:t>
      </w:r>
      <w:r w:rsidR="004C2A1B">
        <w:t xml:space="preserve">annual </w:t>
      </w:r>
      <w:r w:rsidR="00D5792E">
        <w:t>d</w:t>
      </w:r>
      <w:r w:rsidR="005E607B">
        <w:t xml:space="preserve">eath rates </w:t>
      </w:r>
      <w:r w:rsidR="007D6D7F">
        <w:t>can vary markedly by cause of death, age group, sex</w:t>
      </w:r>
      <w:r w:rsidR="000B608D">
        <w:t>,</w:t>
      </w:r>
      <w:r w:rsidR="005970AB">
        <w:t xml:space="preserve"> </w:t>
      </w:r>
      <w:r w:rsidR="007D6D7F">
        <w:t>as well as over space and time</w:t>
      </w:r>
      <w:r w:rsidR="00DC7D2D">
        <w:t xml:space="preserve"> </w:t>
      </w:r>
      <w:r w:rsidR="004C2A1B">
        <w:fldChar w:fldCharType="begin" w:fldLock="1"/>
      </w:r>
      <w:r w:rsidR="006F1504">
        <w:instrText>ADDIN CSL_CITATION {"citationItems":[{"id":"ITEM-1","itemData":{"DOI":"10.1371/journal.pmed.0030260","ISSN":"15491277","abstract":"BACKGROUND: The gap between the highest and lowest life expectancies for race-county combinations in the United States is over 35 y. We divided the race-county combinations of the US population into eight distinct groups, referred to as the \"eight Americas,\" to explore the causes of the disparities that can inform specific public health intervention policies and programs. METHODS AND FINDINGS: The eight Americas were defined based on race, location of the county of residence, population density, race-specific county-level per capita income, and cumulative homicide rate. Data sources for population and mortality figures were the Bureau of the Census and the National Center for Health Statistics. We estimated life expectancy, the risk of mortality from specific diseases, health insurance, and health-care utilization for the eight Americas. The life expectancy gap between the 3.4 million high-risk urban black males and the 5.6 million Asian females was 20.7 y in 2001. Within the sexes, the life expectancy gap between the best-off and the worst-off groups was 15.4 y for males (Asians versus high-risk urban blacks) and 12.8 y for females (Asians versus low-income southern rural blacks). Mortality disparities among the eight Americas were largest for young (15-44 y) and middle-aged (45-59 y) adults, especially for men. The disparities were caused primarily by a number of chronic diseases and injuries with well-established risk factors. Between 1982 and 2001, the ordering of life expectancy among the eight Americas and the absolute difference between the advantaged and disadvantaged groups remained largely unchanged. Self-reported health plan coverage was lowest for western Native Americans and low-income southern rural blacks. Crude self-reported health-care utilization, however, was slightly higher for the more disadvantaged populations. CONCLUSIONS: Disparities in mortality across the eight Americas, each consisting of millions or tens of millions of Americans, are enormous by all international standards. The observed disparities in life expectancy cannot be explained by race, income, or basic health-care access and utilization alone. Because policies aimed at reducing fundamental socioeconomic inequalities are currently practically absent in the US, health disparities will have to be at least partly addressed through public health strategies that reduce risk factors for chronic diseases and injuries.","author":[{"dropping-particle":"","family":"Murray","given":"Christopher J.L.","non-dropping-particle":"","parse-names":false,"suffix":""},{"dropping-particle":"","family":"Kulkarni","given":"Sandeep C.","non-dropping-particle":"","parse-names":false,"suffix":""},{"dropping-particle":"","family":"Michaud","given":"Catherine","non-dropping-particle":"","parse-names":false,"suffix":""},{"dropping-particle":"","family":"Tomijima","given":"Niels","non-dropping-particle":"","parse-names":false,"suffix":""},{"dropping-particle":"","family":"Bulzacchelli","given":"Maria T.","non-dropping-particle":"","parse-names":false,"suffix":""},{"dropping-particle":"","family":"Iandiorio","given":"Terrell J.","non-dropping-particle":"","parse-names":false,"suffix":""},{"dropping-particle":"","family":"Ezzati","given":"Majid","non-dropping-particle":"","parse-names":false,"suffix":""}],"container-title":"PLoS Medicine","id":"ITEM-1","issued":{"date-parts":[["2006"]]},"title":"Eight Americas: Investigating mortality disparities across races, counties, and race-counties in the United States","type":"article-journal"},"uris":["http://www.mendeley.com/documents/?uuid=c4d154a7-8c62-4fba-8c37-635474acf197"]},{"id":"ITEM-2","itemData":{"DOI":"10.1001/jama.2015.12319","ISSN":"15383598","abstract":"IMPORTANCE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Association","id":"ITEM-2","issued":{"date-parts":[["2015"]]},"title":"Temporal trends in mortality in the United States, 1969-2013","type":"article-journal"},"uris":["http://www.mendeley.com/documents/?uuid=e05b9217-f248-405d-97f3-ab28502e5eaf"]}],"mendeley":{"formattedCitation":"(Ma, Ward, Siegel, &amp; Jemal, 2015; Murray et al., 2006)","plainTextFormattedCitation":"(Ma, Ward, Siegel, &amp; Jemal, 2015; Murray et al., 2006)","previouslyFormattedCitation":"(Ma, Ward, Siegel, &amp; Jemal, 2015; Murray et al., 2006)"},"properties":{"noteIndex":0},"schema":"https://github.com/citation-style-language/schema/raw/master/csl-citation.json"}</w:instrText>
      </w:r>
      <w:r w:rsidR="004C2A1B">
        <w:fldChar w:fldCharType="separate"/>
      </w:r>
      <w:r w:rsidR="006F1504" w:rsidRPr="006F1504">
        <w:rPr>
          <w:noProof/>
        </w:rPr>
        <w:t>(Ma, Ward, Siegel, &amp; Jemal, 2015; Murray et al., 2006)</w:t>
      </w:r>
      <w:r w:rsidR="004C2A1B">
        <w:fldChar w:fldCharType="end"/>
      </w:r>
      <w:r w:rsidR="00400172">
        <w:t>.</w:t>
      </w:r>
    </w:p>
    <w:p w14:paraId="3B977D17" w14:textId="08BA74DF" w:rsidR="008733D9" w:rsidRDefault="000E1B12" w:rsidP="008733D9">
      <w:pPr>
        <w:ind w:firstLine="720"/>
      </w:pPr>
      <w:r>
        <w:t>S</w:t>
      </w:r>
      <w:r w:rsidR="00C24C6C">
        <w:t xml:space="preserve">easonal variation of death rates </w:t>
      </w:r>
      <w:r>
        <w:t xml:space="preserve">within a year </w:t>
      </w:r>
      <w:r w:rsidR="00C24C6C">
        <w:t>has been recognised s</w:t>
      </w:r>
      <w:r w:rsidR="00F50619">
        <w:t>ince ancient times</w:t>
      </w:r>
      <w:r w:rsidR="00970EF7">
        <w:t xml:space="preserve"> in the West</w:t>
      </w:r>
      <w:r w:rsidR="00F50619">
        <w:t xml:space="preserve">, when </w:t>
      </w:r>
      <w:r w:rsidR="00AA3235">
        <w:t xml:space="preserve">the Greek physician </w:t>
      </w:r>
      <w:r w:rsidR="00F50619">
        <w:t xml:space="preserve">Hippocrates </w:t>
      </w:r>
      <w:r w:rsidR="00AA3235">
        <w:t>wrote about the impact season</w:t>
      </w:r>
      <w:r w:rsidR="008B32BA">
        <w:t xml:space="preserve">s have on </w:t>
      </w:r>
      <w:r w:rsidR="00056E78">
        <w:t>deaths</w:t>
      </w:r>
      <w:r w:rsidR="00DE6581">
        <w:t xml:space="preserve"> </w:t>
      </w:r>
      <w:r w:rsidR="008D629A">
        <w:fldChar w:fldCharType="begin" w:fldLock="1"/>
      </w:r>
      <w:r w:rsidR="00594338">
        <w:instrText>ADDIN CSL_CITATION {"citationItems":[{"id":"ITEM-1","itemData":{"DOI":"10.1093/jhmas/XVII.1.129","ISSN":"00225045","author":[{"dropping-particle":"","family":"Miller","given":"Genevieve","non-dropping-particle":"","parse-names":false,"suffix":""}],"container-title":"Journal of the History of Medicine and Allied Sciences","id":"ITEM-1","issued":{"date-parts":[["1962"]]},"title":"\"Airs, waters, and places\" in history","type":"article-journal"},"uris":["http://www.mendeley.com/documents/?uuid=9316dc12-849b-4b76-9c07-7fb145b70c2b"]}],"mendeley":{"formattedCitation":"(Miller, 1962)","plainTextFormattedCitation":"(Miller, 1962)","previouslyFormattedCitation":"(Miller, 1962)"},"properties":{"noteIndex":0},"schema":"https://github.com/citation-style-language/schema/raw/master/csl-citation.json"}</w:instrText>
      </w:r>
      <w:r w:rsidR="008D629A">
        <w:fldChar w:fldCharType="separate"/>
      </w:r>
      <w:r w:rsidR="008D629A" w:rsidRPr="008D629A">
        <w:rPr>
          <w:noProof/>
        </w:rPr>
        <w:t>(Miller, 1962)</w:t>
      </w:r>
      <w:r w:rsidR="008D629A">
        <w:fldChar w:fldCharType="end"/>
      </w:r>
      <w:r w:rsidR="008B32BA">
        <w:t>.</w:t>
      </w:r>
      <w:r w:rsidR="00AA3235">
        <w:t xml:space="preserve"> </w:t>
      </w:r>
      <w:r w:rsidR="007770F6">
        <w:t>A modern</w:t>
      </w:r>
      <w:r w:rsidR="00250C08">
        <w:t xml:space="preserve"> stud</w:t>
      </w:r>
      <w:r w:rsidR="007770F6">
        <w:t>y has</w:t>
      </w:r>
      <w:r w:rsidR="006D5B32">
        <w:t xml:space="preserve"> also shown that deaths were highly seasonal in ancient Rome </w:t>
      </w:r>
      <w:r w:rsidR="006D5B32">
        <w:fldChar w:fldCharType="begin" w:fldLock="1"/>
      </w:r>
      <w:r w:rsidR="00954AFE">
        <w:instrText>ADDIN CSL_CITATION {"citationItems":[{"id":"ITEM-1","itemData":{"DOI":"10.2307/300425","ISSN":"00754358","abstract":"Page 1. SEASONS OF DEATH: ASPECTS OF MORTALITY IN IMPERIAL ROME* By BRENT D. SHAW nec mala me ambitio perdit nec plumbeus Auster","author":[{"dropping-particle":"","family":"Shaw","given":"Brent D.","non-dropping-particle":"","parse-names":false,"suffix":""}],"container-title":"The Journal of Roman Studies","id":"ITEM-1","issued":{"date-parts":[["2006"]]},"title":"Seasons of death: aspects of mortality in Imperial Rome","type":"article-journal"},"uris":["http://www.mendeley.com/documents/?uuid=ce1f544f-ef79-45d2-b366-0f0014598119"]}],"mendeley":{"formattedCitation":"(Shaw, 2006)","plainTextFormattedCitation":"(Shaw, 2006)","previouslyFormattedCitation":"(Shaw, 2006)"},"properties":{"noteIndex":0},"schema":"https://github.com/citation-style-language/schema/raw/master/csl-citation.json"}</w:instrText>
      </w:r>
      <w:r w:rsidR="006D5B32">
        <w:fldChar w:fldCharType="separate"/>
      </w:r>
      <w:r w:rsidR="006D5B32" w:rsidRPr="006D5B32">
        <w:rPr>
          <w:noProof/>
        </w:rPr>
        <w:t>(Shaw, 2006)</w:t>
      </w:r>
      <w:r w:rsidR="006D5B32">
        <w:fldChar w:fldCharType="end"/>
      </w:r>
      <w:r w:rsidR="006D5B32">
        <w:t xml:space="preserve">. </w:t>
      </w:r>
      <w:r w:rsidR="00056E78">
        <w:t>Death rates also vary within monthly, weekly and daily scales</w:t>
      </w:r>
      <w:r w:rsidR="00B42AD4">
        <w:t xml:space="preserve"> </w:t>
      </w:r>
      <w:r w:rsidR="00B42AD4">
        <w:fldChar w:fldCharType="begin" w:fldLock="1"/>
      </w:r>
      <w:r w:rsidR="006D5B32">
        <w:instrText>ADDIN CSL_CITATION {"citationItems":[{"id":"ITEM-1","itemData":{"DOI":"10.1093/oxfordjournals.aje.a112218","ISSN":"0002-9262","abstract":"Daily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Epidemiology","id":"ITEM-1","issued":{"date-parts":[["1976"]]},"title":"Daily variation In USA mortality","type":"article-journal"},"uris":["http://www.mendeley.com/documents/?uuid=b1b8ef30-aaa4-459a-9e97-8c3e39097128"]}],"mendeley":{"formattedCitation":"(Rogot, Fabsitz, &amp; Feinleib, 1976)","plainTextFormattedCitation":"(Rogot, Fabsitz, &amp; Feinleib, 1976)","previouslyFormattedCitation":"(Rogot, Fabsitz, &amp; Feinleib, 1976)"},"properties":{"noteIndex":0},"schema":"https://github.com/citation-style-language/schema/raw/master/csl-citation.json"}</w:instrText>
      </w:r>
      <w:r w:rsidR="00B42AD4">
        <w:fldChar w:fldCharType="separate"/>
      </w:r>
      <w:r w:rsidR="00B42AD4" w:rsidRPr="00B42AD4">
        <w:rPr>
          <w:noProof/>
        </w:rPr>
        <w:t>(Rogot, Fabsitz, &amp; Feinleib, 1976)</w:t>
      </w:r>
      <w:r w:rsidR="00B42AD4">
        <w:fldChar w:fldCharType="end"/>
      </w:r>
      <w:r w:rsidR="00056E78">
        <w:t xml:space="preserve">. </w:t>
      </w:r>
      <w:r w:rsidR="00EB605F">
        <w:t xml:space="preserve">Modern analyses of seasonality </w:t>
      </w:r>
      <w:r w:rsidR="00D453B0">
        <w:t xml:space="preserve">originate from work in the United Kingdom in </w:t>
      </w:r>
      <w:r w:rsidR="00EB605F">
        <w:t>the 19</w:t>
      </w:r>
      <w:r w:rsidR="00EB605F" w:rsidRPr="00EB605F">
        <w:rPr>
          <w:vertAlign w:val="superscript"/>
        </w:rPr>
        <w:t>th</w:t>
      </w:r>
      <w:r w:rsidR="00EB605F">
        <w:t xml:space="preserve"> century</w:t>
      </w:r>
      <w:r w:rsidR="00D453B0">
        <w:t xml:space="preserve"> </w:t>
      </w:r>
      <w:r w:rsidR="00594338">
        <w:fldChar w:fldCharType="begin" w:fldLock="1"/>
      </w:r>
      <w:r w:rsidR="00E2117F">
        <w:instrText>ADDIN CSL_CITATION {"citationItems":[{"id":"ITEM-1","itemData":{"DOI":"10.2307/2339225","ISSN":"09595341","author":[{"dropping-particle":"","family":"Guy","given":"William A.","non-dropping-particle":"","parse-names":false,"suffix":""}],"container-title":"Journal of the Statistical Society of London","id":"ITEM-1","issued":{"date-parts":[["1881"]]},"title":"On temperature and its relation to mortality: An illustration of the application of the numerical method to the discovery of truth","type":"article-journal"},"uris":["http://www.mendeley.com/documents/?uuid=b80058fe-a53b-40c5-86cc-921a927c0444"]},{"id":"ITEM-2","itemData":{"DOI":"10.2307/2338211","ISSN":"09595341","author":[{"dropping-particle":"","family":"Guy","given":"William A.","non-dropping-particle":"","parse-names":false,"suffix":""}],"container-title":"Journal of the Statistical Society of London","id":"ITEM-2","issued":{"date-parts":[["1858"]]},"title":"On the annual fluctuations in the number of deaths from various diseases, compared with like fluctuations in crime, and in other events within and beyond the control of the human will","type":"article-journal"},"uris":["http://www.mendeley.com/documents/?uuid=5bf6a767-9851-42be-bf9b-b12cf190d3fd"]}],"mendeley":{"formattedCitation":"(Guy, 1858, 1881)","plainTextFormattedCitation":"(Guy, 1858, 1881)","previouslyFormattedCitation":"(Guy, 1858, 1881)"},"properties":{"noteIndex":0},"schema":"https://github.com/citation-style-language/schema/raw/master/csl-citation.json"}</w:instrText>
      </w:r>
      <w:r w:rsidR="00594338">
        <w:fldChar w:fldCharType="separate"/>
      </w:r>
      <w:r w:rsidR="00F57FBD" w:rsidRPr="00F57FBD">
        <w:rPr>
          <w:noProof/>
        </w:rPr>
        <w:t>(Guy, 1858, 1881)</w:t>
      </w:r>
      <w:r w:rsidR="00594338">
        <w:fldChar w:fldCharType="end"/>
      </w:r>
      <w:r w:rsidR="00EB605F">
        <w:t xml:space="preserve">. </w:t>
      </w:r>
      <w:r w:rsidR="00E34454">
        <w:t>R</w:t>
      </w:r>
      <w:r w:rsidR="00F3700E">
        <w:t xml:space="preserve">esearch </w:t>
      </w:r>
      <w:r w:rsidR="00E34454">
        <w:t xml:space="preserve">has since </w:t>
      </w:r>
      <w:r w:rsidR="004A5A2E">
        <w:t xml:space="preserve">conclusively </w:t>
      </w:r>
      <w:r w:rsidR="00E34454">
        <w:t>established</w:t>
      </w:r>
      <w:r w:rsidR="00FB2FCA">
        <w:t xml:space="preserve"> </w:t>
      </w:r>
      <w:r w:rsidR="004F5E26">
        <w:t>that</w:t>
      </w:r>
      <w:r w:rsidR="00B07AB6">
        <w:t xml:space="preserve"> in temperature countries</w:t>
      </w:r>
      <w:r w:rsidR="00175744">
        <w:t>,</w:t>
      </w:r>
      <w:r w:rsidR="00B07AB6">
        <w:t xml:space="preserve"> </w:t>
      </w:r>
      <w:r w:rsidR="006B5A9D">
        <w:t>such as</w:t>
      </w:r>
      <w:r w:rsidR="00B07AB6">
        <w:t xml:space="preserve"> </w:t>
      </w:r>
      <w:r w:rsidR="00B11F9C">
        <w:t>in Europe</w:t>
      </w:r>
      <w:r w:rsidR="00B07AB6">
        <w:t xml:space="preserve"> and </w:t>
      </w:r>
      <w:r w:rsidR="00BC6F72">
        <w:t xml:space="preserve">the </w:t>
      </w:r>
      <w:r w:rsidR="00B07AB6">
        <w:t>United States</w:t>
      </w:r>
      <w:r w:rsidR="0034640E">
        <w:t>,</w:t>
      </w:r>
      <w:r w:rsidR="004F5E26">
        <w:t xml:space="preserve"> death </w:t>
      </w:r>
      <w:r w:rsidR="002C1DFB">
        <w:t>counts</w:t>
      </w:r>
      <w:r w:rsidR="004F5E26">
        <w:t xml:space="preserve"> </w:t>
      </w:r>
      <w:r w:rsidR="007C3591">
        <w:t xml:space="preserve">from all causes of death </w:t>
      </w:r>
      <w:r w:rsidR="004F5E26">
        <w:t xml:space="preserve">in the winter </w:t>
      </w:r>
      <w:r w:rsidR="0043541D">
        <w:t>are</w:t>
      </w:r>
      <w:r w:rsidR="004F5E26">
        <w:t xml:space="preserve"> higher </w:t>
      </w:r>
      <w:r w:rsidR="00204249">
        <w:t xml:space="preserve">overall </w:t>
      </w:r>
      <w:r w:rsidR="004F5E26">
        <w:t>than in the summer</w:t>
      </w:r>
      <w:r w:rsidR="00B11F9C">
        <w:t xml:space="preserve"> </w:t>
      </w:r>
      <w:r w:rsidR="00AC46FB">
        <w:fldChar w:fldCharType="begin" w:fldLock="1"/>
      </w:r>
      <w:r w:rsidR="0053140E">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1959-1999","type":"article-journal"},"uris":["http://www.mendeley.com/documents/?uuid=d71d4fff-4eff-4bde-b7c6-dd98325879f4"]},{"id":"ITEM-3","itemData":{"DOI":"10.1057/hsq.2010.21","abstract":"This article reports research carried out to inform possible methods of describing seasonal mortality in relation to extremes of temperature. In particular, since different methods are currently used to assess excess winter mortality and heatwave related mortality, we aimed to find out whether a single method could be used to measure all seasonal mortality in relation to temperature. In order to do this the project investigated whether there are temperatures above or below which excess deaths occur, and explored whether it is possible to predict reliably how many deaths would occur at extreme temperatures.","author":[{"dropping-particle":"","family":"Brown","given":"Gary","non-dropping-particle":"","parse-names":false,"suffix":""},{"dropping-particle":"","family":"Fearn","given":"Vanessa","non-dropping-particle":"","parse-names":false,"suffix":""},{"dropping-particle":"","family":"Wells","given":"Claudia","non-dropping-particle":"","parse-names":false,"suffix":""}],"container-title":"Health Statistics Quarterly","id":"ITEM-3","issued":{"date-parts":[["2010"]]},"title":"Exploratory analysis of seasonal mortality in England and Wales, 1998 to 2007","type":"article-journal"},"uris":["http://www.mendeley.com/documents/?uuid=d4445f2b-98e3-471e-bfbc-d68fe1f93318"]}],"mendeley":{"formattedCitation":"(Brown, Fearn, &amp; Wells, 2010; Healy, 2003; Reichert et al., 2004)","plainTextFormattedCitation":"(Brown, Fearn, &amp; Wells, 2010; Healy, 2003; Reichert et al., 2004)","previouslyFormattedCitation":"(Brown, Fearn, &amp; Wells, 2010; Healy, 2003; Reichert et al., 2004)"},"properties":{"noteIndex":0},"schema":"https://github.com/citation-style-language/schema/raw/master/csl-citation.json"}</w:instrText>
      </w:r>
      <w:r w:rsidR="00AC46FB">
        <w:fldChar w:fldCharType="separate"/>
      </w:r>
      <w:r w:rsidR="0053140E" w:rsidRPr="0053140E">
        <w:rPr>
          <w:noProof/>
        </w:rPr>
        <w:t>(Brown, Fearn, &amp; Wells, 2010; Healy, 2003; Reichert et al., 2004)</w:t>
      </w:r>
      <w:r w:rsidR="00AC46FB">
        <w:fldChar w:fldCharType="end"/>
      </w:r>
      <w:r w:rsidR="004F5E26">
        <w:t>.</w:t>
      </w:r>
      <w:r w:rsidR="00D51CB2">
        <w:t xml:space="preserve"> </w:t>
      </w:r>
      <w:r w:rsidR="00C64389">
        <w:t>This phenomenon is known as e</w:t>
      </w:r>
      <w:r w:rsidR="007E5386">
        <w:t xml:space="preserve">xcess winter </w:t>
      </w:r>
      <w:r w:rsidR="007E5386">
        <w:lastRenderedPageBreak/>
        <w:t>mortality</w:t>
      </w:r>
      <w:r w:rsidR="00AD735D">
        <w:t xml:space="preserve"> </w:t>
      </w:r>
      <w:r w:rsidR="00477879">
        <w:t xml:space="preserve">or </w:t>
      </w:r>
      <w:r w:rsidR="00013477">
        <w:t>excess winter deaths</w:t>
      </w:r>
      <w:r w:rsidR="001066F3">
        <w:t xml:space="preserve"> and is</w:t>
      </w:r>
      <w:r w:rsidR="00277E2F">
        <w:t xml:space="preserve"> </w:t>
      </w:r>
      <w:r w:rsidR="0036553B">
        <w:t>defined</w:t>
      </w:r>
      <w:r w:rsidR="00F57FBD">
        <w:t xml:space="preserve"> </w:t>
      </w:r>
      <w:r w:rsidR="0036553B">
        <w:t xml:space="preserve">either </w:t>
      </w:r>
      <w:r w:rsidR="00F57FBD">
        <w:t>as the</w:t>
      </w:r>
      <w:r w:rsidR="00885C4D">
        <w:t xml:space="preserve"> </w:t>
      </w:r>
      <w:r w:rsidR="00813D75">
        <w:t>ratio or the absolute difference between the</w:t>
      </w:r>
      <w:r w:rsidR="00885C4D">
        <w:t xml:space="preserve"> number of deaths between </w:t>
      </w:r>
      <w:r w:rsidR="00C64389">
        <w:t>winter months</w:t>
      </w:r>
      <w:r w:rsidR="0004506E">
        <w:t xml:space="preserve"> (usually December to March)</w:t>
      </w:r>
      <w:r w:rsidR="00C64389">
        <w:t xml:space="preserve"> and the rest of the year</w:t>
      </w:r>
      <w:r w:rsidR="00813D75">
        <w:t xml:space="preserve">. </w:t>
      </w:r>
      <w:r w:rsidR="00E2117F">
        <w:t>Excess winter mortality</w:t>
      </w:r>
      <w:r w:rsidR="00B55A76">
        <w:t xml:space="preserve"> </w:t>
      </w:r>
      <w:r w:rsidR="008D710D">
        <w:t>has since become a common</w:t>
      </w:r>
      <w:r w:rsidR="00646FEE">
        <w:t xml:space="preserve"> metric</w:t>
      </w:r>
      <w:r w:rsidR="006B5A9D">
        <w:t xml:space="preserve"> </w:t>
      </w:r>
      <w:r w:rsidR="00F919A9">
        <w:t>to quantify th</w:t>
      </w:r>
      <w:r w:rsidR="00E2117F">
        <w:t>e difference in total deaths between winter months and the rest of the year</w:t>
      </w:r>
      <w:r w:rsidR="000B6BE6">
        <w:t>. This is illustrated by its</w:t>
      </w:r>
      <w:r w:rsidR="00E2117F">
        <w:t xml:space="preserve"> </w:t>
      </w:r>
      <w:r w:rsidR="005D09D9">
        <w:t>use</w:t>
      </w:r>
      <w:r w:rsidR="00945B64">
        <w:t xml:space="preserve"> </w:t>
      </w:r>
      <w:r w:rsidR="005D09D9">
        <w:t xml:space="preserve">in </w:t>
      </w:r>
      <w:r w:rsidR="00E2117F">
        <w:t xml:space="preserve">annual statistical </w:t>
      </w:r>
      <w:r w:rsidR="005D09D9">
        <w:t>bulletins</w:t>
      </w:r>
      <w:r w:rsidR="00E2117F">
        <w:t xml:space="preserve"> by the Office for National Statistics in the United Kingdom</w:t>
      </w:r>
      <w:r w:rsidR="005E3005">
        <w:t xml:space="preserve"> to give a</w:t>
      </w:r>
      <w:r w:rsidR="000F4B39">
        <w:t xml:space="preserve"> measure </w:t>
      </w:r>
      <w:r w:rsidR="005E3005">
        <w:t xml:space="preserve">of </w:t>
      </w:r>
      <w:r w:rsidR="007B7F45">
        <w:t>the</w:t>
      </w:r>
      <w:r w:rsidR="005E3005">
        <w:t xml:space="preserve"> severity of a year’s winter</w:t>
      </w:r>
      <w:r w:rsidR="00E2117F">
        <w:t xml:space="preserve"> </w:t>
      </w:r>
      <w:r w:rsidR="00FE759B">
        <w:t xml:space="preserve">on mortality </w:t>
      </w:r>
      <w:r w:rsidR="00E2117F">
        <w:fldChar w:fldCharType="begin" w:fldLock="1"/>
      </w:r>
      <w:r w:rsidR="0026020D">
        <w:instrText>ADDIN CSL_CITATION {"citationItems":[{"id":"ITEM-1","itemData":{"URL":"https://www.ons.gov.uk/peoplepopulationandcommunity/birthsdeathsandmarriages/deaths/bulletins/excesswintermortalityinenglandandwales/previousReleases","author":[{"dropping-particle":"","family":"ONS","given":"","non-dropping-particle":"","parse-names":false,"suffix":""}],"container-title":"Statistical bulletins","id":"ITEM-1","issued":{"date-parts":[["2019"]]},"title":"Excess winter mortality in England and Wales","type":"webpage"},"uris":["http://www.mendeley.com/documents/?uuid=1982d46b-58b7-4721-8c6a-89a8aa2131cd"]}],"mendeley":{"formattedCitation":"(ONS, 2019)","plainTextFormattedCitation":"(ONS, 2019)","previouslyFormattedCitation":"(ONS, 2019)"},"properties":{"noteIndex":0},"schema":"https://github.com/citation-style-language/schema/raw/master/csl-citation.json"}</w:instrText>
      </w:r>
      <w:r w:rsidR="00E2117F">
        <w:fldChar w:fldCharType="separate"/>
      </w:r>
      <w:r w:rsidR="00E2117F" w:rsidRPr="00E2117F">
        <w:rPr>
          <w:noProof/>
        </w:rPr>
        <w:t>(ONS, 2019)</w:t>
      </w:r>
      <w:r w:rsidR="00E2117F">
        <w:fldChar w:fldCharType="end"/>
      </w:r>
      <w:r w:rsidR="008534EF">
        <w:t xml:space="preserve">, though its </w:t>
      </w:r>
      <w:r w:rsidR="00790576">
        <w:t>use as an interpretive measure</w:t>
      </w:r>
      <w:r w:rsidR="00B34740">
        <w:t xml:space="preserve"> of the impact of cold weather</w:t>
      </w:r>
      <w:r w:rsidR="00790576">
        <w:t xml:space="preserve"> </w:t>
      </w:r>
      <w:r w:rsidR="008534EF">
        <w:t>is in doubt by some</w:t>
      </w:r>
      <w:r w:rsidR="0026020D">
        <w:t xml:space="preserve"> </w:t>
      </w:r>
      <w:r w:rsidR="0026020D">
        <w:fldChar w:fldCharType="begin" w:fldLock="1"/>
      </w:r>
      <w:r w:rsidR="00EF0AB3">
        <w:instrText>ADDIN CSL_CITATION {"citationItems":[{"id":"ITEM-1","itemData":{"DOI":"10.1097/EDE.0000000000000479","ISSN":"15315487","abstract":"BACKGROUND::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-1","issued":{"date-parts":[["2016"]]},"title":"The excess winter deaths measure: Why its use is misleading for public health understanding of cold-related health impacts","type":"article-journal"},"uris":["http://www.mendeley.com/documents/?uuid=2ad8b26c-a411-4bea-b846-b9719ae216af"]}],"mendeley":{"formattedCitation":"(Shakoor Hajat &amp; Gasparrini, 2016)","plainTextFormattedCitation":"(Shakoor Hajat &amp; Gasparrini, 2016)","previouslyFormattedCitation":"(Shakoor Hajat &amp; Gasparrini, 2016)"},"properties":{"noteIndex":0},"schema":"https://github.com/citation-style-language/schema/raw/master/csl-citation.json"}</w:instrText>
      </w:r>
      <w:r w:rsidR="0026020D">
        <w:fldChar w:fldCharType="separate"/>
      </w:r>
      <w:r w:rsidR="0026020D" w:rsidRPr="0026020D">
        <w:rPr>
          <w:noProof/>
        </w:rPr>
        <w:t>(Shakoor Hajat &amp; Gasparrini, 2016)</w:t>
      </w:r>
      <w:r w:rsidR="0026020D">
        <w:fldChar w:fldCharType="end"/>
      </w:r>
      <w:r w:rsidR="0026020D">
        <w:t xml:space="preserve">. </w:t>
      </w:r>
      <w:r w:rsidR="00E361A3">
        <w:t>E</w:t>
      </w:r>
      <w:r w:rsidR="00A933E4">
        <w:t xml:space="preserve">xcess winter mortality in </w:t>
      </w:r>
      <w:r w:rsidR="000B6075">
        <w:t>temperate</w:t>
      </w:r>
      <w:r w:rsidR="00F12FCC">
        <w:t xml:space="preserve"> </w:t>
      </w:r>
      <w:r w:rsidR="00CC07F4">
        <w:t xml:space="preserve">high-income </w:t>
      </w:r>
      <w:r w:rsidR="00A933E4">
        <w:t>countries range</w:t>
      </w:r>
      <w:r w:rsidR="00BD7CD3">
        <w:t>s</w:t>
      </w:r>
      <w:r w:rsidR="00A933E4">
        <w:t xml:space="preserve"> from 5% to 30%</w:t>
      </w:r>
      <w:r w:rsidR="00E3461F">
        <w:t xml:space="preserve"> </w:t>
      </w:r>
      <w:r w:rsidR="004110D5">
        <w:fldChar w:fldCharType="begin" w:fldLock="1"/>
      </w:r>
      <w:r w:rsidR="004110D5">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1959-1999","type":"article-journal"},"uris":["http://www.mendeley.com/documents/?uuid=d71d4fff-4eff-4bde-b7c6-dd98325879f4"]}],"mendeley":{"formattedCitation":"(Healy, 2003; Reichert et al., 2004)","plainTextFormattedCitation":"(Healy, 2003; Reichert et al., 2004)","previouslyFormattedCitation":"(Healy, 2003; Reichert et al., 2004)"},"properties":{"noteIndex":0},"schema":"https://github.com/citation-style-language/schema/raw/master/csl-citation.json"}</w:instrText>
      </w:r>
      <w:r w:rsidR="004110D5">
        <w:fldChar w:fldCharType="separate"/>
      </w:r>
      <w:r w:rsidR="004110D5" w:rsidRPr="00AC46FB">
        <w:rPr>
          <w:noProof/>
        </w:rPr>
        <w:t>(Healy, 2003; Reichert et al., 2004)</w:t>
      </w:r>
      <w:r w:rsidR="004110D5">
        <w:fldChar w:fldCharType="end"/>
      </w:r>
      <w:r w:rsidR="004110D5">
        <w:t>.</w:t>
      </w:r>
      <w:r w:rsidR="008733D9">
        <w:t xml:space="preserve"> A necessary assumption of excess winter mortality is that deaths are highest in the winter. This </w:t>
      </w:r>
      <w:r w:rsidR="00DE629F">
        <w:t>is an</w:t>
      </w:r>
      <w:r w:rsidR="008733D9">
        <w:t xml:space="preserve"> erroneous assumption when examining seasonal dynamics of mortality in certain causes of death such as unintentional injuries</w:t>
      </w:r>
      <w:r w:rsidR="00767C2B">
        <w:t xml:space="preserve"> and </w:t>
      </w:r>
      <w:r w:rsidR="005A2933">
        <w:t>may also be wrong</w:t>
      </w:r>
      <w:r w:rsidR="008733D9">
        <w:t xml:space="preserve"> for certain age group, sex and location combinations within a cause of death</w:t>
      </w:r>
      <w:r w:rsidR="00BE6523">
        <w:t xml:space="preserve"> </w:t>
      </w:r>
      <w:r w:rsidR="00BE6523">
        <w:fldChar w:fldCharType="begin" w:fldLock="1"/>
      </w:r>
      <w:r w:rsidR="00BE6523">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approach","type":"article-journal","volume":"PhD"},"uris":["http://www.mendeley.com/documents/?uuid=735ffa52-a2fc-4bed-ab59-d84289752b70"]}],"mendeley":{"formattedCitation":"(Rau, 2004)","plainTextFormattedCitation":"(Rau, 2004)","previouslyFormattedCitation":"(Rau, 2004)"},"properties":{"noteIndex":0},"schema":"https://github.com/citation-style-language/schema/raw/master/csl-citation.json"}</w:instrText>
      </w:r>
      <w:r w:rsidR="00BE6523">
        <w:fldChar w:fldCharType="separate"/>
      </w:r>
      <w:r w:rsidR="00BE6523" w:rsidRPr="003306B1">
        <w:rPr>
          <w:noProof/>
        </w:rPr>
        <w:t>(Rau, 2004)</w:t>
      </w:r>
      <w:r w:rsidR="00BE6523">
        <w:fldChar w:fldCharType="end"/>
      </w:r>
      <w:r w:rsidR="008733D9">
        <w:t>.</w:t>
      </w:r>
    </w:p>
    <w:p w14:paraId="5A05B6CC" w14:textId="6159389B" w:rsidR="00D252CA" w:rsidRDefault="005725BE" w:rsidP="00793224">
      <w:pPr>
        <w:ind w:firstLine="567"/>
        <w:rPr>
          <w:szCs w:val="24"/>
        </w:rPr>
      </w:pPr>
      <w:r>
        <w:rPr>
          <w:szCs w:val="24"/>
        </w:rPr>
        <w:t>Apart from excess winter mortality, t</w:t>
      </w:r>
      <w:r w:rsidR="00D252CA">
        <w:rPr>
          <w:szCs w:val="24"/>
        </w:rPr>
        <w:t xml:space="preserve">here are existing alternative ways of diagnosing seasonal mortality. </w:t>
      </w:r>
      <w:r w:rsidR="005545F3">
        <w:rPr>
          <w:szCs w:val="24"/>
        </w:rPr>
        <w:t>For</w:t>
      </w:r>
      <w:r w:rsidR="00D252CA">
        <w:rPr>
          <w:szCs w:val="24"/>
        </w:rPr>
        <w:t xml:space="preserve"> </w:t>
      </w:r>
      <w:r w:rsidR="005605C1">
        <w:rPr>
          <w:szCs w:val="24"/>
        </w:rPr>
        <w:t>North Americ</w:t>
      </w:r>
      <w:r w:rsidR="00A604A1">
        <w:rPr>
          <w:szCs w:val="24"/>
        </w:rPr>
        <w:t>a</w:t>
      </w:r>
      <w:r w:rsidR="00D252CA">
        <w:rPr>
          <w:szCs w:val="24"/>
        </w:rPr>
        <w:t xml:space="preserve">, some have employed algebraic techniques to examine seasonal mortality by demographic, cause of death and metropolitan areas </w:t>
      </w:r>
      <w:r w:rsidR="00D252CA">
        <w:rPr>
          <w:szCs w:val="24"/>
        </w:rPr>
        <w:fldChar w:fldCharType="begin" w:fldLock="1"/>
      </w:r>
      <w:r w:rsidR="00DF6530">
        <w:rPr>
          <w:szCs w:val="24"/>
        </w:rPr>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Epidemiology","id":"ITEM-4","issued":{"date-parts":[["1976"]]},"title":"Daily variation In USA mortality","type":"article-journal"},"uris":["http://www.mendeley.com/documents/?uuid=b1b8ef30-aaa4-459a-9e97-8c3e39097128"]},{"id":"ITEM-5","itemData":{"author":[{"dropping-particle":"","family":"Trudeau","given":"Richard","non-dropping-particle":"","parse-names":false,"suffix":""}],"container-title":"Statistics Canada","id":"ITEM-5","issue":"1","issued":{"date-parts":[["1997"]]},"title":"Monthly and daily patterns of death","type":"article-journal","volume":"9"},"uris":["http://www.mendeley.com/documents/?uuid=36120b87-b240-460f-aee0-df8d43bc7671"]}],"mendeley":{"formattedCitation":"(Feinstein, 2002; Kalkstein, 2013; Rogot et al., 1976; Rosenwaike, 1966; Trudeau, 1997)","plainTextFormattedCitation":"(Feinstein, 2002; Kalkstein, 2013; Rogot et al., 1976; Rosenwaike, 1966; Trudeau, 1997)","previouslyFormattedCitation":"(Feinstein, 2002; Kalkstein, 2013; Rogot et al., 1976; Rosenwaike, 1966; Trudeau, 1997)"},"properties":{"noteIndex":0},"schema":"https://github.com/citation-style-language/schema/raw/master/csl-citation.json"}</w:instrText>
      </w:r>
      <w:r w:rsidR="00D252CA">
        <w:rPr>
          <w:szCs w:val="24"/>
        </w:rPr>
        <w:fldChar w:fldCharType="separate"/>
      </w:r>
      <w:r w:rsidR="001209A6" w:rsidRPr="001209A6">
        <w:rPr>
          <w:noProof/>
          <w:szCs w:val="24"/>
        </w:rPr>
        <w:t>(Feinstein, 2002; Kalkstein, 2013; Rogot et al., 1976; Rosenwaike, 1966; Trudeau, 1997)</w:t>
      </w:r>
      <w:r w:rsidR="00D252CA">
        <w:rPr>
          <w:szCs w:val="24"/>
        </w:rPr>
        <w:fldChar w:fldCharType="end"/>
      </w:r>
      <w:r w:rsidR="00D252CA">
        <w:rPr>
          <w:szCs w:val="24"/>
        </w:rPr>
        <w:t xml:space="preserve">. Others have used Fourier spectral analysis </w:t>
      </w:r>
      <w:r w:rsidR="00FC43C0">
        <w:rPr>
          <w:szCs w:val="24"/>
        </w:rPr>
        <w:t>or</w:t>
      </w:r>
      <w:r w:rsidR="004E531E">
        <w:rPr>
          <w:szCs w:val="24"/>
        </w:rPr>
        <w:t xml:space="preserve"> cosinor functions </w:t>
      </w:r>
      <w:r w:rsidR="00D252CA">
        <w:rPr>
          <w:szCs w:val="24"/>
        </w:rPr>
        <w:t xml:space="preserve">to fit seasonal models to monthly death rates in </w:t>
      </w:r>
      <w:r w:rsidR="00E731F3">
        <w:rPr>
          <w:szCs w:val="24"/>
        </w:rPr>
        <w:t>several</w:t>
      </w:r>
      <w:r w:rsidR="00D252CA">
        <w:rPr>
          <w:szCs w:val="24"/>
        </w:rPr>
        <w:t xml:space="preserve"> countries </w:t>
      </w:r>
      <w:r w:rsidR="00D252CA">
        <w:rPr>
          <w:szCs w:val="24"/>
        </w:rPr>
        <w:fldChar w:fldCharType="begin" w:fldLock="1"/>
      </w:r>
      <w:r w:rsidR="00AE07E5">
        <w:rPr>
          <w:szCs w:val="24"/>
        </w:rPr>
        <w:instrText>ADDIN CSL_CITATION {"citationItems":[{"id":"ITEM-1","itemData":{"DOI":"10.1093/ije/29.2.274","ISSN":"03005771","abstract":"BACKGROUND: Seasonal patterns in mortality have been recognized for many years. This study assesses seasonal variation in mortality in Scotland between 1981 and 1993 and considers its association with socioeconomic status and outdoor temperature. METHODS: Lagged Poisson regression analysis of numbers of deaths and average weekly temperature with adjustment for serial autocorrelation and influenza epidemics. RESULTS: There was significant seasonal variation in weekly death rates with a difference of about 30% between a summer trough and a winter peak. This variation was principally attributable to respiratory disease, cerebrovascular disease and coronary artery disease. Seasonal variation in mortality fell from around 38% in 1981-1983 to around 26% in 1991-1993. There was no clear evidence of a relationship between socioeconomic status and seasonal mortality, however the extent of the fall in seasonal variation was greater in deprived areas than in affluent areas. Overall, a 1 degree C decrease in mean temperature was associated with a 1% increase in deaths one week later. The lag in this relationship varied by cause of death and underlying temperature. CONCLUSIONS: Seasonal variations in mortality and the relationship between temperature and mortality are a significant public health problem in Scotland. It is likely that the strength of this relationship is a result of the population being unable to protect themselves adequately from the effects of temperature rather than the effects of temperature itself.","author":[{"dropping-particle":"","family":"Gemmell","given":"Islay","non-dropping-particle":"","parse-names":false,"suffix":""},{"dropping-particle":"","family":"McLoone","given":"Philip","non-dropping-particle":"","parse-names":false,"suffix":""},{"dropping-particle":"","family":"Boddy","given":"F. A.","non-dropping-particle":"","parse-names":false,"suffix":""},{"dropping-particle":"","family":"Dickinson","given":"Gordon J.","non-dropping-particle":"","parse-names":false,"suffix":""},{"dropping-particle":"","family":"Watt","given":"G. C.M.","non-dropping-particle":"","parse-names":false,"suffix":""}],"container-title":"International Journal of Epidemiology","id":"ITEM-1","issued":{"date-parts":[["2000"]]},"title":"Seasonal variation in mortality in Scotland","type":"article-journal"},"uris":["http://www.mendeley.com/documents/?uuid=c045ce5a-cbd0-494e-a965-95f653f5419a"]},{"id":"ITEM-2","itemData":{"DOI":"10.1371/journal.pone.0113500","ISSN":"19326203","abstract":"© 2014 Marti-Soler et al. Background: Cardiovascular diseases (CVD) mortality has been shown to follow a seasonal pattern. Several studies suggested several possible determinants of this pattern, including misclassification of causes of deaths. We aimed at assessing seasonality in overall, CVD, cancer and non-CVD/non-cancer mortality using data from 19 countries from different latitudes. Methods and Findings: Monthly mortality data were compiled from 19 countries, amounting to over 54 million deaths. We calculated ratios of the observed to the expected numbers of deaths in the absence of a seasonal pattern. Seasonal variation (peak to nadir difference) for overall and cause-specific (CVD, cancer or non-CVD/non-cancer) mortality was analyzed using the cosinor function model. Mortality from overall, CVD and non-CVD/non-cancer showed a consistent seasonal pattern. In both hemispheres, the number of deaths was higher than expected in winter. In countries close to the Equator the seasonal pattern was considerably lower for mortality from any cause. For CVD mortality, the peak to nadir differences ranged from 0.185 to 0.466 in the Northern Hemisphere, from 0.087 to 0.108 near the Equator, and from 0.219 to 0.409 in the Southern Hemisphere. For cancer mortality, the seasonal variation was nonexistent in most countries. Conclusions: In countries with seasonal variation, mortality from overall, CVD and non-CVD/non-cancer show a seasonal pattern with mortality being higher in winter than in summer. Conversely, cancer mortality shows no substantial seasonality.","author":[{"dropping-particle":"","family":"Marti-Soler","given":"Helena","non-dropping-particle":"","parse-names":false,"suffix":""},{"dropping-particle":"","family":"Gonseth","given":"Semira","non-dropping-particle":"","parse-names":false,"suffix":""},{"dropping-particle":"","family":"Gubelmann","given":"Cédric","non-dropping-particle":"","parse-names":false,"suffix":""},{"dropping-particle":"","family":"Stringhini","given":"Silvia","non-dropping-particle":"","parse-names":false,"suffix":""},{"dropping-particle":"","family":"Bovet","given":"Pascal","non-dropping-particle":"","parse-names":false,"suffix":""},{"dropping-particle":"","family":"Chen","given":"Pau Chung","non-dropping-particle":"","parse-names":false,"suffix":""},{"dropping-particle":"","family":"Wojtyniak","given":"Bogdan","non-dropping-particle":"","parse-names":false,"suffix":""},{"dropping-particle":"","family":"Paccaud","given":"Fred","non-dropping-particle":"","parse-names":false,"suffix":""},{"dropping-particle":"","family":"Tsai","given":"Dai Hua","non-dropping-particle":"","parse-names":false,"suffix":""},{"dropping-particle":"","family":"Zdrojewski","given":"Tomasz","non-dropping-particle":"","parse-names":false,"suffix":""},{"dropping-particle":"","family":"Marques-Vidal","given":"Pedro","non-dropping-particle":"","parse-names":false,"suffix":""}],"container-title":"PLoS ONE","id":"ITEM-2","issued":{"date-parts":[["2014"]]},"title":"Seasonal variation of overall and cardiovascular mortality: A study in 19 countries from different geographic locations","type":"article-journal"},"uris":["http://www.mendeley.com/documents/?uuid=89d0f4d1-9d22-4c2b-96b5-dd1cf6e6221a"]},{"id":"ITEM-3","itemData":{"DOI":"10.1093/ageing/25.5.343","ISSN":"00020729","abstract":"Seasonal fluctuations in mortality are associated with age, outdoor temperature, and influenza. The relative excess winter mortality is approximately twice as high in the UK compared with the Scandinavian countries. Using data from Norway and England plus Wales, this study compares the effect of age, temperature and influenza on winter excess mortality in the two countries. Bivariate analyses showed that the excess winter mortality (December-March) in England and Wales was nearly twice as high in old as in middle-aged people, and also markedly higher than in Norway, while the association between excess winter deaths and influenza was of a similar magnitude. In the British data only, a marked and statistically significant negative relationship existed between outdoor temperature and excess winter mortality, corresponding to an increase of approximately 3,500 deaths in England and Wales (approximately 2/10,000 in the population aged 45 years and over) per 1 degree C reduction in winter temperature, after adjustment for age and influenza. Using data from 20 Western European countries, a highly significant positive correlation (R = 0.71, p &lt; 0.001) was found between total mortality rates for the elderly (65 years and over) and relative excess winter mortality.","author":[{"dropping-particle":"","family":"Laake","given":"Knut","non-dropping-particle":"","parse-names":false,"suffix":""},{"dropping-particle":"","family":"Sverre","given":"Jan Marcus","non-dropping-particle":"","parse-names":false,"suffix":""}],"container-title":"Age and Ageing","id":"ITEM-3","issued":{"date-parts":[["1996"]]},"title":"Winter excess mortality: A comparison between Norway and England plus Wales","type":"article-journal"},"uris":["http://www.mendeley.com/documents/?uuid=c59c9ad6-53f0-4053-ac5c-984e0712aec8"]},{"id":"ITEM-4","itemData":{"DOI":"10.1136/jech.46.3.261","ISBN":"0143-005X (Print)\\r0143-005X (Linking)","ISSN":"0143005X","PMID":"1645083","abstract":"The aim was to describe the pattern of seasonal variation in all cause mortality in The Netherlands, and to analyse the contribution of specific causes of death to the winter excess of all cause mortality.","author":[{"dropping-particle":"","family":"Mackenbach","given":"J. P.","non-dropping-particle":"","parse-names":false,"suffix":""},{"dropping-particle":"","family":"Kunst","given":"A. E.","non-dropping-particle":"","parse-names":false,"suffix":""},{"dropping-particle":"","family":"Looman","given":"C. W.N.","non-dropping-particle":"","parse-names":false,"suffix":""}],"container-title":"Journal of Epidemiology and Community Health","id":"ITEM-4","issue":"3","issued":{"date-parts":[["1992"]]},"page":"261-265","title":"Seasonal variation in mortality in The Netherlands","type":"article-journal","volume":"46"},"uris":["http://www.mendeley.com/documents/?uuid=c6fd80d1-2713-4c87-9c92-52f99af3b3c9"]},{"id":"ITEM-5","itemData":{"DOI":"10.1093/eurpub/4.1.3","ISSN":"1101-1262","author":[{"dropping-particle":"","family":"Green","given":"M. S.","non-dropping-particle":"","parse-names":false,"suffix":""},{"dropping-particle":"","family":"Harari","given":"G.","non-dropping-particle":"","parse-names":false,"suffix":""},{"dropping-particle":"","family":"Kristal-Boneh","given":"E.","non-dropping-particle":"","parse-names":false,"suffix":""}],"container-title":"The European Journal of Public Health","id":"ITEM-5","issued":{"date-parts":[["2007"]]},"title":"Excess winter mortality from ischaemic heart disease and stroke during colder and warmer years in Israel: An evaluation and review of the role of environmental temperature","type":"article-journal"},"uris":["http://www.mendeley.com/documents/?uuid=93f31ff5-56fb-4ada-b4eb-67d454804a53"]}],"mendeley":{"formattedCitation":"(Gemmell, McLoone, Boddy, Dickinson, &amp; Watt, 2000; Green, Harari, &amp; Kristal-Boneh, 2007; Laake &amp; Sverre, 1996; Mackenbach, Kunst, &amp; Looman, 1992; Marti-Soler et al., 2014)","plainTextFormattedCitation":"(Gemmell, McLoone, Boddy, Dickinson, &amp; Watt, 2000; Green, Harari, &amp; Kristal-Boneh, 2007; Laake &amp; Sverre, 1996; Mackenbach, Kunst, &amp; Looman, 1992; Marti-Soler et al., 2014)","previouslyFormattedCitation":"(Gemmell, McLoone, Boddy, Dickinson, &amp; Watt, 2000; Green, Harari, &amp; Kristal-Boneh, 2007; Laake &amp; Sverre, 1996; Mackenbach, Kunst, &amp; Looman, 1992; Marti-Soler et al., 2014)"},"properties":{"noteIndex":0},"schema":"https://github.com/citation-style-language/schema/raw/master/csl-citation.json"}</w:instrText>
      </w:r>
      <w:r w:rsidR="00D252CA">
        <w:rPr>
          <w:szCs w:val="24"/>
        </w:rPr>
        <w:fldChar w:fldCharType="separate"/>
      </w:r>
      <w:r w:rsidR="00DF6530" w:rsidRPr="00DF6530">
        <w:rPr>
          <w:noProof/>
          <w:szCs w:val="24"/>
        </w:rPr>
        <w:t>(Gemmell, McLoone, Boddy, Dickinson, &amp; Watt, 2000; Green, Harari, &amp; Kristal-Boneh, 2007; Laake &amp; Sverre, 1996; Mackenbach, Kunst, &amp; Looman, 1992; Marti-Soler et al., 2014)</w:t>
      </w:r>
      <w:r w:rsidR="00D252CA">
        <w:rPr>
          <w:szCs w:val="24"/>
        </w:rPr>
        <w:fldChar w:fldCharType="end"/>
      </w:r>
      <w:r w:rsidR="00D252CA">
        <w:rPr>
          <w:szCs w:val="24"/>
        </w:rPr>
        <w:t>. One assumption of these analyses, however, is that seasonal death rates have a fixed</w:t>
      </w:r>
      <w:r w:rsidR="008016F3">
        <w:rPr>
          <w:szCs w:val="24"/>
        </w:rPr>
        <w:t xml:space="preserve"> </w:t>
      </w:r>
      <w:r w:rsidR="00D252CA">
        <w:rPr>
          <w:szCs w:val="24"/>
        </w:rPr>
        <w:t>12-month cycle</w:t>
      </w:r>
      <w:r w:rsidR="000E4433">
        <w:rPr>
          <w:szCs w:val="24"/>
        </w:rPr>
        <w:t>, though one</w:t>
      </w:r>
      <w:r w:rsidR="00D252CA" w:rsidRPr="00124AAF">
        <w:rPr>
          <w:szCs w:val="24"/>
        </w:rPr>
        <w:t xml:space="preserve"> study was more flexible in including certain other</w:t>
      </w:r>
      <w:r w:rsidR="00D252CA">
        <w:rPr>
          <w:szCs w:val="24"/>
        </w:rPr>
        <w:t xml:space="preserve"> allowed</w:t>
      </w:r>
      <w:r w:rsidR="00D252CA" w:rsidRPr="00124AAF">
        <w:rPr>
          <w:szCs w:val="24"/>
        </w:rPr>
        <w:t xml:space="preserve"> </w:t>
      </w:r>
      <w:r w:rsidR="00D252CA">
        <w:rPr>
          <w:szCs w:val="24"/>
        </w:rPr>
        <w:t>cycle</w:t>
      </w:r>
      <w:r w:rsidR="004531AC">
        <w:rPr>
          <w:szCs w:val="24"/>
        </w:rPr>
        <w:t xml:space="preserve"> lengths</w:t>
      </w:r>
      <w:r w:rsidR="00D252CA" w:rsidRPr="00124AAF">
        <w:rPr>
          <w:szCs w:val="24"/>
        </w:rPr>
        <w:t xml:space="preserve"> for </w:t>
      </w:r>
      <w:r w:rsidR="00D252CA">
        <w:rPr>
          <w:szCs w:val="24"/>
        </w:rPr>
        <w:t xml:space="preserve">a study of seasonality of mortality in </w:t>
      </w:r>
      <w:r w:rsidR="00D252CA" w:rsidRPr="00124AAF">
        <w:rPr>
          <w:szCs w:val="24"/>
        </w:rPr>
        <w:t>Japan</w:t>
      </w:r>
      <w:r w:rsidR="00D252CA">
        <w:rPr>
          <w:szCs w:val="24"/>
        </w:rPr>
        <w:t xml:space="preserve"> </w:t>
      </w:r>
      <w:r w:rsidR="00D252CA">
        <w:rPr>
          <w:szCs w:val="24"/>
        </w:rPr>
        <w:fldChar w:fldCharType="begin" w:fldLock="1"/>
      </w:r>
      <w:r w:rsidR="00D252CA">
        <w:rPr>
          <w:szCs w:val="24"/>
        </w:rPr>
        <w:instrText>ADDIN CSL_CITATION {"citationItems":[{"id":"ITEM-1","itemData":{"DOI":"10.1007/s10654-004-4695-8","ISSN":"03932990","abstract":"Background: It is well recognized that the season of the year exerts an influence on some diseases and causes of death such as coronary heart diseases, stroke, infectious diseases and so on. Methods: We evaluated the influence of seasonal changes on diseases and causes of death in Japan using the Japan Vital Statistics from 1970 to 1999 and recorded weather data (mean temperature), by a Fourier decomposition in a log linear regression model. Results: Major influences of seasonal change with the highest rates in winter were seen on the following: the overall causes of death; infectious and parasitic diseases including tuberculosis; respiratory disease, including pneumonia and influenza; heart and cerebrovascular diseases; diabetes; and digestive diseases and accidents. Two peaks were seen in suicides, a large peak in April and a small peak in autumn. Cancer and homicides were little or not at all influenced by seasonality. There was no major difference in changes between the years studied, except for respiratory disease and tuberculosis, which showed a clear reduction in the seasonality effect from 1970 to 1999. Conclusions: To reduce the overall mortality rate and to pr olong life expectancy in Japan, measures must be taken to reduce those mortality rates associated with seasonal differences, especially those causes of death which show a strong correlation with seasonal change: respiratory, heart, cerebrovascular, diabetes and infectious diseases.","author":[{"dropping-particle":"","family":"Nakaji","given":"Shigeyuki","non-dropping-particle":"","parse-names":false,"suffix":""},{"dropping-particle":"","family":"Parodi","given":"Stefano","non-dropping-particle":"","parse-names":false,"suffix":""},{"dropping-particle":"","family":"Fontana","given":"Vincenzo","non-dropping-particle":"","parse-names":false,"suffix":""},{"dropping-particle":"","family":"Umeda","given":"Takashi","non-dropping-particle":"","parse-names":false,"suffix":""},{"dropping-particle":"","family":"Suzuki","given":"Katsuhiko","non-dropping-particle":"","parse-names":false,"suffix":""},{"dropping-particle":"","family":"Sakamoto","given":"Juichi","non-dropping-particle":"","parse-names":false,"suffix":""},{"dropping-particle":"","family":"Fukuda","given":"Shinsaku","non-dropping-particle":"","parse-names":false,"suffix":""},{"dropping-particle":"","family":"Wada","given":"Seiko","non-dropping-particle":"","parse-names":false,"suffix":""},{"dropping-particle":"","family":"Sugawara","given":"Kazuo","non-dropping-particle":"","parse-names":false,"suffix":""}],"container-title":"European Journal of Epidemiology","id":"ITEM-1","issued":{"date-parts":[["2004"]]},"title":"Seasonal changes in mortality rates from main causes of death in Japan","type":"article-journal"},"uris":["http://www.mendeley.com/documents/?uuid=9f8103aa-5c2a-4789-a81c-4a7e1c8f248c"]}],"mendeley":{"formattedCitation":"(Nakaji et al., 2004)","plainTextFormattedCitation":"(Nakaji et al., 2004)","previouslyFormattedCitation":"(Nakaji et al., 2004)"},"properties":{"noteIndex":0},"schema":"https://github.com/citation-style-language/schema/raw/master/csl-citation.json"}</w:instrText>
      </w:r>
      <w:r w:rsidR="00D252CA">
        <w:rPr>
          <w:szCs w:val="24"/>
        </w:rPr>
        <w:fldChar w:fldCharType="separate"/>
      </w:r>
      <w:r w:rsidR="00D252CA" w:rsidRPr="00DE1479">
        <w:rPr>
          <w:noProof/>
          <w:szCs w:val="24"/>
        </w:rPr>
        <w:t>(Nakaji et al., 2004)</w:t>
      </w:r>
      <w:r w:rsidR="00D252CA">
        <w:rPr>
          <w:szCs w:val="24"/>
        </w:rPr>
        <w:fldChar w:fldCharType="end"/>
      </w:r>
      <w:r w:rsidR="00D252CA">
        <w:rPr>
          <w:szCs w:val="24"/>
        </w:rPr>
        <w:t xml:space="preserve">. </w:t>
      </w:r>
      <w:r w:rsidR="00A30403">
        <w:rPr>
          <w:szCs w:val="24"/>
        </w:rPr>
        <w:t>Another</w:t>
      </w:r>
      <w:r w:rsidR="00D252CA">
        <w:rPr>
          <w:szCs w:val="24"/>
        </w:rPr>
        <w:t xml:space="preserve"> disadvantage of </w:t>
      </w:r>
      <w:r w:rsidR="00A30403">
        <w:rPr>
          <w:szCs w:val="24"/>
        </w:rPr>
        <w:t xml:space="preserve">these types of analysis </w:t>
      </w:r>
      <w:r w:rsidR="00A24305">
        <w:rPr>
          <w:szCs w:val="24"/>
        </w:rPr>
        <w:t xml:space="preserve">is that </w:t>
      </w:r>
      <w:r w:rsidR="0034334E">
        <w:rPr>
          <w:szCs w:val="24"/>
        </w:rPr>
        <w:t xml:space="preserve">the ratio of </w:t>
      </w:r>
      <w:r w:rsidR="00022155">
        <w:rPr>
          <w:szCs w:val="24"/>
        </w:rPr>
        <w:t xml:space="preserve">seasonality and length of cycle is fixed across the period of study. </w:t>
      </w:r>
      <w:r w:rsidR="00D252CA">
        <w:rPr>
          <w:szCs w:val="24"/>
        </w:rPr>
        <w:t>Over time, behaviour of seasonal mortality can change</w:t>
      </w:r>
      <w:r w:rsidR="007258BE">
        <w:rPr>
          <w:szCs w:val="24"/>
        </w:rPr>
        <w:t xml:space="preserve"> or </w:t>
      </w:r>
      <w:r w:rsidR="007258BE">
        <w:rPr>
          <w:szCs w:val="24"/>
        </w:rPr>
        <w:lastRenderedPageBreak/>
        <w:t>disappear entirely</w:t>
      </w:r>
      <w:r w:rsidR="00D252CA">
        <w:rPr>
          <w:szCs w:val="24"/>
        </w:rPr>
        <w:t>.</w:t>
      </w:r>
      <w:r w:rsidR="006A6828">
        <w:rPr>
          <w:szCs w:val="24"/>
        </w:rPr>
        <w:t xml:space="preserve"> </w:t>
      </w:r>
      <w:r w:rsidR="007F7162">
        <w:rPr>
          <w:szCs w:val="24"/>
        </w:rPr>
        <w:t xml:space="preserve">Rau uses a Lexis diagram to </w:t>
      </w:r>
      <w:r w:rsidR="001A6067">
        <w:rPr>
          <w:szCs w:val="24"/>
        </w:rPr>
        <w:t>accommodate and analyse</w:t>
      </w:r>
      <w:r w:rsidR="003A36B7">
        <w:rPr>
          <w:szCs w:val="24"/>
        </w:rPr>
        <w:t xml:space="preserve"> </w:t>
      </w:r>
      <w:r w:rsidR="001A6067">
        <w:rPr>
          <w:szCs w:val="24"/>
        </w:rPr>
        <w:t>changes in seasonality of mortality</w:t>
      </w:r>
      <w:r w:rsidR="003A36B7">
        <w:rPr>
          <w:szCs w:val="24"/>
        </w:rPr>
        <w:t xml:space="preserve"> </w:t>
      </w:r>
      <w:r w:rsidR="007F7162">
        <w:rPr>
          <w:szCs w:val="24"/>
        </w:rPr>
        <w:fldChar w:fldCharType="begin" w:fldLock="1"/>
      </w:r>
      <w:r w:rsidR="00BF0FB4">
        <w:rPr>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Diagram","type":"book"},"uris":["http://www.mendeley.com/documents/?uuid=e0c81d53-6ad6-40c1-935d-e122c89bb8f6"]}],"mendeley":{"formattedCitation":"(Rau, Bohk-Ewald, Muszyńska, &amp; Vaupel, 2018)","plainTextFormattedCitation":"(Rau, Bohk-Ewald, Muszyńska, &amp; Vaupel, 2018)","previouslyFormattedCitation":"(Rau, Bohk-Ewald, Muszyńska, &amp; Vaupel, 2018)"},"properties":{"noteIndex":0},"schema":"https://github.com/citation-style-language/schema/raw/master/csl-citation.json"}</w:instrText>
      </w:r>
      <w:r w:rsidR="007F7162">
        <w:rPr>
          <w:szCs w:val="24"/>
        </w:rPr>
        <w:fldChar w:fldCharType="separate"/>
      </w:r>
      <w:r w:rsidR="007F7162" w:rsidRPr="007F7162">
        <w:rPr>
          <w:noProof/>
          <w:szCs w:val="24"/>
        </w:rPr>
        <w:t>(Rau, Bohk-Ewald, Muszyńska, &amp; Vaupel, 2018)</w:t>
      </w:r>
      <w:r w:rsidR="007F7162">
        <w:rPr>
          <w:szCs w:val="24"/>
        </w:rPr>
        <w:fldChar w:fldCharType="end"/>
      </w:r>
      <w:r w:rsidR="007F7162">
        <w:rPr>
          <w:szCs w:val="24"/>
        </w:rPr>
        <w:t xml:space="preserve">. </w:t>
      </w:r>
      <w:r w:rsidR="006A6828">
        <w:rPr>
          <w:szCs w:val="24"/>
        </w:rPr>
        <w:t xml:space="preserve">An alternative </w:t>
      </w:r>
      <w:r w:rsidR="0060104D">
        <w:rPr>
          <w:szCs w:val="24"/>
        </w:rPr>
        <w:t xml:space="preserve">method could use wavelets, which </w:t>
      </w:r>
      <w:r w:rsidR="00FB74F2">
        <w:rPr>
          <w:szCs w:val="24"/>
        </w:rPr>
        <w:t>enables a dynamic spectral analysis</w:t>
      </w:r>
      <w:r w:rsidR="0060104D">
        <w:rPr>
          <w:szCs w:val="24"/>
        </w:rPr>
        <w:t>.</w:t>
      </w:r>
      <w:r w:rsidR="006A6828">
        <w:rPr>
          <w:szCs w:val="24"/>
        </w:rPr>
        <w:t xml:space="preserve"> </w:t>
      </w:r>
      <w:r w:rsidR="007A27B0">
        <w:rPr>
          <w:szCs w:val="24"/>
        </w:rPr>
        <w:t>W</w:t>
      </w:r>
      <w:r w:rsidR="00D252CA" w:rsidRPr="009738D2">
        <w:rPr>
          <w:szCs w:val="24"/>
        </w:rPr>
        <w:t xml:space="preserve">avelets have </w:t>
      </w:r>
      <w:r w:rsidR="00D252CA">
        <w:rPr>
          <w:szCs w:val="24"/>
        </w:rPr>
        <w:t xml:space="preserve">emerged as a useful tool </w:t>
      </w:r>
      <w:r w:rsidR="00D252CA" w:rsidRPr="009738D2">
        <w:rPr>
          <w:szCs w:val="24"/>
        </w:rPr>
        <w:t xml:space="preserve">to study the dynamics of </w:t>
      </w:r>
      <w:r w:rsidR="00D252CA">
        <w:rPr>
          <w:szCs w:val="24"/>
        </w:rPr>
        <w:t xml:space="preserve">seasonal signals in other fields of research, including </w:t>
      </w:r>
      <w:r w:rsidR="00D252CA" w:rsidRPr="009738D2">
        <w:rPr>
          <w:szCs w:val="24"/>
        </w:rPr>
        <w:t xml:space="preserve">weather phenomena </w:t>
      </w:r>
      <w:r w:rsidR="00D252CA" w:rsidRPr="009738D2">
        <w:rPr>
          <w:szCs w:val="24"/>
        </w:rPr>
        <w:fldChar w:fldCharType="begin" w:fldLock="1"/>
      </w:r>
      <w:r w:rsidR="00D252CA" w:rsidRPr="009738D2">
        <w:rPr>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D252CA" w:rsidRPr="009738D2">
        <w:rPr>
          <w:szCs w:val="24"/>
        </w:rPr>
        <w:fldChar w:fldCharType="separate"/>
      </w:r>
      <w:r w:rsidR="00D252CA" w:rsidRPr="009738D2">
        <w:rPr>
          <w:noProof/>
          <w:szCs w:val="24"/>
        </w:rPr>
        <w:t>(Moy, Seltzer, Rodbell, &amp; Anderson, 2002)</w:t>
      </w:r>
      <w:r w:rsidR="00D252CA" w:rsidRPr="009738D2">
        <w:rPr>
          <w:szCs w:val="24"/>
        </w:rPr>
        <w:fldChar w:fldCharType="end"/>
      </w:r>
      <w:r w:rsidR="00D252CA" w:rsidRPr="009738D2">
        <w:rPr>
          <w:szCs w:val="24"/>
        </w:rPr>
        <w:t xml:space="preserve"> and infectious diseases </w:t>
      </w:r>
      <w:r w:rsidR="00D252CA" w:rsidRPr="009738D2">
        <w:rPr>
          <w:szCs w:val="24"/>
        </w:rPr>
        <w:fldChar w:fldCharType="begin" w:fldLock="1"/>
      </w:r>
      <w:r w:rsidR="00D252CA" w:rsidRPr="009738D2">
        <w:rPr>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D252CA" w:rsidRPr="009738D2">
        <w:rPr>
          <w:szCs w:val="24"/>
        </w:rPr>
        <w:fldChar w:fldCharType="separate"/>
      </w:r>
      <w:r w:rsidR="00D252CA" w:rsidRPr="009738D2">
        <w:rPr>
          <w:noProof/>
          <w:szCs w:val="24"/>
        </w:rPr>
        <w:t>(Grenfell, Bjørnstad, &amp; Kappey, 2001)</w:t>
      </w:r>
      <w:r w:rsidR="00D252CA" w:rsidRPr="009738D2">
        <w:rPr>
          <w:szCs w:val="24"/>
        </w:rPr>
        <w:fldChar w:fldCharType="end"/>
      </w:r>
      <w:r w:rsidR="00D252CA">
        <w:rPr>
          <w:szCs w:val="24"/>
        </w:rPr>
        <w:t>.</w:t>
      </w:r>
      <w:r w:rsidR="007F7162">
        <w:rPr>
          <w:szCs w:val="24"/>
        </w:rPr>
        <w:t xml:space="preserve"> </w:t>
      </w:r>
    </w:p>
    <w:p w14:paraId="1C4D2CD1" w14:textId="77777777" w:rsidR="00CA0182" w:rsidRDefault="00460101" w:rsidP="004B349C">
      <w:pPr>
        <w:ind w:firstLine="567"/>
      </w:pPr>
      <w:r>
        <w:t>The existence of s</w:t>
      </w:r>
      <w:r w:rsidR="00666194">
        <w:t xml:space="preserve">easonal mortality </w:t>
      </w:r>
      <w:r>
        <w:t xml:space="preserve">has </w:t>
      </w:r>
      <w:r w:rsidR="00666194">
        <w:t>stimulated research</w:t>
      </w:r>
      <w:r>
        <w:t xml:space="preserve"> into why death rates vary within a year. </w:t>
      </w:r>
      <w:r w:rsidR="002633F6">
        <w:t xml:space="preserve">Understanding </w:t>
      </w:r>
      <w:r w:rsidR="00284DC4">
        <w:t xml:space="preserve">the </w:t>
      </w:r>
      <w:r w:rsidR="00B8567B">
        <w:t>long-term dynamics and drivers</w:t>
      </w:r>
      <w:r w:rsidR="00284DC4">
        <w:t xml:space="preserve"> of seasonal mortality </w:t>
      </w:r>
      <w:r w:rsidR="007E491A">
        <w:t xml:space="preserve">is required </w:t>
      </w:r>
      <w:r w:rsidR="002912D9">
        <w:t xml:space="preserve">for planning societal responses </w:t>
      </w:r>
      <w:r w:rsidR="000A709C">
        <w:t>which would aim</w:t>
      </w:r>
      <w:r w:rsidR="002912D9">
        <w:t xml:space="preserve"> to reduce peaks in death rates. </w:t>
      </w:r>
      <w:r w:rsidR="000C3434">
        <w:t xml:space="preserve">As temperature also varies seasonally, it has been thought that its variation </w:t>
      </w:r>
      <w:r w:rsidR="00666194">
        <w:t>may play a role</w:t>
      </w:r>
      <w:r w:rsidR="000C3434">
        <w:t xml:space="preserve"> in seasonal mortal</w:t>
      </w:r>
      <w:r w:rsidR="0080590A">
        <w:t>ity</w:t>
      </w:r>
      <w:r w:rsidR="00666194">
        <w:t xml:space="preserve">. </w:t>
      </w:r>
      <w:r w:rsidR="00217120">
        <w:t xml:space="preserve">If temperature </w:t>
      </w:r>
      <w:r w:rsidR="00A83ACE">
        <w:t>were</w:t>
      </w:r>
      <w:r w:rsidR="00217120">
        <w:t xml:space="preserve"> a </w:t>
      </w:r>
      <w:r w:rsidR="005C778F">
        <w:t>primary driv</w:t>
      </w:r>
      <w:r w:rsidR="00DA6D06">
        <w:t>er of seasonal mortality</w:t>
      </w:r>
      <w:r w:rsidR="005C778F">
        <w:t xml:space="preserve">, </w:t>
      </w:r>
      <w:r w:rsidR="00DA6D06">
        <w:t xml:space="preserve">places with larger temperature ranges throughout a year </w:t>
      </w:r>
      <w:r w:rsidR="00286225">
        <w:t xml:space="preserve">would show larger excess winter mortality. This was not seen in a study of 36 cities in the United States </w:t>
      </w:r>
      <w:r w:rsidR="000C564D" w:rsidRPr="00097CA5">
        <w:rPr>
          <w:szCs w:val="24"/>
        </w:rPr>
        <w:fldChar w:fldCharType="begin" w:fldLock="1"/>
      </w:r>
      <w:r w:rsidR="000C564D" w:rsidRPr="00097CA5">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0C564D" w:rsidRPr="00097CA5">
        <w:rPr>
          <w:szCs w:val="24"/>
        </w:rPr>
        <w:fldChar w:fldCharType="separate"/>
      </w:r>
      <w:r w:rsidR="000C564D" w:rsidRPr="00097CA5">
        <w:rPr>
          <w:noProof/>
          <w:szCs w:val="24"/>
        </w:rPr>
        <w:t>(Kinney et al., 2015)</w:t>
      </w:r>
      <w:r w:rsidR="000C564D" w:rsidRPr="00097CA5">
        <w:rPr>
          <w:szCs w:val="24"/>
        </w:rPr>
        <w:fldChar w:fldCharType="end"/>
      </w:r>
      <w:r w:rsidR="000C564D" w:rsidRPr="00097CA5">
        <w:rPr>
          <w:szCs w:val="24"/>
        </w:rPr>
        <w:t xml:space="preserve">. </w:t>
      </w:r>
      <w:r w:rsidR="00286225">
        <w:rPr>
          <w:szCs w:val="24"/>
        </w:rPr>
        <w:t>A similar study of</w:t>
      </w:r>
      <w:r w:rsidR="000C564D" w:rsidRPr="00097CA5">
        <w:rPr>
          <w:szCs w:val="24"/>
        </w:rPr>
        <w:t xml:space="preserve"> European</w:t>
      </w:r>
      <w:r w:rsidR="00995C2A">
        <w:rPr>
          <w:szCs w:val="24"/>
        </w:rPr>
        <w:t xml:space="preserve"> countries</w:t>
      </w:r>
      <w:r w:rsidR="000C564D" w:rsidRPr="00097CA5">
        <w:rPr>
          <w:szCs w:val="24"/>
        </w:rPr>
        <w:t xml:space="preserve"> found that the difference between winter and summer mortality was lower in the colder Nordic countries than in warmer southern </w:t>
      </w:r>
      <w:r w:rsidR="00F620B2">
        <w:rPr>
          <w:szCs w:val="24"/>
        </w:rPr>
        <w:t>ones</w:t>
      </w:r>
      <w:r w:rsidR="00F95909">
        <w:rPr>
          <w:szCs w:val="24"/>
        </w:rPr>
        <w:t xml:space="preserve"> </w:t>
      </w:r>
      <w:r w:rsidR="00D10CEC" w:rsidRPr="00097CA5">
        <w:rPr>
          <w:szCs w:val="24"/>
        </w:rPr>
        <w:fldChar w:fldCharType="begin" w:fldLock="1"/>
      </w:r>
      <w:r w:rsidR="00D10CEC">
        <w:rPr>
          <w:szCs w:val="24"/>
        </w:rPr>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factors","type":"article-journal","volume":"57"},"uris":["http://www.mendeley.com/documents/?uuid=f7ab7783-971a-4e21-9158-84e008745163"]}],"mendeley":{"formattedCitation":"(Healy, 2003)","plainTextFormattedCitation":"(Healy, 2003)","previouslyFormattedCitation":"(Healy, 2003)"},"properties":{"noteIndex":0},"schema":"https://github.com/citation-style-language/schema/raw/master/csl-citation.json"}</w:instrText>
      </w:r>
      <w:r w:rsidR="00D10CEC" w:rsidRPr="00097CA5">
        <w:rPr>
          <w:szCs w:val="24"/>
        </w:rPr>
        <w:fldChar w:fldCharType="separate"/>
      </w:r>
      <w:r w:rsidR="00D10CEC" w:rsidRPr="00995C2A">
        <w:rPr>
          <w:noProof/>
          <w:szCs w:val="24"/>
        </w:rPr>
        <w:t>(Healy, 2003)</w:t>
      </w:r>
      <w:r w:rsidR="00D10CEC" w:rsidRPr="00097CA5">
        <w:rPr>
          <w:szCs w:val="24"/>
        </w:rPr>
        <w:fldChar w:fldCharType="end"/>
      </w:r>
      <w:r w:rsidR="006953BD">
        <w:rPr>
          <w:szCs w:val="24"/>
        </w:rPr>
        <w:t>.</w:t>
      </w:r>
      <w:r w:rsidR="00064B13">
        <w:rPr>
          <w:szCs w:val="24"/>
        </w:rPr>
        <w:t xml:space="preserve"> One conclusion possible from these results is that </w:t>
      </w:r>
      <w:r w:rsidR="00A61B63">
        <w:rPr>
          <w:szCs w:val="24"/>
        </w:rPr>
        <w:t xml:space="preserve">drivers other than temperature, e.g. behavioural and socio-economic, are </w:t>
      </w:r>
      <w:r w:rsidR="008029A2">
        <w:rPr>
          <w:szCs w:val="24"/>
        </w:rPr>
        <w:t xml:space="preserve">resulting in </w:t>
      </w:r>
      <w:r w:rsidR="00631546">
        <w:rPr>
          <w:szCs w:val="24"/>
        </w:rPr>
        <w:t xml:space="preserve">the </w:t>
      </w:r>
      <w:r w:rsidR="008029A2">
        <w:rPr>
          <w:szCs w:val="24"/>
        </w:rPr>
        <w:t>variation in seasonality</w:t>
      </w:r>
      <w:r w:rsidR="00631546">
        <w:rPr>
          <w:szCs w:val="24"/>
        </w:rPr>
        <w:t xml:space="preserve">. </w:t>
      </w:r>
      <w:r w:rsidR="000A199A">
        <w:t xml:space="preserve">The existence of seasonality of mortality </w:t>
      </w:r>
      <w:r w:rsidR="0063760E">
        <w:t xml:space="preserve">within </w:t>
      </w:r>
      <w:r w:rsidR="000A199A">
        <w:t xml:space="preserve">a year </w:t>
      </w:r>
      <w:r w:rsidR="0063760E">
        <w:t>for deaths from all causes</w:t>
      </w:r>
      <w:r w:rsidR="008733D9">
        <w:t xml:space="preserve"> may be due to</w:t>
      </w:r>
      <w:r w:rsidR="000A199A">
        <w:t xml:space="preserve"> a more advanced chain of causality</w:t>
      </w:r>
      <w:r w:rsidR="0063760E">
        <w:t xml:space="preserve">, </w:t>
      </w:r>
      <w:r w:rsidR="005B2808">
        <w:t>involving</w:t>
      </w:r>
      <w:r w:rsidR="0063760E">
        <w:t xml:space="preserve"> social factors (such as housing conditions), biomedical reaction to climate (such as infections of respiratory systems) and demographic reaction to biomedical changes (such as changed mortality risk)</w:t>
      </w:r>
      <w:r w:rsidR="00954AFE">
        <w:t xml:space="preserve"> </w:t>
      </w:r>
      <w:r w:rsidR="00954AFE">
        <w:fldChar w:fldCharType="begin" w:fldLock="1"/>
      </w:r>
      <w:r w:rsidR="005D6443">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approach","type":"article-journal","volume":"PhD"},"uris":["http://www.mendeley.com/documents/?uuid=735ffa52-a2fc-4bed-ab59-d84289752b70"]}],"mendeley":{"formattedCitation":"(Rau, 2004)","plainTextFormattedCitation":"(Rau, 2004)","previouslyFormattedCitation":"(Rau, 2004)"},"properties":{"noteIndex":0},"schema":"https://github.com/citation-style-language/schema/raw/master/csl-citation.json"}</w:instrText>
      </w:r>
      <w:r w:rsidR="00954AFE">
        <w:fldChar w:fldCharType="separate"/>
      </w:r>
      <w:r w:rsidR="00954AFE" w:rsidRPr="00954AFE">
        <w:rPr>
          <w:noProof/>
        </w:rPr>
        <w:t>(Rau, 2004)</w:t>
      </w:r>
      <w:r w:rsidR="00954AFE">
        <w:fldChar w:fldCharType="end"/>
      </w:r>
      <w:r w:rsidR="00954AFE">
        <w:t>.</w:t>
      </w:r>
      <w:r w:rsidR="004B349C">
        <w:t xml:space="preserve"> </w:t>
      </w:r>
    </w:p>
    <w:p w14:paraId="3C5DCB89" w14:textId="5E9D2465" w:rsidR="006714E4" w:rsidRPr="004B349C" w:rsidRDefault="006714E4" w:rsidP="004B349C">
      <w:pPr>
        <w:ind w:firstLine="567"/>
      </w:pPr>
      <w:r>
        <w:rPr>
          <w:szCs w:val="24"/>
        </w:rPr>
        <w:t xml:space="preserve">Beyond a seasonal cycle of mortality, </w:t>
      </w:r>
      <w:r w:rsidR="008704EA">
        <w:rPr>
          <w:szCs w:val="24"/>
        </w:rPr>
        <w:t xml:space="preserve">interannual </w:t>
      </w:r>
      <w:r w:rsidR="00E00726">
        <w:rPr>
          <w:szCs w:val="24"/>
        </w:rPr>
        <w:t xml:space="preserve">variation in mortality </w:t>
      </w:r>
      <w:r w:rsidR="00A05D49">
        <w:rPr>
          <w:szCs w:val="24"/>
        </w:rPr>
        <w:t xml:space="preserve">exists </w:t>
      </w:r>
      <w:r w:rsidR="00E00726">
        <w:rPr>
          <w:szCs w:val="24"/>
        </w:rPr>
        <w:t xml:space="preserve">between equivalent times </w:t>
      </w:r>
      <w:r w:rsidR="00A00DE6">
        <w:rPr>
          <w:szCs w:val="24"/>
        </w:rPr>
        <w:t>between neighbouring years</w:t>
      </w:r>
      <w:r w:rsidR="00E00726">
        <w:rPr>
          <w:szCs w:val="24"/>
        </w:rPr>
        <w:t xml:space="preserve">. For example, </w:t>
      </w:r>
      <w:r w:rsidR="00A57D62">
        <w:rPr>
          <w:szCs w:val="24"/>
        </w:rPr>
        <w:t xml:space="preserve">one or more </w:t>
      </w:r>
      <w:r w:rsidR="00CC26CF">
        <w:rPr>
          <w:szCs w:val="24"/>
        </w:rPr>
        <w:t>month</w:t>
      </w:r>
      <w:r w:rsidR="00A57D62">
        <w:rPr>
          <w:szCs w:val="24"/>
        </w:rPr>
        <w:t>s</w:t>
      </w:r>
      <w:r w:rsidR="00E00726">
        <w:rPr>
          <w:szCs w:val="24"/>
        </w:rPr>
        <w:t xml:space="preserve"> in a particular </w:t>
      </w:r>
      <w:r w:rsidR="00E00726">
        <w:rPr>
          <w:szCs w:val="24"/>
        </w:rPr>
        <w:lastRenderedPageBreak/>
        <w:t xml:space="preserve">year </w:t>
      </w:r>
      <w:r w:rsidR="00CC26CF">
        <w:rPr>
          <w:szCs w:val="24"/>
        </w:rPr>
        <w:t xml:space="preserve">may experience a deviation from a smooth seasonal cycle. </w:t>
      </w:r>
      <w:r w:rsidR="0045613E">
        <w:rPr>
          <w:szCs w:val="24"/>
        </w:rPr>
        <w:t>Ambient temperature is a major source of interannual variation in mortality.</w:t>
      </w:r>
    </w:p>
    <w:p w14:paraId="5227BBD6" w14:textId="5C6FA947" w:rsidR="004D76D5" w:rsidRDefault="004C7DC5" w:rsidP="002A73E8">
      <w:pPr>
        <w:pStyle w:val="Heading2"/>
      </w:pPr>
      <w:bookmarkStart w:id="4" w:name="_Toc8312167"/>
      <w:r>
        <w:t>Mortality and temperature</w:t>
      </w:r>
      <w:bookmarkEnd w:id="4"/>
    </w:p>
    <w:p w14:paraId="3F93815D" w14:textId="3E420688" w:rsidR="00020C6F" w:rsidRDefault="00505972" w:rsidP="00CA74E1">
      <w:pPr>
        <w:ind w:firstLine="720"/>
        <w:rPr>
          <w:color w:val="000000" w:themeColor="text1"/>
          <w:szCs w:val="24"/>
        </w:rPr>
      </w:pPr>
      <w:r>
        <w:rPr>
          <w:rFonts w:cs="Calibri"/>
          <w:color w:val="000000" w:themeColor="text1"/>
          <w:szCs w:val="24"/>
        </w:rPr>
        <w:t xml:space="preserve">The Intergovernmental Panel on Climate Change (IPCC) defines </w:t>
      </w:r>
      <w:r w:rsidR="00487898">
        <w:rPr>
          <w:rFonts w:cs="Calibri"/>
          <w:color w:val="000000" w:themeColor="text1"/>
          <w:szCs w:val="24"/>
        </w:rPr>
        <w:t xml:space="preserve">climate </w:t>
      </w:r>
      <w:r>
        <w:rPr>
          <w:rFonts w:cs="Calibri"/>
          <w:color w:val="000000" w:themeColor="text1"/>
          <w:szCs w:val="24"/>
        </w:rPr>
        <w:t>adap</w:t>
      </w:r>
      <w:r w:rsidR="001067A9">
        <w:rPr>
          <w:rFonts w:cs="Calibri"/>
          <w:color w:val="000000" w:themeColor="text1"/>
          <w:szCs w:val="24"/>
        </w:rPr>
        <w:t>t</w:t>
      </w:r>
      <w:r>
        <w:rPr>
          <w:rFonts w:cs="Calibri"/>
          <w:color w:val="000000" w:themeColor="text1"/>
          <w:szCs w:val="24"/>
        </w:rPr>
        <w:t xml:space="preserve">ation as </w:t>
      </w:r>
      <w:r w:rsidR="001067A9">
        <w:rPr>
          <w:rFonts w:cs="Calibri"/>
          <w:color w:val="000000" w:themeColor="text1"/>
          <w:szCs w:val="24"/>
        </w:rPr>
        <w:t>‘the process of adjustment to actual or expected climate and its effects</w:t>
      </w:r>
      <w:r w:rsidR="00840858">
        <w:rPr>
          <w:rFonts w:cs="Calibri"/>
          <w:color w:val="000000" w:themeColor="text1"/>
          <w:szCs w:val="24"/>
        </w:rPr>
        <w:t xml:space="preserve">’ </w:t>
      </w:r>
      <w:r w:rsidR="00D128B1">
        <w:rPr>
          <w:rFonts w:cs="Calibri"/>
          <w:color w:val="000000" w:themeColor="text1"/>
          <w:szCs w:val="24"/>
        </w:rPr>
        <w:fldChar w:fldCharType="begin" w:fldLock="1"/>
      </w:r>
      <w:r w:rsidR="005A60EE">
        <w:rPr>
          <w:rFonts w:cs="Calibri"/>
          <w:color w:val="000000" w:themeColor="text1"/>
          <w:szCs w:val="24"/>
        </w:rPr>
        <w:instrText>ADDIN CSL_CITATION {"citationItems":[{"id":"ITEM-1","itemData":{"DOI":"doi:10.1017/CBO9781107415386","author":[{"dropping-particle":"","family":"IPCC","given":"","non-dropping-particle":"","parse-names":false,"suffix":""}],"id":"ITEM-1","issued":{"date-parts":[["2014"]]},"publisher":"Cambridge University Press","title":"Climate Change 2014 – Impacts, Adaptation and Vulnerability: Part B: Regional Aspects: Working Group II Contribution to the IPCC Fifth Assessment Report.","type":"book"},"uris":["http://www.mendeley.com/documents/?uuid=6e387697-b381-425b-a9ae-c542584056e4"]}],"mendeley":{"formattedCitation":"(IPCC, 2014a)","plainTextFormattedCitation":"(IPCC, 2014a)","previouslyFormattedCitation":"(IPCC, 2014a)"},"properties":{"noteIndex":0},"schema":"https://github.com/citation-style-language/schema/raw/master/csl-citation.json"}</w:instrText>
      </w:r>
      <w:r w:rsidR="00D128B1">
        <w:rPr>
          <w:rFonts w:cs="Calibri"/>
          <w:color w:val="000000" w:themeColor="text1"/>
          <w:szCs w:val="24"/>
        </w:rPr>
        <w:fldChar w:fldCharType="separate"/>
      </w:r>
      <w:r w:rsidR="00E65FE4" w:rsidRPr="00E65FE4">
        <w:rPr>
          <w:rFonts w:cs="Calibri"/>
          <w:noProof/>
          <w:color w:val="000000" w:themeColor="text1"/>
          <w:szCs w:val="24"/>
        </w:rPr>
        <w:t>(IPCC, 2014a)</w:t>
      </w:r>
      <w:r w:rsidR="00D128B1">
        <w:rPr>
          <w:rFonts w:cs="Calibri"/>
          <w:color w:val="000000" w:themeColor="text1"/>
          <w:szCs w:val="24"/>
        </w:rPr>
        <w:fldChar w:fldCharType="end"/>
      </w:r>
      <w:r w:rsidR="001067A9">
        <w:rPr>
          <w:rFonts w:cs="Calibri"/>
          <w:color w:val="000000" w:themeColor="text1"/>
          <w:szCs w:val="24"/>
        </w:rPr>
        <w:t xml:space="preserve">. </w:t>
      </w:r>
      <w:r w:rsidR="00496846">
        <w:rPr>
          <w:rFonts w:cs="Calibri"/>
          <w:color w:val="000000" w:themeColor="text1"/>
          <w:szCs w:val="24"/>
        </w:rPr>
        <w:t>Throughout history, h</w:t>
      </w:r>
      <w:r w:rsidR="00C12284">
        <w:rPr>
          <w:rFonts w:cs="Calibri"/>
          <w:color w:val="000000" w:themeColor="text1"/>
          <w:szCs w:val="24"/>
        </w:rPr>
        <w:t>umans</w:t>
      </w:r>
      <w:r w:rsidR="00D75978" w:rsidRPr="00A60C11">
        <w:rPr>
          <w:rFonts w:cs="Calibri"/>
          <w:color w:val="000000" w:themeColor="text1"/>
          <w:szCs w:val="24"/>
        </w:rPr>
        <w:t xml:space="preserve"> have</w:t>
      </w:r>
      <w:r w:rsidR="00131628">
        <w:rPr>
          <w:rFonts w:cs="Calibri"/>
          <w:color w:val="000000" w:themeColor="text1"/>
          <w:szCs w:val="24"/>
        </w:rPr>
        <w:t xml:space="preserve"> </w:t>
      </w:r>
      <w:r w:rsidR="00D75978" w:rsidRPr="00A60C11">
        <w:rPr>
          <w:rFonts w:cs="Calibri"/>
          <w:color w:val="000000" w:themeColor="text1"/>
          <w:szCs w:val="24"/>
        </w:rPr>
        <w:t xml:space="preserve">biologically and behaviourally adapted to local </w:t>
      </w:r>
      <w:r w:rsidR="00C14657">
        <w:rPr>
          <w:rFonts w:cs="Calibri"/>
          <w:color w:val="000000" w:themeColor="text1"/>
          <w:szCs w:val="24"/>
        </w:rPr>
        <w:t xml:space="preserve">climate along with its </w:t>
      </w:r>
      <w:r w:rsidR="00FA48D4">
        <w:rPr>
          <w:rFonts w:cs="Calibri"/>
          <w:color w:val="000000" w:themeColor="text1"/>
          <w:szCs w:val="24"/>
        </w:rPr>
        <w:t>temperatures</w:t>
      </w:r>
      <w:r w:rsidR="00D75978" w:rsidRPr="00A60C11">
        <w:rPr>
          <w:rFonts w:cs="Calibri"/>
          <w:color w:val="000000" w:themeColor="text1"/>
          <w:szCs w:val="24"/>
        </w:rPr>
        <w:t xml:space="preserve"> and seasonal variation</w:t>
      </w:r>
      <w:r w:rsidR="000F7914" w:rsidRPr="00A60C11">
        <w:rPr>
          <w:rFonts w:cs="Calibri"/>
          <w:color w:val="000000" w:themeColor="text1"/>
          <w:szCs w:val="24"/>
        </w:rPr>
        <w:t>.</w:t>
      </w:r>
      <w:r w:rsidR="00DF6920">
        <w:rPr>
          <w:rFonts w:cs="Calibri"/>
          <w:color w:val="000000" w:themeColor="text1"/>
          <w:szCs w:val="24"/>
        </w:rPr>
        <w:t xml:space="preserve"> </w:t>
      </w:r>
      <w:r w:rsidR="00ED057C">
        <w:rPr>
          <w:rFonts w:cs="Calibri"/>
          <w:color w:val="000000" w:themeColor="text1"/>
          <w:szCs w:val="24"/>
        </w:rPr>
        <w:t xml:space="preserve">Biologically the human body takes </w:t>
      </w:r>
      <w:r w:rsidR="00F93FF6">
        <w:rPr>
          <w:rFonts w:cs="Calibri"/>
          <w:color w:val="000000" w:themeColor="text1"/>
          <w:szCs w:val="24"/>
        </w:rPr>
        <w:t xml:space="preserve">several days to adapt to </w:t>
      </w:r>
      <w:r w:rsidR="004A5FF9">
        <w:rPr>
          <w:rFonts w:cs="Calibri"/>
          <w:color w:val="000000" w:themeColor="text1"/>
          <w:szCs w:val="24"/>
        </w:rPr>
        <w:t>ambient temperature within a narrow range</w:t>
      </w:r>
      <w:r w:rsidR="00625880">
        <w:rPr>
          <w:rFonts w:cs="Calibri"/>
          <w:color w:val="000000" w:themeColor="text1"/>
          <w:szCs w:val="24"/>
        </w:rPr>
        <w:t xml:space="preserve">. </w:t>
      </w:r>
      <w:r w:rsidR="000D4116" w:rsidRPr="00A60C11">
        <w:rPr>
          <w:rFonts w:cs="Calibri"/>
          <w:color w:val="000000" w:themeColor="text1"/>
          <w:szCs w:val="24"/>
        </w:rPr>
        <w:t xml:space="preserve">However, the </w:t>
      </w:r>
      <w:r w:rsidR="00FC2E33">
        <w:rPr>
          <w:rFonts w:cs="Calibri"/>
          <w:color w:val="000000" w:themeColor="text1"/>
          <w:szCs w:val="24"/>
        </w:rPr>
        <w:t>potency</w:t>
      </w:r>
      <w:r w:rsidR="000D4116" w:rsidRPr="00A60C11">
        <w:rPr>
          <w:rFonts w:cs="Calibri"/>
          <w:color w:val="000000" w:themeColor="text1"/>
          <w:szCs w:val="24"/>
        </w:rPr>
        <w:t xml:space="preserve"> of </w:t>
      </w:r>
      <w:r w:rsidR="00D63051">
        <w:rPr>
          <w:rFonts w:cs="Calibri"/>
          <w:color w:val="000000" w:themeColor="text1"/>
          <w:szCs w:val="24"/>
        </w:rPr>
        <w:t xml:space="preserve">unusual </w:t>
      </w:r>
      <w:r w:rsidR="008154EF">
        <w:rPr>
          <w:rFonts w:cs="Calibri"/>
          <w:color w:val="000000" w:themeColor="text1"/>
          <w:szCs w:val="24"/>
        </w:rPr>
        <w:t xml:space="preserve">or </w:t>
      </w:r>
      <w:r w:rsidR="00544668" w:rsidRPr="00A60C11">
        <w:rPr>
          <w:rFonts w:cs="Calibri"/>
          <w:color w:val="000000" w:themeColor="text1"/>
          <w:szCs w:val="24"/>
        </w:rPr>
        <w:t>extreme</w:t>
      </w:r>
      <w:r w:rsidR="00FC2E33">
        <w:rPr>
          <w:rFonts w:cs="Calibri"/>
          <w:color w:val="000000" w:themeColor="text1"/>
          <w:szCs w:val="24"/>
        </w:rPr>
        <w:t xml:space="preserve"> weather</w:t>
      </w:r>
      <w:r w:rsidR="00544668" w:rsidRPr="00A60C11">
        <w:rPr>
          <w:rFonts w:cs="Calibri"/>
          <w:color w:val="000000" w:themeColor="text1"/>
          <w:szCs w:val="24"/>
        </w:rPr>
        <w:t xml:space="preserve"> </w:t>
      </w:r>
      <w:r w:rsidR="000D4116" w:rsidRPr="00A60C11">
        <w:rPr>
          <w:rFonts w:cs="Calibri"/>
          <w:color w:val="000000" w:themeColor="text1"/>
          <w:szCs w:val="24"/>
        </w:rPr>
        <w:t xml:space="preserve">to </w:t>
      </w:r>
      <w:r w:rsidR="00FC2E33">
        <w:rPr>
          <w:rFonts w:cs="Calibri"/>
          <w:color w:val="000000" w:themeColor="text1"/>
          <w:szCs w:val="24"/>
        </w:rPr>
        <w:t>disrupt</w:t>
      </w:r>
      <w:r w:rsidR="000D4116" w:rsidRPr="00A60C11">
        <w:rPr>
          <w:rFonts w:cs="Calibri"/>
          <w:color w:val="000000" w:themeColor="text1"/>
          <w:szCs w:val="24"/>
        </w:rPr>
        <w:t xml:space="preserve"> </w:t>
      </w:r>
      <w:r w:rsidR="00FC2E33">
        <w:rPr>
          <w:rFonts w:cs="Calibri"/>
          <w:color w:val="000000" w:themeColor="text1"/>
          <w:szCs w:val="24"/>
        </w:rPr>
        <w:t>society</w:t>
      </w:r>
      <w:r w:rsidR="00BF6980" w:rsidRPr="00A60C11">
        <w:rPr>
          <w:rFonts w:cs="Calibri"/>
          <w:color w:val="000000" w:themeColor="text1"/>
          <w:szCs w:val="24"/>
        </w:rPr>
        <w:t xml:space="preserve"> and health</w:t>
      </w:r>
      <w:r w:rsidR="00D75978" w:rsidRPr="00A60C11">
        <w:rPr>
          <w:rFonts w:cs="Calibri"/>
          <w:color w:val="000000" w:themeColor="text1"/>
          <w:szCs w:val="24"/>
        </w:rPr>
        <w:t xml:space="preserve"> </w:t>
      </w:r>
      <w:r w:rsidR="008154EF">
        <w:rPr>
          <w:rFonts w:cs="Calibri"/>
          <w:color w:val="000000" w:themeColor="text1"/>
          <w:szCs w:val="24"/>
        </w:rPr>
        <w:t xml:space="preserve">has been demonstrated </w:t>
      </w:r>
      <w:r w:rsidR="00446D7F">
        <w:rPr>
          <w:rFonts w:cs="Calibri"/>
          <w:color w:val="000000" w:themeColor="text1"/>
          <w:szCs w:val="24"/>
        </w:rPr>
        <w:t xml:space="preserve">and recognised </w:t>
      </w:r>
      <w:r w:rsidR="008154EF">
        <w:rPr>
          <w:rFonts w:cs="Calibri"/>
          <w:color w:val="000000" w:themeColor="text1"/>
          <w:szCs w:val="24"/>
        </w:rPr>
        <w:t xml:space="preserve">throughout history. </w:t>
      </w:r>
      <w:r w:rsidR="00C03CA0">
        <w:rPr>
          <w:color w:val="000000" w:themeColor="text1"/>
          <w:szCs w:val="24"/>
        </w:rPr>
        <w:t>H</w:t>
      </w:r>
      <w:r w:rsidR="00967C24" w:rsidRPr="00A60C11">
        <w:rPr>
          <w:color w:val="000000" w:themeColor="text1"/>
          <w:szCs w:val="24"/>
        </w:rPr>
        <w:t xml:space="preserve">istorical </w:t>
      </w:r>
      <w:r w:rsidR="00C03CA0">
        <w:rPr>
          <w:color w:val="000000" w:themeColor="text1"/>
          <w:szCs w:val="24"/>
        </w:rPr>
        <w:t xml:space="preserve">anomalous temperature </w:t>
      </w:r>
      <w:r w:rsidR="00967C24" w:rsidRPr="00A60C11">
        <w:rPr>
          <w:color w:val="000000" w:themeColor="text1"/>
          <w:szCs w:val="24"/>
        </w:rPr>
        <w:t xml:space="preserve">events are </w:t>
      </w:r>
      <w:r w:rsidR="007D68F5">
        <w:rPr>
          <w:color w:val="000000" w:themeColor="text1"/>
          <w:szCs w:val="24"/>
        </w:rPr>
        <w:t>known</w:t>
      </w:r>
      <w:r w:rsidR="00C03CA0">
        <w:rPr>
          <w:color w:val="000000" w:themeColor="text1"/>
          <w:szCs w:val="24"/>
        </w:rPr>
        <w:t xml:space="preserve"> via n</w:t>
      </w:r>
      <w:r w:rsidR="007D68F5">
        <w:rPr>
          <w:color w:val="000000" w:themeColor="text1"/>
          <w:szCs w:val="24"/>
        </w:rPr>
        <w:t xml:space="preserve">umerous </w:t>
      </w:r>
      <w:r w:rsidR="00EF6473">
        <w:rPr>
          <w:color w:val="000000" w:themeColor="text1"/>
          <w:szCs w:val="24"/>
        </w:rPr>
        <w:t xml:space="preserve">European </w:t>
      </w:r>
      <w:r w:rsidR="007D68F5">
        <w:rPr>
          <w:color w:val="000000" w:themeColor="text1"/>
          <w:szCs w:val="24"/>
        </w:rPr>
        <w:t>town chronicles in the sixteenth century</w:t>
      </w:r>
      <w:r w:rsidR="00C03CA0">
        <w:rPr>
          <w:color w:val="000000" w:themeColor="text1"/>
          <w:szCs w:val="24"/>
        </w:rPr>
        <w:t>, which</w:t>
      </w:r>
      <w:r w:rsidR="007D68F5">
        <w:rPr>
          <w:color w:val="000000" w:themeColor="text1"/>
          <w:szCs w:val="24"/>
        </w:rPr>
        <w:t xml:space="preserve"> detail exceptional weather events </w:t>
      </w:r>
      <w:r w:rsidR="007D68F5">
        <w:rPr>
          <w:color w:val="000000" w:themeColor="text1"/>
          <w:szCs w:val="24"/>
        </w:rPr>
        <w:fldChar w:fldCharType="begin" w:fldLock="1"/>
      </w:r>
      <w:r w:rsidR="00876C58">
        <w:rPr>
          <w:color w:val="000000" w:themeColor="text1"/>
          <w:szCs w:val="24"/>
        </w:rPr>
        <w:instrText>ADDIN CSL_CITATION {"citationItems":[{"id":"ITEM-1","itemData":{"DOI":"10.1023/A:1005540707792","ISSN":"01650009","abstract":"Detailed overview of documentary sources for climate (mostly those used for EURO-CLIMHIST and HISKLID) in Germany, Czech, Hungary, Italy, Spain; contains country-specific bibliographies as well.","author":[{"dropping-particle":"","family":"Pfister","given":"Christian","non-dropping-particle":"","parse-names":false,"suffix":""},{"dropping-particle":"","family":"Brázdil","given":"Rudolf","non-dropping-particle":"","parse-names":false,"suffix":""},{"dropping-particle":"","family":"Glaser","given":"Rüdiger","non-dropping-particle":"","parse-names":false,"suffix":""},{"dropping-particle":"","family":"Barriendos","given":"Mariano","non-dropping-particle":"","parse-names":false,"suffix":""},{"dropping-particle":"","family":"Camuffo","given":"Dario","non-dropping-particle":"","parse-names":false,"suffix":""},{"dropping-particle":"","family":"Deutsch","given":"Mathias","non-dropping-particle":"","parse-names":false,"suffix":""},{"dropping-particle":"","family":"Dobrovolný","given":"Petr","non-dropping-particle":"","parse-names":false,"suffix":""},{"dropping-particle":"","family":"Enzi","given":"Silvia","non-dropping-particle":"","parse-names":false,"suffix":""},{"dropping-particle":"","family":"Guidoboni","given":"Emanuela","non-dropping-particle":"","parse-names":false,"suffix":""},{"dropping-particle":"","family":"Kotyza","given":"Oldřich","non-dropping-particle":"","parse-names":false,"suffix":""},{"dropping-particle":"","family":"Militzer","given":"Stefan","non-dropping-particle":"","parse-names":false,"suffix":""},{"dropping-particle":"","family":"Rácz","given":"Lajos","non-dropping-particle":"","parse-names":false,"suffix":""},{"dropping-particle":"","family":"Rodrigo","given":"Fernando S.","non-dropping-particle":"","parse-names":false,"suffix":""}],"container-title":"Climatic Change","id":"ITEM-1","issued":{"date-parts":[["1999"]]},"title":"Documentary evidence on climate in sixteenth-century Europe","type":"article-journal"},"uris":["http://www.mendeley.com/documents/?uuid=e07c1a29-b1d8-4852-b29e-44a83d78252e"]}],"mendeley":{"formattedCitation":"(Pfister et al., 1999)","plainTextFormattedCitation":"(Pfister et al., 1999)","previouslyFormattedCitation":"(Pfister et al., 1999)"},"properties":{"noteIndex":0},"schema":"https://github.com/citation-style-language/schema/raw/master/csl-citation.json"}</w:instrText>
      </w:r>
      <w:r w:rsidR="007D68F5">
        <w:rPr>
          <w:color w:val="000000" w:themeColor="text1"/>
          <w:szCs w:val="24"/>
        </w:rPr>
        <w:fldChar w:fldCharType="separate"/>
      </w:r>
      <w:r w:rsidR="007D68F5" w:rsidRPr="007D68F5">
        <w:rPr>
          <w:noProof/>
          <w:color w:val="000000" w:themeColor="text1"/>
          <w:szCs w:val="24"/>
        </w:rPr>
        <w:t>(Pfister et al., 1999)</w:t>
      </w:r>
      <w:r w:rsidR="007D68F5">
        <w:rPr>
          <w:color w:val="000000" w:themeColor="text1"/>
          <w:szCs w:val="24"/>
        </w:rPr>
        <w:fldChar w:fldCharType="end"/>
      </w:r>
      <w:r w:rsidR="007D68F5">
        <w:rPr>
          <w:color w:val="000000" w:themeColor="text1"/>
          <w:szCs w:val="24"/>
        </w:rPr>
        <w:t>.</w:t>
      </w:r>
      <w:r w:rsidR="000B3E86">
        <w:rPr>
          <w:color w:val="000000" w:themeColor="text1"/>
          <w:szCs w:val="24"/>
        </w:rPr>
        <w:t xml:space="preserve"> </w:t>
      </w:r>
      <w:r w:rsidR="00AF4B53">
        <w:rPr>
          <w:color w:val="000000" w:themeColor="text1"/>
          <w:szCs w:val="24"/>
        </w:rPr>
        <w:t>Measurements</w:t>
      </w:r>
      <w:r w:rsidR="000B3E86">
        <w:rPr>
          <w:color w:val="000000" w:themeColor="text1"/>
          <w:szCs w:val="24"/>
        </w:rPr>
        <w:t xml:space="preserve"> </w:t>
      </w:r>
      <w:r w:rsidR="007D1469">
        <w:rPr>
          <w:color w:val="000000" w:themeColor="text1"/>
          <w:szCs w:val="24"/>
        </w:rPr>
        <w:t>in Europe of the past 500 years</w:t>
      </w:r>
      <w:r w:rsidR="00AF4B53">
        <w:rPr>
          <w:color w:val="000000" w:themeColor="text1"/>
          <w:szCs w:val="24"/>
        </w:rPr>
        <w:t xml:space="preserve"> also demonstrate</w:t>
      </w:r>
      <w:r w:rsidR="00CA1C0D">
        <w:rPr>
          <w:color w:val="000000" w:themeColor="text1"/>
          <w:szCs w:val="24"/>
        </w:rPr>
        <w:t xml:space="preserve"> further</w:t>
      </w:r>
      <w:r w:rsidR="00AF4B53">
        <w:rPr>
          <w:color w:val="000000" w:themeColor="text1"/>
          <w:szCs w:val="24"/>
        </w:rPr>
        <w:t xml:space="preserve"> evidence of temperature anomalies</w:t>
      </w:r>
      <w:r w:rsidR="00876C58">
        <w:rPr>
          <w:color w:val="000000" w:themeColor="text1"/>
          <w:szCs w:val="24"/>
        </w:rPr>
        <w:t xml:space="preserve"> </w:t>
      </w:r>
      <w:r w:rsidR="00876C58">
        <w:rPr>
          <w:color w:val="000000" w:themeColor="text1"/>
          <w:szCs w:val="24"/>
        </w:rPr>
        <w:fldChar w:fldCharType="begin" w:fldLock="1"/>
      </w:r>
      <w:r w:rsidR="00273CDD">
        <w:rPr>
          <w:color w:val="000000" w:themeColor="text1"/>
          <w:szCs w:val="24"/>
        </w:rPr>
        <w:instrText>ADDIN CSL_CITATION {"citationItems":[{"id":"ITEM-1","itemData":{"DOI":"10.1126/science.1093877","ISSN":"00368075","abstract":"Multiproxy reconstructions of monthly and seasonal surface temperature fields for Europe back to 1500 show that the late 20th- and early 21st-century European climate is very likely (&gt;95% confidence level) warmer than that of any time during the past 500 years. This agrees with findings for the entire Northern Hemisphere. European winter average temperatures during the period 1500 to 1900 were reduced by [~]0.5{degrees}C (0.25{degrees}C for annual mean temperatures) compared to the 20th century. Summer temperatures did not experience systematic century-scale cooling relative to present conditions. The coldest European winter was 1708/1709; 2003 was by far the hottest summer","author":[{"dropping-particle":"","family":"Luterbacher","given":"Jürg","non-dropping-particle":"","parse-names":false,"suffix":""},{"dropping-particle":"","family":"Dietrich","given":"Daniel","non-dropping-particle":"","parse-names":false,"suffix":""},{"dropping-particle":"","family":"Xoplaki","given":"Elena","non-dropping-particle":"","parse-names":false,"suffix":""},{"dropping-particle":"","family":"Grosjean","given":"Martin","non-dropping-particle":"","parse-names":false,"suffix":""},{"dropping-particle":"","family":"Wanner","given":"Heinz","non-dropping-particle":"","parse-names":false,"suffix":""}],"container-title":"Science","id":"ITEM-1","issued":{"date-parts":[["2004"]]},"title":"European Seasonal and Annual Temperature Variability, Trends, and Extremes since 1500","type":"article-journal"},"uris":["http://www.mendeley.com/documents/?uuid=788e1d68-724b-4fac-9a15-b2ce48baf98b"]}],"mendeley":{"formattedCitation":"(Luterbacher, Dietrich, Xoplaki, Grosjean, &amp; Wanner, 2004)","plainTextFormattedCitation":"(Luterbacher, Dietrich, Xoplaki, Grosjean, &amp; Wanner, 2004)","previouslyFormattedCitation":"(Luterbacher, Dietrich, Xoplaki, Grosjean, &amp; Wanner, 2004)"},"properties":{"noteIndex":0},"schema":"https://github.com/citation-style-language/schema/raw/master/csl-citation.json"}</w:instrText>
      </w:r>
      <w:r w:rsidR="00876C58">
        <w:rPr>
          <w:color w:val="000000" w:themeColor="text1"/>
          <w:szCs w:val="24"/>
        </w:rPr>
        <w:fldChar w:fldCharType="separate"/>
      </w:r>
      <w:r w:rsidR="00876C58" w:rsidRPr="00876C58">
        <w:rPr>
          <w:noProof/>
          <w:color w:val="000000" w:themeColor="text1"/>
          <w:szCs w:val="24"/>
        </w:rPr>
        <w:t>(Luterbacher, Dietrich, Xoplaki, Grosjean, &amp; Wanner, 2004)</w:t>
      </w:r>
      <w:r w:rsidR="00876C58">
        <w:rPr>
          <w:color w:val="000000" w:themeColor="text1"/>
          <w:szCs w:val="24"/>
        </w:rPr>
        <w:fldChar w:fldCharType="end"/>
      </w:r>
      <w:r w:rsidR="00876C58">
        <w:rPr>
          <w:color w:val="000000" w:themeColor="text1"/>
          <w:szCs w:val="24"/>
        </w:rPr>
        <w:t>.</w:t>
      </w:r>
      <w:r w:rsidR="007A63EE">
        <w:rPr>
          <w:color w:val="000000" w:themeColor="text1"/>
          <w:szCs w:val="24"/>
        </w:rPr>
        <w:t xml:space="preserve"> More recent </w:t>
      </w:r>
      <w:r w:rsidR="00DB26E5">
        <w:rPr>
          <w:color w:val="000000" w:themeColor="text1"/>
          <w:szCs w:val="24"/>
        </w:rPr>
        <w:t>periods of extreme heat</w:t>
      </w:r>
      <w:r w:rsidR="007A63EE">
        <w:rPr>
          <w:color w:val="000000" w:themeColor="text1"/>
          <w:szCs w:val="24"/>
        </w:rPr>
        <w:t>, such as the</w:t>
      </w:r>
      <w:r w:rsidR="001F1767">
        <w:rPr>
          <w:color w:val="000000" w:themeColor="text1"/>
          <w:szCs w:val="24"/>
        </w:rPr>
        <w:t xml:space="preserve"> 1995 Chicago or</w:t>
      </w:r>
      <w:r w:rsidR="007A63EE">
        <w:rPr>
          <w:color w:val="000000" w:themeColor="text1"/>
          <w:szCs w:val="24"/>
        </w:rPr>
        <w:t xml:space="preserve"> 2003 European heat wave, can live long in a society’s memory </w:t>
      </w:r>
      <w:r w:rsidR="007A63EE">
        <w:rPr>
          <w:color w:val="000000" w:themeColor="text1"/>
          <w:szCs w:val="24"/>
        </w:rPr>
        <w:fldChar w:fldCharType="begin" w:fldLock="1"/>
      </w:r>
      <w:r w:rsidR="00E65FE4">
        <w:rPr>
          <w:color w:val="000000" w:themeColor="text1"/>
          <w:szCs w:val="24"/>
        </w:rPr>
        <w:instrText>ADDIN CSL_CITATION {"citationItems":[{"id":"ITEM-1","itemData":{"DOI":"10.1080/10643380802238137","ISSN":"15476537","abstract":"This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Technology","id":"ITEM-1","issued":{"date-parts":[["2010"]]},"title":"A review of the european summer heat wave of 2003","type":"article"},"uris":["http://www.mendeley.com/documents/?uuid=43320ccb-4942-40ef-9d87-1d90835e4e74"]},{"id":"ITEM-2","itemData":{"DOI":"10.2105/AJPH.2006.100081","ISSN":"15410048","abstract":"OBJECTIVES: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mortality.","type":"article-journal"},"uris":["http://www.mendeley.com/documents/?uuid=36d833d1-1737-4ae8-8983-ce4e1c9e580d"]}],"mendeley":{"formattedCitation":"(Garcia-Herrera, Díaz, Trigo, Luterbacher, &amp; Fischer, 2010; Kaiser et al., 2007)","plainTextFormattedCitation":"(Garcia-Herrera, Díaz, Trigo, Luterbacher, &amp; Fischer, 2010; Kaiser et al., 2007)","previouslyFormattedCitation":"(Garcia-Herrera, Díaz, Trigo, Luterbacher, &amp; Fischer, 2010; Kaiser et al., 2007)"},"properties":{"noteIndex":0},"schema":"https://github.com/citation-style-language/schema/raw/master/csl-citation.json"}</w:instrText>
      </w:r>
      <w:r w:rsidR="007A63EE">
        <w:rPr>
          <w:color w:val="000000" w:themeColor="text1"/>
          <w:szCs w:val="24"/>
        </w:rPr>
        <w:fldChar w:fldCharType="separate"/>
      </w:r>
      <w:r w:rsidR="0091101F" w:rsidRPr="0091101F">
        <w:rPr>
          <w:noProof/>
          <w:color w:val="000000" w:themeColor="text1"/>
          <w:szCs w:val="24"/>
        </w:rPr>
        <w:t>(Garcia-Herrera, Díaz, Trigo, Luterbacher, &amp; Fischer, 2010; Kaiser et al., 2007)</w:t>
      </w:r>
      <w:r w:rsidR="007A63EE">
        <w:rPr>
          <w:color w:val="000000" w:themeColor="text1"/>
          <w:szCs w:val="24"/>
        </w:rPr>
        <w:fldChar w:fldCharType="end"/>
      </w:r>
      <w:r w:rsidR="007A63EE">
        <w:rPr>
          <w:color w:val="000000" w:themeColor="text1"/>
          <w:szCs w:val="24"/>
        </w:rPr>
        <w:t>.</w:t>
      </w:r>
      <w:r w:rsidR="00DF6926">
        <w:rPr>
          <w:color w:val="000000" w:themeColor="text1"/>
          <w:szCs w:val="24"/>
        </w:rPr>
        <w:t xml:space="preserve"> </w:t>
      </w:r>
      <w:r w:rsidR="00337ABD">
        <w:rPr>
          <w:color w:val="000000" w:themeColor="text1"/>
          <w:szCs w:val="24"/>
        </w:rPr>
        <w:t xml:space="preserve">In the United States, extreme heat is estimated to cause more deaths than any other weather-related hazard </w:t>
      </w:r>
      <w:r w:rsidR="00E03E8F">
        <w:rPr>
          <w:color w:val="000000" w:themeColor="text1"/>
          <w:szCs w:val="24"/>
        </w:rPr>
        <w:fldChar w:fldCharType="begin" w:fldLock="1"/>
      </w:r>
      <w:r w:rsidR="00892E9A">
        <w:rPr>
          <w:color w:val="000000" w:themeColor="text1"/>
          <w:szCs w:val="24"/>
        </w:rPr>
        <w:instrText>ADDIN CSL_CITATION {"citationItems":[{"id":"ITEM-1","itemData":{"URL":"https://www.ready.gov/heat","accessed":{"date-parts":[["2019","5","8"]]},"author":[{"dropping-particle":"","family":"Department of Homeland Security","given":"","non-dropping-particle":"","parse-names":false,"suffix":""}],"container-title":"ready.gov","id":"ITEM-1","issued":{"date-parts":[["2019"]]},"title":"Extreme heat","type":"webpage"},"uris":["http://www.mendeley.com/documents/?uuid=559a78ae-87a8-4854-9c03-1a15a5e55402"]},{"id":"ITEM-2","itemData":{"DOI":"10.1186/1476-072X-7-64","ISBN":"1476-072X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Geographics","id":"ITEM-2","issued":{"date-parts":[["2008"]]},"title":"Spatial patterns of natural hazards mortality in the United States","type":"article-journal"},"uris":["http://www.mendeley.com/documents/?uuid=ece0694e-a051-4310-83ac-190dbab9283f"]}],"mendeley":{"formattedCitation":"(Borden &amp; Cutter, 2008; Department of Homeland Security, 2019)","plainTextFormattedCitation":"(Borden &amp; Cutter, 2008; Department of Homeland Security, 2019)","previouslyFormattedCitation":"(Borden &amp; Cutter, 2008; Department of Homeland Security, 2019)"},"properties":{"noteIndex":0},"schema":"https://github.com/citation-style-language/schema/raw/master/csl-citation.json"}</w:instrText>
      </w:r>
      <w:r w:rsidR="00E03E8F">
        <w:rPr>
          <w:color w:val="000000" w:themeColor="text1"/>
          <w:szCs w:val="24"/>
        </w:rPr>
        <w:fldChar w:fldCharType="separate"/>
      </w:r>
      <w:r w:rsidR="00E03E8F" w:rsidRPr="00E03E8F">
        <w:rPr>
          <w:noProof/>
          <w:color w:val="000000" w:themeColor="text1"/>
          <w:szCs w:val="24"/>
        </w:rPr>
        <w:t>(Borden &amp; Cutter, 2008; Department of Homeland Security, 2019)</w:t>
      </w:r>
      <w:r w:rsidR="00E03E8F">
        <w:rPr>
          <w:color w:val="000000" w:themeColor="text1"/>
          <w:szCs w:val="24"/>
        </w:rPr>
        <w:fldChar w:fldCharType="end"/>
      </w:r>
      <w:r w:rsidR="008911E2">
        <w:rPr>
          <w:color w:val="000000" w:themeColor="text1"/>
          <w:szCs w:val="24"/>
        </w:rPr>
        <w:t>.</w:t>
      </w:r>
      <w:r w:rsidR="00337ABD">
        <w:rPr>
          <w:color w:val="000000" w:themeColor="text1"/>
          <w:szCs w:val="24"/>
        </w:rPr>
        <w:t xml:space="preserve"> </w:t>
      </w:r>
      <w:r w:rsidR="008911E2">
        <w:rPr>
          <w:color w:val="000000" w:themeColor="text1"/>
          <w:szCs w:val="24"/>
        </w:rPr>
        <w:t>T</w:t>
      </w:r>
      <w:r w:rsidR="00337ABD">
        <w:rPr>
          <w:color w:val="000000" w:themeColor="text1"/>
          <w:szCs w:val="24"/>
        </w:rPr>
        <w:t xml:space="preserve">hough extreme heat is </w:t>
      </w:r>
      <w:r w:rsidR="00337ABD" w:rsidRPr="00D94588">
        <w:rPr>
          <w:szCs w:val="24"/>
        </w:rPr>
        <w:t xml:space="preserve">not yet recognized as a natural disaster under the Sendai Framework for Disaster Risk Reduction </w:t>
      </w:r>
      <w:r w:rsidR="00337ABD" w:rsidRPr="00D94588">
        <w:rPr>
          <w:szCs w:val="24"/>
        </w:rPr>
        <w:fldChar w:fldCharType="begin" w:fldLock="1"/>
      </w:r>
      <w:r w:rsidR="00337ABD" w:rsidRPr="00D94588">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2015 - 2030","type":"article-journal"},"uris":["http://www.mendeley.com/documents/?uuid=53299976-51c2-4fb5-9b68-005a1c8c7a54"]}],"mendeley":{"formattedCitation":"(UNISDR, 2015)","plainTextFormattedCitation":"(UNISDR, 2015)","previouslyFormattedCitation":"(UNISDR, 2015)"},"properties":{"noteIndex":0},"schema":"https://github.com/citation-style-language/schema/raw/master/csl-citation.json"}</w:instrText>
      </w:r>
      <w:r w:rsidR="00337ABD" w:rsidRPr="00D94588">
        <w:rPr>
          <w:szCs w:val="24"/>
        </w:rPr>
        <w:fldChar w:fldCharType="separate"/>
      </w:r>
      <w:r w:rsidR="00337ABD" w:rsidRPr="00D94588">
        <w:rPr>
          <w:noProof/>
          <w:szCs w:val="24"/>
        </w:rPr>
        <w:t>(UNISDR, 2015)</w:t>
      </w:r>
      <w:r w:rsidR="00337ABD" w:rsidRPr="00D94588">
        <w:rPr>
          <w:szCs w:val="24"/>
        </w:rPr>
        <w:fldChar w:fldCharType="end"/>
      </w:r>
      <w:r w:rsidR="008911E2">
        <w:rPr>
          <w:szCs w:val="24"/>
        </w:rPr>
        <w:t>,</w:t>
      </w:r>
      <w:r w:rsidR="00337ABD">
        <w:rPr>
          <w:szCs w:val="24"/>
        </w:rPr>
        <w:t xml:space="preserve"> </w:t>
      </w:r>
      <w:r w:rsidR="00651B40">
        <w:rPr>
          <w:szCs w:val="24"/>
        </w:rPr>
        <w:t>t</w:t>
      </w:r>
      <w:r w:rsidR="00337ABD">
        <w:rPr>
          <w:szCs w:val="24"/>
        </w:rPr>
        <w:t xml:space="preserve">here is a rapidly growing awareness with </w:t>
      </w:r>
      <w:r w:rsidR="00AF605E">
        <w:rPr>
          <w:color w:val="000000" w:themeColor="text1"/>
          <w:szCs w:val="24"/>
        </w:rPr>
        <w:t>t</w:t>
      </w:r>
      <w:r w:rsidR="00072CAE">
        <w:rPr>
          <w:szCs w:val="24"/>
        </w:rPr>
        <w:t xml:space="preserve">he public </w:t>
      </w:r>
      <w:r w:rsidR="00337ABD">
        <w:rPr>
          <w:szCs w:val="24"/>
        </w:rPr>
        <w:t>that</w:t>
      </w:r>
      <w:r w:rsidR="00072CAE">
        <w:rPr>
          <w:szCs w:val="24"/>
        </w:rPr>
        <w:t xml:space="preserve"> </w:t>
      </w:r>
      <w:r w:rsidR="00072CAE">
        <w:rPr>
          <w:color w:val="000000" w:themeColor="text1"/>
          <w:szCs w:val="24"/>
        </w:rPr>
        <w:t>p</w:t>
      </w:r>
      <w:r w:rsidR="00DF6926">
        <w:rPr>
          <w:color w:val="000000" w:themeColor="text1"/>
          <w:szCs w:val="24"/>
        </w:rPr>
        <w:t xml:space="preserve">rolonged periods of heat </w:t>
      </w:r>
      <w:r w:rsidR="008702F8">
        <w:rPr>
          <w:color w:val="000000" w:themeColor="text1"/>
          <w:szCs w:val="24"/>
        </w:rPr>
        <w:t>are potentially</w:t>
      </w:r>
      <w:r w:rsidR="00DF6926">
        <w:rPr>
          <w:color w:val="000000" w:themeColor="text1"/>
          <w:szCs w:val="24"/>
        </w:rPr>
        <w:t xml:space="preserve"> dangerous </w:t>
      </w:r>
      <w:r w:rsidR="00DF6926">
        <w:rPr>
          <w:color w:val="000000" w:themeColor="text1"/>
          <w:szCs w:val="24"/>
        </w:rPr>
        <w:fldChar w:fldCharType="begin" w:fldLock="1"/>
      </w:r>
      <w:r w:rsidR="00E03E8F">
        <w:rPr>
          <w:color w:val="000000" w:themeColor="text1"/>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DF6926">
        <w:rPr>
          <w:color w:val="000000" w:themeColor="text1"/>
          <w:szCs w:val="24"/>
        </w:rPr>
        <w:fldChar w:fldCharType="separate"/>
      </w:r>
      <w:r w:rsidR="00DF6926" w:rsidRPr="00E227E6">
        <w:rPr>
          <w:noProof/>
          <w:color w:val="000000" w:themeColor="text1"/>
          <w:szCs w:val="24"/>
        </w:rPr>
        <w:t>(Kovats &amp; Hajat, 2008)</w:t>
      </w:r>
      <w:r w:rsidR="00DF6926">
        <w:rPr>
          <w:color w:val="000000" w:themeColor="text1"/>
          <w:szCs w:val="24"/>
        </w:rPr>
        <w:fldChar w:fldCharType="end"/>
      </w:r>
      <w:r w:rsidR="00DF6926">
        <w:rPr>
          <w:color w:val="000000" w:themeColor="text1"/>
          <w:szCs w:val="24"/>
        </w:rPr>
        <w:t>.</w:t>
      </w:r>
      <w:r w:rsidR="006E3C8E">
        <w:rPr>
          <w:color w:val="000000" w:themeColor="text1"/>
          <w:szCs w:val="24"/>
        </w:rPr>
        <w:t xml:space="preserve"> </w:t>
      </w:r>
      <w:r w:rsidR="009D5291">
        <w:rPr>
          <w:color w:val="000000" w:themeColor="text1"/>
          <w:szCs w:val="24"/>
        </w:rPr>
        <w:t xml:space="preserve">While </w:t>
      </w:r>
      <w:r w:rsidR="006E3C8E">
        <w:rPr>
          <w:color w:val="000000" w:themeColor="text1"/>
          <w:szCs w:val="24"/>
        </w:rPr>
        <w:t xml:space="preserve">cold </w:t>
      </w:r>
      <w:r w:rsidR="009D5291">
        <w:rPr>
          <w:color w:val="000000" w:themeColor="text1"/>
          <w:szCs w:val="24"/>
        </w:rPr>
        <w:t xml:space="preserve">weather is </w:t>
      </w:r>
      <w:r w:rsidR="006E3C8E">
        <w:rPr>
          <w:color w:val="000000" w:themeColor="text1"/>
          <w:szCs w:val="24"/>
        </w:rPr>
        <w:t>also known to have a large impact on mortality</w:t>
      </w:r>
      <w:r w:rsidR="00F11926">
        <w:rPr>
          <w:color w:val="000000" w:themeColor="text1"/>
          <w:szCs w:val="24"/>
        </w:rPr>
        <w:t xml:space="preserve"> </w:t>
      </w:r>
      <w:r w:rsidR="009A4D2D">
        <w:rPr>
          <w:color w:val="000000" w:themeColor="text1"/>
          <w:szCs w:val="24"/>
        </w:rPr>
        <w:fldChar w:fldCharType="begin" w:fldLock="1"/>
      </w:r>
      <w:r w:rsidR="004A0635">
        <w:rPr>
          <w:color w:val="000000" w:themeColor="text1"/>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Europe","type":"article-journal","volume":"349"},"uris":["http://www.mendeley.com/documents/?uuid=f6889fcb-209f-4436-baf2-9ae3768f2d65"]}],"mendeley":{"formattedCitation":"(The Eurowinter Group, 1997)","plainTextFormattedCitation":"(The Eurowinter Group, 1997)","previouslyFormattedCitation":"(The Eurowinter Group, 1997)"},"properties":{"noteIndex":0},"schema":"https://github.com/citation-style-language/schema/raw/master/csl-citation.json"}</w:instrText>
      </w:r>
      <w:r w:rsidR="009A4D2D">
        <w:rPr>
          <w:color w:val="000000" w:themeColor="text1"/>
          <w:szCs w:val="24"/>
        </w:rPr>
        <w:fldChar w:fldCharType="separate"/>
      </w:r>
      <w:r w:rsidR="009A4D2D" w:rsidRPr="009A4D2D">
        <w:rPr>
          <w:noProof/>
          <w:color w:val="000000" w:themeColor="text1"/>
          <w:szCs w:val="24"/>
        </w:rPr>
        <w:t>(The Eurowinter Group, 1997)</w:t>
      </w:r>
      <w:r w:rsidR="009A4D2D">
        <w:rPr>
          <w:color w:val="000000" w:themeColor="text1"/>
          <w:szCs w:val="24"/>
        </w:rPr>
        <w:fldChar w:fldCharType="end"/>
      </w:r>
      <w:r w:rsidR="00064236">
        <w:rPr>
          <w:color w:val="000000" w:themeColor="text1"/>
          <w:szCs w:val="24"/>
        </w:rPr>
        <w:t xml:space="preserve">, </w:t>
      </w:r>
      <w:r w:rsidR="00FF5C14">
        <w:rPr>
          <w:color w:val="000000" w:themeColor="text1"/>
          <w:szCs w:val="24"/>
        </w:rPr>
        <w:t xml:space="preserve">global </w:t>
      </w:r>
      <w:r w:rsidR="00EE2C1F">
        <w:rPr>
          <w:color w:val="000000" w:themeColor="text1"/>
          <w:szCs w:val="24"/>
        </w:rPr>
        <w:t xml:space="preserve">climate change </w:t>
      </w:r>
      <w:r w:rsidR="002F565A">
        <w:rPr>
          <w:color w:val="000000" w:themeColor="text1"/>
          <w:szCs w:val="24"/>
        </w:rPr>
        <w:t xml:space="preserve">will result in  </w:t>
      </w:r>
      <w:r w:rsidR="002F565A">
        <w:rPr>
          <w:rFonts w:cs="Calibri"/>
          <w:szCs w:val="24"/>
        </w:rPr>
        <w:t xml:space="preserve">stronger and more </w:t>
      </w:r>
      <w:r w:rsidR="0046191A">
        <w:rPr>
          <w:rFonts w:cs="Calibri"/>
          <w:szCs w:val="24"/>
        </w:rPr>
        <w:t>warm</w:t>
      </w:r>
      <w:r w:rsidR="005D462E">
        <w:rPr>
          <w:rFonts w:cs="Calibri"/>
          <w:szCs w:val="24"/>
        </w:rPr>
        <w:t>er</w:t>
      </w:r>
      <w:r w:rsidR="0046191A">
        <w:rPr>
          <w:rFonts w:cs="Calibri"/>
          <w:szCs w:val="24"/>
        </w:rPr>
        <w:t xml:space="preserve"> </w:t>
      </w:r>
      <w:r w:rsidR="002F565A" w:rsidRPr="002B3A74">
        <w:rPr>
          <w:rFonts w:cs="Calibri"/>
          <w:szCs w:val="24"/>
        </w:rPr>
        <w:t>deviat</w:t>
      </w:r>
      <w:r w:rsidR="002F565A">
        <w:rPr>
          <w:rFonts w:cs="Calibri"/>
          <w:szCs w:val="24"/>
        </w:rPr>
        <w:t>ions</w:t>
      </w:r>
      <w:r w:rsidR="002F565A" w:rsidRPr="002B3A74">
        <w:rPr>
          <w:rFonts w:cs="Calibri"/>
          <w:szCs w:val="24"/>
        </w:rPr>
        <w:t xml:space="preserve"> from long-term norm</w:t>
      </w:r>
      <w:r w:rsidR="002F565A">
        <w:rPr>
          <w:rFonts w:cs="Calibri"/>
          <w:szCs w:val="24"/>
        </w:rPr>
        <w:t xml:space="preserve"> temperatures</w:t>
      </w:r>
      <w:r w:rsidR="005276F5">
        <w:rPr>
          <w:rFonts w:cs="Calibri"/>
          <w:szCs w:val="24"/>
        </w:rPr>
        <w:t xml:space="preserve"> </w:t>
      </w:r>
      <w:r w:rsidR="00E65FE4">
        <w:rPr>
          <w:rFonts w:cs="Calibri"/>
          <w:szCs w:val="24"/>
        </w:rPr>
        <w:fldChar w:fldCharType="begin" w:fldLock="1"/>
      </w:r>
      <w:r w:rsidR="005A60EE">
        <w:rPr>
          <w:rFonts w:cs="Calibri"/>
          <w:szCs w:val="24"/>
        </w:rPr>
        <w:instrText>ADDIN CSL_CITATION {"citationItems":[{"id":"ITEM-1","itemData":{"ISBN":"9789291691432","abstract":"The Synthesis Report (SYR), constituting the final product of the Fifth Assessment Report (AR5) of the Intergovernmental Panel on Climate Change (IPCC), is published under the title Climate Change 2014. This report distils, synthesizes and integrates the key findings of the three Working Group contributions – The Physical Science Basis, Impacts, Adaptation, and Vulnerability and Mitigation of Climate Change – to the AR5 in a concise document for the benefit of decision makers in the government, the private sector as well as the public at large. The SYR also draws on the findings of the two Special Reports brought out in 2011 dealing with Renewable Energy Sources and Climate Change Mitigation, and Managing the Risks of Extreme Events and Disasters to Advance Climate Change Adaptation. The SYR, therefore, is a comprehensive up-to-date compilation of assessments dealing with climate change, based on the most recent scientific, technical and socio-economic literature in the field.","author":[{"dropping-particle":"","family":"IPCC","given":"","non-dropping-particle":"","parse-names":false,"suffix":""}],"container-title":"IPCC Fifth Assessment Report","id":"ITEM-1","issued":{"date-parts":[["2014"]]},"title":"Climate Change 2014 Synthesis Report","type":"book"},"uris":["http://www.mendeley.com/documents/?uuid=17cf5203-8818-4d61-96d9-3addeae2f64e"]}],"mendeley":{"formattedCitation":"(IPCC, 2014b)","plainTextFormattedCitation":"(IPCC, 2014b)","previouslyFormattedCitation":"(IPCC, 2014b)"},"properties":{"noteIndex":0},"schema":"https://github.com/citation-style-language/schema/raw/master/csl-citation.json"}</w:instrText>
      </w:r>
      <w:r w:rsidR="00E65FE4">
        <w:rPr>
          <w:rFonts w:cs="Calibri"/>
          <w:szCs w:val="24"/>
        </w:rPr>
        <w:fldChar w:fldCharType="separate"/>
      </w:r>
      <w:r w:rsidR="00E65FE4" w:rsidRPr="00E65FE4">
        <w:rPr>
          <w:rFonts w:cs="Calibri"/>
          <w:noProof/>
          <w:szCs w:val="24"/>
        </w:rPr>
        <w:t>(IPCC, 2014b)</w:t>
      </w:r>
      <w:r w:rsidR="00E65FE4">
        <w:rPr>
          <w:rFonts w:cs="Calibri"/>
          <w:szCs w:val="24"/>
        </w:rPr>
        <w:fldChar w:fldCharType="end"/>
      </w:r>
      <w:r w:rsidR="00F03415">
        <w:rPr>
          <w:color w:val="000000" w:themeColor="text1"/>
          <w:szCs w:val="24"/>
        </w:rPr>
        <w:t>.</w:t>
      </w:r>
    </w:p>
    <w:p w14:paraId="0A7F2872" w14:textId="3D33A235" w:rsidR="00072E24" w:rsidRDefault="001C274A" w:rsidP="00CF1882">
      <w:pPr>
        <w:ind w:firstLine="720"/>
        <w:rPr>
          <w:szCs w:val="24"/>
        </w:rPr>
      </w:pPr>
      <w:r>
        <w:rPr>
          <w:color w:val="000000" w:themeColor="text1"/>
          <w:szCs w:val="24"/>
        </w:rPr>
        <w:lastRenderedPageBreak/>
        <w:t xml:space="preserve">The effect of elevated temperature on </w:t>
      </w:r>
      <w:r w:rsidR="006E1AD9">
        <w:rPr>
          <w:color w:val="000000" w:themeColor="text1"/>
          <w:szCs w:val="24"/>
        </w:rPr>
        <w:t>humans is physiological</w:t>
      </w:r>
      <w:r w:rsidR="00E36F88">
        <w:rPr>
          <w:color w:val="000000" w:themeColor="text1"/>
          <w:szCs w:val="24"/>
        </w:rPr>
        <w:t xml:space="preserve">, </w:t>
      </w:r>
      <w:r w:rsidR="006E1AD9">
        <w:rPr>
          <w:color w:val="000000" w:themeColor="text1"/>
          <w:szCs w:val="24"/>
        </w:rPr>
        <w:t>behavioural</w:t>
      </w:r>
      <w:r w:rsidR="00E36F88">
        <w:rPr>
          <w:color w:val="000000" w:themeColor="text1"/>
          <w:szCs w:val="24"/>
        </w:rPr>
        <w:t xml:space="preserve"> and cultural</w:t>
      </w:r>
      <w:r w:rsidR="007F30B3">
        <w:rPr>
          <w:color w:val="000000" w:themeColor="text1"/>
          <w:szCs w:val="24"/>
        </w:rPr>
        <w:t>.</w:t>
      </w:r>
      <w:r w:rsidR="00016E6B">
        <w:rPr>
          <w:color w:val="000000" w:themeColor="text1"/>
          <w:szCs w:val="24"/>
        </w:rPr>
        <w:t xml:space="preserve"> </w:t>
      </w:r>
      <w:r w:rsidR="007D4C58" w:rsidRPr="00A60C11">
        <w:rPr>
          <w:szCs w:val="24"/>
        </w:rPr>
        <w:t>When</w:t>
      </w:r>
      <w:r w:rsidR="008E7EAC">
        <w:rPr>
          <w:szCs w:val="24"/>
        </w:rPr>
        <w:t xml:space="preserve"> </w:t>
      </w:r>
      <w:r w:rsidR="00CC20C1">
        <w:rPr>
          <w:szCs w:val="24"/>
        </w:rPr>
        <w:t>elevated</w:t>
      </w:r>
      <w:r w:rsidR="0085767B">
        <w:rPr>
          <w:szCs w:val="24"/>
        </w:rPr>
        <w:t xml:space="preserve"> </w:t>
      </w:r>
      <w:r w:rsidR="007D4C58" w:rsidRPr="00A60C11">
        <w:rPr>
          <w:szCs w:val="24"/>
        </w:rPr>
        <w:t>temperatures</w:t>
      </w:r>
      <w:r w:rsidR="00CC20C1">
        <w:rPr>
          <w:szCs w:val="24"/>
        </w:rPr>
        <w:t xml:space="preserve"> occur</w:t>
      </w:r>
      <w:r w:rsidR="007D4C58" w:rsidRPr="00A60C11">
        <w:rPr>
          <w:szCs w:val="24"/>
        </w:rPr>
        <w:t>, the human body experiences heat stress</w:t>
      </w:r>
      <w:r w:rsidR="00911ADF">
        <w:rPr>
          <w:szCs w:val="24"/>
        </w:rPr>
        <w:t xml:space="preserve">. Healthy adults </w:t>
      </w:r>
      <w:r w:rsidR="00BA7812">
        <w:rPr>
          <w:szCs w:val="24"/>
        </w:rPr>
        <w:t>ha</w:t>
      </w:r>
      <w:r w:rsidR="00911ADF">
        <w:rPr>
          <w:szCs w:val="24"/>
        </w:rPr>
        <w:t>ve</w:t>
      </w:r>
      <w:r w:rsidR="00BA7812">
        <w:rPr>
          <w:szCs w:val="24"/>
        </w:rPr>
        <w:t xml:space="preserve"> </w:t>
      </w:r>
      <w:r w:rsidR="00911ADF">
        <w:rPr>
          <w:szCs w:val="24"/>
        </w:rPr>
        <w:t>efficient</w:t>
      </w:r>
      <w:r w:rsidR="00BA7812">
        <w:rPr>
          <w:szCs w:val="24"/>
        </w:rPr>
        <w:t xml:space="preserve"> corrective mechanisms to </w:t>
      </w:r>
      <w:r w:rsidR="00911ADF">
        <w:rPr>
          <w:szCs w:val="24"/>
        </w:rPr>
        <w:t>regulate body temperature</w:t>
      </w:r>
      <w:r w:rsidR="005A60EE">
        <w:rPr>
          <w:szCs w:val="24"/>
        </w:rPr>
        <w:t xml:space="preserve"> by vasodilation and perspiration </w:t>
      </w:r>
      <w:r w:rsidR="005A60EE">
        <w:rPr>
          <w:szCs w:val="24"/>
        </w:rPr>
        <w:fldChar w:fldCharType="begin" w:fldLock="1"/>
      </w:r>
      <w:r w:rsidR="00AB1419">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5A60EE">
        <w:rPr>
          <w:szCs w:val="24"/>
        </w:rPr>
        <w:fldChar w:fldCharType="separate"/>
      </w:r>
      <w:r w:rsidR="005A60EE" w:rsidRPr="005A60EE">
        <w:rPr>
          <w:noProof/>
          <w:szCs w:val="24"/>
        </w:rPr>
        <w:t>(Kovats &amp; Hajat, 2008)</w:t>
      </w:r>
      <w:r w:rsidR="005A60EE">
        <w:rPr>
          <w:szCs w:val="24"/>
        </w:rPr>
        <w:fldChar w:fldCharType="end"/>
      </w:r>
      <w:r w:rsidR="007D4C58" w:rsidRPr="00A60C11">
        <w:rPr>
          <w:szCs w:val="24"/>
        </w:rPr>
        <w:t xml:space="preserve">. </w:t>
      </w:r>
      <w:r w:rsidR="00C3100A" w:rsidRPr="00A60C11">
        <w:rPr>
          <w:szCs w:val="24"/>
        </w:rPr>
        <w:t xml:space="preserve">When heat stress becomes extreme, </w:t>
      </w:r>
      <w:r w:rsidR="00144A77">
        <w:rPr>
          <w:szCs w:val="24"/>
        </w:rPr>
        <w:t xml:space="preserve">this can result in </w:t>
      </w:r>
      <w:r w:rsidR="00C3100A" w:rsidRPr="00A60C11">
        <w:rPr>
          <w:szCs w:val="24"/>
        </w:rPr>
        <w:t xml:space="preserve">potentially deadly medical conditions </w:t>
      </w:r>
      <w:r w:rsidR="00A7267F">
        <w:rPr>
          <w:szCs w:val="24"/>
        </w:rPr>
        <w:t xml:space="preserve">such as heat stroke, heat exhaustion, heat syncope and heat cramps can </w:t>
      </w:r>
      <w:r w:rsidR="00C3100A" w:rsidRPr="00A60C11">
        <w:rPr>
          <w:szCs w:val="24"/>
        </w:rPr>
        <w:t>arise</w:t>
      </w:r>
      <w:r w:rsidR="00AB1419">
        <w:rPr>
          <w:szCs w:val="24"/>
        </w:rPr>
        <w:t xml:space="preserve"> </w:t>
      </w:r>
      <w:r w:rsidR="00AB1419">
        <w:rPr>
          <w:szCs w:val="24"/>
        </w:rPr>
        <w:fldChar w:fldCharType="begin" w:fldLock="1"/>
      </w:r>
      <w:r w:rsidR="002D3397">
        <w:rPr>
          <w:szCs w:val="24"/>
        </w:rPr>
        <w:instrText>ADDIN CSL_CITATION {"citationItems":[{"id":"ITEM-1","itemData":{"ISBN":"0195095707","abstract":"The introduction of new neuroprotective treatment strategies for acute stroke patients has provided a requirement for neuroimaging methods capable of identifying salvageable tissue in acute stroke patients. Substantial positron emission tomography evidence points to the fact that a peri-infarct zone with blood flow of 20-45% of normal, metabolic rate of oxygen of &gt;35% of normal and oxygen extraction ratio (OER) of &gt;0.7 are indices of tissue at risk of infarction, yet with potential for recovery. The sensitivity of T2 to blood oxygen level dependent (BOLD) effects allows the mismatch between oxygen delivery and consumption in the brain to be imaged. Previous evidence from animal models of cerebral hypoperfusion and ischemic stroke strongly suggest that T2 BOLD MRI highlights viable and salvageable brain regions. The Hahn-echo T2 and diffusion show distinct flow thresholds in the rat brain so that the former parameter probes areas with high OER and the latter genuine ischemia. In the flow-compromised tissue showing negative T2 BOLD, substantial residual perfusion is evident as revealed by bolus-tracking perfusion MRI, in agreement with the idea that tissue metabolic viability must be preserved for expression of BOLD. It is concluded that BOLD MRI may have potential for the assessment of tissue viability in acute ischemic stroke. Copyright 2001 John Wiley &amp; Sons, Ltd.","author":[{"dropping-particle":"","family":"Kilbourne","given":"Edwin M","non-dropping-particle":"","parse-names":false,"suffix":""}],"container-title":"The public health consequence of disasters","id":"ITEM-1","issued":{"date-parts":[["1997"]]},"title":"Heat Waves and Hot Environments","type":"article-journal"},"uris":["http://www.mendeley.com/documents/?uuid=2426471c-f6c2-47fa-84a5-ff9983ed4241"]}],"mendeley":{"formattedCitation":"(Kilbourne, 1997)","plainTextFormattedCitation":"(Kilbourne, 1997)","previouslyFormattedCitation":"(Kilbourne, 1997)"},"properties":{"noteIndex":0},"schema":"https://github.com/citation-style-language/schema/raw/master/csl-citation.json"}</w:instrText>
      </w:r>
      <w:r w:rsidR="00AB1419">
        <w:rPr>
          <w:szCs w:val="24"/>
        </w:rPr>
        <w:fldChar w:fldCharType="separate"/>
      </w:r>
      <w:r w:rsidR="00AB1419" w:rsidRPr="00AB1419">
        <w:rPr>
          <w:noProof/>
          <w:szCs w:val="24"/>
        </w:rPr>
        <w:t>(Kilbourne, 1997)</w:t>
      </w:r>
      <w:r w:rsidR="00AB1419">
        <w:rPr>
          <w:szCs w:val="24"/>
        </w:rPr>
        <w:fldChar w:fldCharType="end"/>
      </w:r>
      <w:r w:rsidR="00C3100A" w:rsidRPr="00A60C11">
        <w:rPr>
          <w:szCs w:val="24"/>
        </w:rPr>
        <w:t xml:space="preserve">. </w:t>
      </w:r>
      <w:r w:rsidR="00B3438D">
        <w:rPr>
          <w:szCs w:val="24"/>
        </w:rPr>
        <w:t>In the most acute cases, h</w:t>
      </w:r>
      <w:r w:rsidR="00596569">
        <w:rPr>
          <w:szCs w:val="24"/>
        </w:rPr>
        <w:t xml:space="preserve">eat stress can lead to </w:t>
      </w:r>
      <w:r w:rsidR="00C3100A" w:rsidRPr="00A60C11">
        <w:rPr>
          <w:szCs w:val="24"/>
        </w:rPr>
        <w:t xml:space="preserve">multiple organ failure </w:t>
      </w:r>
      <w:r w:rsidR="005E4F41">
        <w:rPr>
          <w:szCs w:val="24"/>
        </w:rPr>
        <w:t>and</w:t>
      </w:r>
      <w:r w:rsidR="00B3438D">
        <w:rPr>
          <w:szCs w:val="24"/>
        </w:rPr>
        <w:t xml:space="preserve"> rapid death </w:t>
      </w:r>
      <w:r w:rsidR="00C3100A" w:rsidRPr="00A60C11">
        <w:rPr>
          <w:szCs w:val="24"/>
        </w:rPr>
        <w:fldChar w:fldCharType="begin" w:fldLock="1"/>
      </w:r>
      <w:r w:rsidR="00C3100A">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C3100A" w:rsidRPr="00A60C11">
        <w:rPr>
          <w:szCs w:val="24"/>
        </w:rPr>
        <w:fldChar w:fldCharType="separate"/>
      </w:r>
      <w:r w:rsidR="00C3100A" w:rsidRPr="006B7E8C">
        <w:rPr>
          <w:noProof/>
          <w:szCs w:val="24"/>
        </w:rPr>
        <w:t>(Kovats &amp; Hajat, 2008)</w:t>
      </w:r>
      <w:r w:rsidR="00C3100A" w:rsidRPr="00A60C11">
        <w:rPr>
          <w:szCs w:val="24"/>
        </w:rPr>
        <w:fldChar w:fldCharType="end"/>
      </w:r>
      <w:r w:rsidR="00C3100A">
        <w:rPr>
          <w:szCs w:val="24"/>
        </w:rPr>
        <w:t>.</w:t>
      </w:r>
      <w:r w:rsidR="00075402">
        <w:rPr>
          <w:szCs w:val="24"/>
        </w:rPr>
        <w:t xml:space="preserve"> </w:t>
      </w:r>
      <w:r w:rsidR="00072E24" w:rsidRPr="00A60C11">
        <w:rPr>
          <w:color w:val="000000" w:themeColor="text1"/>
          <w:szCs w:val="24"/>
        </w:rPr>
        <w:t xml:space="preserve">The impact of extreme heat on mortality </w:t>
      </w:r>
      <w:r w:rsidR="00072E24">
        <w:rPr>
          <w:color w:val="000000" w:themeColor="text1"/>
          <w:szCs w:val="24"/>
        </w:rPr>
        <w:t xml:space="preserve">is </w:t>
      </w:r>
      <w:r w:rsidR="0097054E">
        <w:rPr>
          <w:color w:val="000000" w:themeColor="text1"/>
          <w:szCs w:val="24"/>
        </w:rPr>
        <w:t>considerable</w:t>
      </w:r>
      <w:r w:rsidR="00072E24">
        <w:rPr>
          <w:color w:val="000000" w:themeColor="text1"/>
          <w:szCs w:val="24"/>
        </w:rPr>
        <w:t xml:space="preserve"> </w:t>
      </w:r>
      <w:r w:rsidR="00072E24" w:rsidRPr="00A60C11">
        <w:rPr>
          <w:color w:val="000000" w:themeColor="text1"/>
          <w:szCs w:val="24"/>
        </w:rPr>
        <w:fldChar w:fldCharType="begin" w:fldLock="1"/>
      </w:r>
      <w:r w:rsidR="00072E24">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States","type":"article-journal","volume":"20"},"uris":["http://www.mendeley.com/documents/?uuid=5fe7563e-b493-41ad-a49d-689ded5488ac"]}],"mendeley":{"formattedCitation":"(Anderson &amp; Bell, 2009; Brooke Anderson &amp; Bell, 2011; Carmona et al., 2016; Le Tertre et al., 2006; Lowe et al., 2015; Semenza et al., 1996)","plainTextFormattedCitation":"(Anderson &amp; Bell, 2009; Brooke Anderson &amp; Bell, 2011; Carmona et al., 2016; Le Tertre et al., 2006; Lowe et al., 2015; Semenza et al., 1996)","previouslyFormattedCitation":"(Anderson &amp; Bell, 2009; Brooke Anderson &amp; Bell, 2011; Carmona et al., 2016; Le Tertre et al., 2006; Lowe et al., 2015; Semenza et al., 1996)"},"properties":{"noteIndex":0},"schema":"https://github.com/citation-style-language/schema/raw/master/csl-citation.json"}</w:instrText>
      </w:r>
      <w:r w:rsidR="00072E24" w:rsidRPr="00A60C11">
        <w:rPr>
          <w:color w:val="000000" w:themeColor="text1"/>
          <w:szCs w:val="24"/>
        </w:rPr>
        <w:fldChar w:fldCharType="separate"/>
      </w:r>
      <w:r w:rsidR="00072E24" w:rsidRPr="006B7E8C">
        <w:rPr>
          <w:noProof/>
          <w:color w:val="000000" w:themeColor="text1"/>
          <w:szCs w:val="24"/>
        </w:rPr>
        <w:t>(Anderson &amp; Bell, 2009; Brooke Anderson &amp; Bell, 2011; Carmona et al., 2016; Le Tertre et al., 2006; Lowe et al., 2015; Semenza et al., 1996)</w:t>
      </w:r>
      <w:r w:rsidR="00072E24" w:rsidRPr="00A60C11">
        <w:rPr>
          <w:color w:val="000000" w:themeColor="text1"/>
          <w:szCs w:val="24"/>
        </w:rPr>
        <w:fldChar w:fldCharType="end"/>
      </w:r>
      <w:r w:rsidR="00072E24">
        <w:rPr>
          <w:color w:val="000000" w:themeColor="text1"/>
          <w:szCs w:val="24"/>
        </w:rPr>
        <w:t>.</w:t>
      </w:r>
    </w:p>
    <w:p w14:paraId="0ED4C5B3" w14:textId="7B3F3033" w:rsidR="00860780" w:rsidRPr="004E4B87" w:rsidRDefault="00095503" w:rsidP="004E4B87">
      <w:pPr>
        <w:ind w:firstLine="720"/>
        <w:rPr>
          <w:szCs w:val="24"/>
        </w:rPr>
      </w:pPr>
      <w:r>
        <w:rPr>
          <w:szCs w:val="24"/>
        </w:rPr>
        <w:t xml:space="preserve">Direct </w:t>
      </w:r>
      <w:r w:rsidR="006905D6">
        <w:rPr>
          <w:szCs w:val="24"/>
        </w:rPr>
        <w:t xml:space="preserve">causes of death from extreme heat stress </w:t>
      </w:r>
      <w:r w:rsidR="00FF4130">
        <w:rPr>
          <w:szCs w:val="24"/>
        </w:rPr>
        <w:t xml:space="preserve">only make up a small proportion of deaths </w:t>
      </w:r>
      <w:r w:rsidR="00033175">
        <w:rPr>
          <w:szCs w:val="24"/>
        </w:rPr>
        <w:t xml:space="preserve">attributable to </w:t>
      </w:r>
      <w:r w:rsidR="007659C1">
        <w:rPr>
          <w:szCs w:val="24"/>
        </w:rPr>
        <w:t xml:space="preserve">daily </w:t>
      </w:r>
      <w:r w:rsidR="00033175">
        <w:rPr>
          <w:szCs w:val="24"/>
        </w:rPr>
        <w:t xml:space="preserve">elevated </w:t>
      </w:r>
      <w:r w:rsidR="000721B3">
        <w:rPr>
          <w:szCs w:val="24"/>
        </w:rPr>
        <w:t>temperatures</w:t>
      </w:r>
      <w:r w:rsidR="002D3397">
        <w:rPr>
          <w:szCs w:val="24"/>
        </w:rPr>
        <w:t xml:space="preserve"> </w:t>
      </w:r>
      <w:r w:rsidR="002D3397">
        <w:rPr>
          <w:szCs w:val="24"/>
        </w:rPr>
        <w:fldChar w:fldCharType="begin" w:fldLock="1"/>
      </w:r>
      <w:r w:rsidR="00567F88">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study","type":"article-journal","volume":"386"},"uris":["http://www.mendeley.com/documents/?uuid=ec2ac118-d8e9-4d29-9116-d43210b3e1ca"]}],"mendeley":{"formattedCitation":"(Antonio Gasparrini et al., 2015)","plainTextFormattedCitation":"(Antonio Gasparrini et al., 2015)","previouslyFormattedCitation":"(Antonio Gasparrini et al., 2015)"},"properties":{"noteIndex":0},"schema":"https://github.com/citation-style-language/schema/raw/master/csl-citation.json"}</w:instrText>
      </w:r>
      <w:r w:rsidR="002D3397">
        <w:rPr>
          <w:szCs w:val="24"/>
        </w:rPr>
        <w:fldChar w:fldCharType="separate"/>
      </w:r>
      <w:r w:rsidR="002D3397" w:rsidRPr="002D3397">
        <w:rPr>
          <w:noProof/>
          <w:szCs w:val="24"/>
        </w:rPr>
        <w:t>(Antonio Gasparrini et al., 2015)</w:t>
      </w:r>
      <w:r w:rsidR="002D3397">
        <w:rPr>
          <w:szCs w:val="24"/>
        </w:rPr>
        <w:fldChar w:fldCharType="end"/>
      </w:r>
      <w:r w:rsidR="000721B3">
        <w:rPr>
          <w:szCs w:val="24"/>
        </w:rPr>
        <w:t>.</w:t>
      </w:r>
      <w:r w:rsidR="00003680">
        <w:rPr>
          <w:szCs w:val="24"/>
        </w:rPr>
        <w:t xml:space="preserve"> </w:t>
      </w:r>
      <w:r w:rsidR="00D07474">
        <w:rPr>
          <w:szCs w:val="24"/>
        </w:rPr>
        <w:t>M</w:t>
      </w:r>
      <w:r w:rsidR="00003680">
        <w:rPr>
          <w:szCs w:val="24"/>
        </w:rPr>
        <w:t>ost</w:t>
      </w:r>
      <w:r w:rsidR="004E46AE">
        <w:rPr>
          <w:szCs w:val="24"/>
        </w:rPr>
        <w:t xml:space="preserve"> </w:t>
      </w:r>
      <w:r w:rsidR="00701E61">
        <w:rPr>
          <w:szCs w:val="24"/>
        </w:rPr>
        <w:t xml:space="preserve">temperature-related </w:t>
      </w:r>
      <w:r w:rsidR="007E02D3">
        <w:rPr>
          <w:szCs w:val="24"/>
        </w:rPr>
        <w:t xml:space="preserve">daily </w:t>
      </w:r>
      <w:r w:rsidR="00701E61">
        <w:rPr>
          <w:szCs w:val="24"/>
        </w:rPr>
        <w:t>deaths are instead attributable to</w:t>
      </w:r>
      <w:r w:rsidR="00DC6A68">
        <w:rPr>
          <w:szCs w:val="24"/>
        </w:rPr>
        <w:t xml:space="preserve"> </w:t>
      </w:r>
      <w:r w:rsidR="00C5316D">
        <w:rPr>
          <w:szCs w:val="24"/>
        </w:rPr>
        <w:t>m</w:t>
      </w:r>
      <w:r w:rsidR="00075402" w:rsidRPr="00075402">
        <w:rPr>
          <w:szCs w:val="24"/>
        </w:rPr>
        <w:t xml:space="preserve">ild </w:t>
      </w:r>
      <w:r w:rsidR="00C5316D">
        <w:rPr>
          <w:szCs w:val="24"/>
        </w:rPr>
        <w:t>deviations from acclimatised temperatures</w:t>
      </w:r>
      <w:r w:rsidR="007B0629">
        <w:rPr>
          <w:szCs w:val="24"/>
        </w:rPr>
        <w:t xml:space="preserve"> </w:t>
      </w:r>
      <w:r w:rsidR="00976614">
        <w:rPr>
          <w:szCs w:val="24"/>
        </w:rPr>
        <w:t xml:space="preserve">which suggests other direct and indirect pathways exist </w:t>
      </w:r>
      <w:r w:rsidR="00075402" w:rsidRPr="00075402">
        <w:rPr>
          <w:szCs w:val="24"/>
        </w:rPr>
        <w:fldChar w:fldCharType="begin" w:fldLock="1"/>
      </w:r>
      <w:r w:rsidR="00075402" w:rsidRPr="00075402">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study","type":"article-journal","volume":"386"},"uris":["http://www.mendeley.com/documents/?uuid=ec2ac118-d8e9-4d29-9116-d43210b3e1ca"]}],"mendeley":{"formattedCitation":"(Basu, 2009; Antonio Gasparrini et al., 2015; Ye et al., 2012)","plainTextFormattedCitation":"(Basu, 2009; Antonio Gasparrini et al., 2015; Ye et al., 2012)","previouslyFormattedCitation":"(Basu, 2009; Antonio Gasparrini et al., 2015; Ye et al., 2012)"},"properties":{"noteIndex":0},"schema":"https://github.com/citation-style-language/schema/raw/master/csl-citation.json"}</w:instrText>
      </w:r>
      <w:r w:rsidR="00075402" w:rsidRPr="00075402">
        <w:rPr>
          <w:szCs w:val="24"/>
        </w:rPr>
        <w:fldChar w:fldCharType="separate"/>
      </w:r>
      <w:r w:rsidR="00075402" w:rsidRPr="00075402">
        <w:rPr>
          <w:noProof/>
          <w:szCs w:val="24"/>
        </w:rPr>
        <w:t>(Basu, 2009; Antonio Gasparrini et al., 2015; Ye et al., 2012)</w:t>
      </w:r>
      <w:r w:rsidR="00075402" w:rsidRPr="00075402">
        <w:rPr>
          <w:szCs w:val="24"/>
        </w:rPr>
        <w:fldChar w:fldCharType="end"/>
      </w:r>
      <w:r w:rsidR="00075402" w:rsidRPr="00075402">
        <w:rPr>
          <w:szCs w:val="24"/>
        </w:rPr>
        <w:t xml:space="preserve">. </w:t>
      </w:r>
      <w:r w:rsidR="00E126BB">
        <w:rPr>
          <w:szCs w:val="24"/>
        </w:rPr>
        <w:t xml:space="preserve">Elevated </w:t>
      </w:r>
      <w:r w:rsidR="00A63B13">
        <w:rPr>
          <w:szCs w:val="24"/>
        </w:rPr>
        <w:t xml:space="preserve">daily </w:t>
      </w:r>
      <w:r w:rsidR="00E126BB">
        <w:rPr>
          <w:szCs w:val="24"/>
        </w:rPr>
        <w:t xml:space="preserve">temperatures have been associated with increased risk for </w:t>
      </w:r>
      <w:r w:rsidR="007B1E94">
        <w:rPr>
          <w:szCs w:val="24"/>
        </w:rPr>
        <w:t xml:space="preserve">many </w:t>
      </w:r>
      <w:r w:rsidR="00E126BB">
        <w:rPr>
          <w:szCs w:val="24"/>
        </w:rPr>
        <w:t>cardio</w:t>
      </w:r>
      <w:r w:rsidR="008B63B8">
        <w:rPr>
          <w:szCs w:val="24"/>
        </w:rPr>
        <w:t>respiratory diseases</w:t>
      </w:r>
      <w:r w:rsidR="00F34212">
        <w:rPr>
          <w:szCs w:val="24"/>
        </w:rPr>
        <w:t xml:space="preserve"> as well as all-cause mortality, of which cardiorespiratory </w:t>
      </w:r>
      <w:r w:rsidR="00C75713">
        <w:rPr>
          <w:szCs w:val="24"/>
        </w:rPr>
        <w:t xml:space="preserve">disease </w:t>
      </w:r>
      <w:r w:rsidR="00F34212">
        <w:rPr>
          <w:szCs w:val="24"/>
        </w:rPr>
        <w:t>deaths make up a significant proportion</w:t>
      </w:r>
      <w:r w:rsidR="009C39AB">
        <w:rPr>
          <w:szCs w:val="24"/>
        </w:rPr>
        <w:t xml:space="preserve"> </w:t>
      </w:r>
      <w:r w:rsidR="00124C5A">
        <w:rPr>
          <w:color w:val="000000" w:themeColor="text1"/>
          <w:szCs w:val="24"/>
        </w:rPr>
        <w:fldChar w:fldCharType="begin" w:fldLock="1"/>
      </w:r>
      <w:r w:rsidR="008B63F8">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2008","type":"article-journal","volume":"8"},"uris":["http://www.mendeley.com/documents/?uuid=d87217a1-8015-414a-9c4d-5b94d7e63ff8"]},{"id":"ITEM-6","itemData":{"DOI":"10.1136/oem.2010.059782","ISSN":"13510711","abstract":"Objectives: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Medicine","id":"ITEM-6","issued":{"date-parts":[["2012"]]},"title":"The effect of high temperatures on cause-specific mortality in England and Wales","type":"article-journal"},"uris":["http://www.mendeley.com/documents/?uuid=282525fb-21fc-43e2-900c-3add322572de"]},{"id":"ITEM-7","itemData":{"DOI":"10.1097/EDE.0b013e318190ee08","abstract":"Background—Many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Mass.)","id":"ITEM-7","issue":"2","issued":{"date-parts":[["2009"]]},"page":"205","title":"Weather-related mortality: how heat, cold, and heat waves affect mortality in the United States","type":"article-journal","volume":"20"},"uris":["http://www.mendeley.com/documents/?uuid=5fe7563e-b493-41ad-a49d-689ded5488ac"]}],"mendeley":{"formattedCitation":"(Anderson &amp; Bell, 2009; Basu, 2009; Bennett, Blangiardo, Fecht, Elliott, &amp; Ezzati, 2014; Antonio Gasparrini et al., 2015; Antonio Gasparrini, Armstrong, Kovats, &amp; Wilkinson, 2012; Song et al., 2017; Ye et al., 2012)","plainTextFormattedCitation":"(Anderson &amp; Bell, 2009; Basu, 2009; Bennett, Blangiardo, Fecht, Elliott, &amp; Ezzati, 2014; Antonio Gasparrini et al., 2015; Antonio Gasparrini, Armstrong, Kovats, &amp; Wilkinson, 2012; Song et al., 2017; Ye et al., 2012)","previouslyFormattedCitation":"(Anderson &amp; Bell, 2009; Basu, 2009; Bennett, Blangiardo, Fecht, Elliott, &amp; Ezzati, 2014; Antonio Gasparrini et al., 2015; Antonio Gasparrini, Armstrong, Kovats, &amp; Wilkinson, 2012; Song et al., 2017; Ye et al., 2012)"},"properties":{"noteIndex":0},"schema":"https://github.com/citation-style-language/schema/raw/master/csl-citation.json"}</w:instrText>
      </w:r>
      <w:r w:rsidR="00124C5A">
        <w:rPr>
          <w:color w:val="000000" w:themeColor="text1"/>
          <w:szCs w:val="24"/>
        </w:rPr>
        <w:fldChar w:fldCharType="separate"/>
      </w:r>
      <w:r w:rsidR="00124C5A" w:rsidRPr="00124C5A">
        <w:rPr>
          <w:noProof/>
          <w:color w:val="000000" w:themeColor="text1"/>
          <w:szCs w:val="24"/>
        </w:rPr>
        <w:t>(Anderson &amp; Bell, 2009; Basu, 2009; Bennett, Blangiardo, Fecht, Elliott, &amp; Ezzati, 2014; Antonio Gasparrini et al., 2015; Antonio Gasparrini, Armstrong, Kovats, &amp; Wilkinson, 2012; Song et al., 2017; Ye et al., 2012)</w:t>
      </w:r>
      <w:r w:rsidR="00124C5A">
        <w:rPr>
          <w:color w:val="000000" w:themeColor="text1"/>
          <w:szCs w:val="24"/>
        </w:rPr>
        <w:fldChar w:fldCharType="end"/>
      </w:r>
      <w:r w:rsidR="00CC0EAF">
        <w:rPr>
          <w:szCs w:val="24"/>
        </w:rPr>
        <w:t xml:space="preserve"> </w:t>
      </w:r>
      <w:r w:rsidR="008D19CA">
        <w:rPr>
          <w:szCs w:val="24"/>
        </w:rPr>
        <w:t xml:space="preserve"> Association of injur</w:t>
      </w:r>
      <w:r w:rsidR="00EF08C5">
        <w:rPr>
          <w:szCs w:val="24"/>
        </w:rPr>
        <w:t>y</w:t>
      </w:r>
      <w:r w:rsidR="008D19CA">
        <w:rPr>
          <w:szCs w:val="24"/>
        </w:rPr>
        <w:t xml:space="preserve"> deaths with temperature </w:t>
      </w:r>
      <w:r w:rsidR="00857B94">
        <w:rPr>
          <w:szCs w:val="24"/>
        </w:rPr>
        <w:t>have to date been</w:t>
      </w:r>
      <w:r w:rsidR="008D19CA">
        <w:rPr>
          <w:szCs w:val="24"/>
        </w:rPr>
        <w:t xml:space="preserve"> less examined</w:t>
      </w:r>
      <w:r w:rsidR="005A6AE5">
        <w:rPr>
          <w:szCs w:val="24"/>
        </w:rPr>
        <w:t xml:space="preserve"> </w:t>
      </w:r>
      <w:r w:rsidR="00CF1882" w:rsidRPr="00A60C11">
        <w:rPr>
          <w:szCs w:val="24"/>
        </w:rPr>
        <w:fldChar w:fldCharType="begin" w:fldLock="1"/>
      </w:r>
      <w:r w:rsidR="00B24909">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Health","id":"ITEM-4","issued":{"date-parts":[["2007"]]},"title":"The impact of major heat waves on all-cause and cause-specific mortality in France from 1971 to 2003","type":"article-journal"},"uris":["http://www.mendeley.com/documents/?uuid=f08b8300-dd86-4397-bc7e-ce4846cba185"]}],"mendeley":{"formattedCitation":"(Burke et al., 2018; Antonio Gasparrini et al., 2012; Orru &amp; Åström, 2017; Rey et al., 2007)","plainTextFormattedCitation":"(Burke et al., 2018; Antonio Gasparrini et al., 2012; Orru &amp; Åström, 2017; Rey et al., 2007)","previouslyFormattedCitation":"(Burke et al., 2018; Antonio Gasparrini et al., 2012; Orru &amp; Åström, 2017; Rey et al., 2007)"},"properties":{"noteIndex":0},"schema":"https://github.com/citation-style-language/schema/raw/master/csl-citation.json"}</w:instrText>
      </w:r>
      <w:r w:rsidR="00CF1882" w:rsidRPr="00A60C11">
        <w:rPr>
          <w:szCs w:val="24"/>
        </w:rPr>
        <w:fldChar w:fldCharType="separate"/>
      </w:r>
      <w:r w:rsidR="0054464C" w:rsidRPr="0054464C">
        <w:rPr>
          <w:noProof/>
          <w:szCs w:val="24"/>
        </w:rPr>
        <w:t>(Burke et al., 2018; Antonio Gasparrini et al., 2012; Orru &amp; Åström, 2017; Rey et al., 2007)</w:t>
      </w:r>
      <w:r w:rsidR="00CF1882" w:rsidRPr="00A60C11">
        <w:rPr>
          <w:szCs w:val="24"/>
        </w:rPr>
        <w:fldChar w:fldCharType="end"/>
      </w:r>
      <w:r w:rsidR="004A176D">
        <w:rPr>
          <w:szCs w:val="24"/>
        </w:rPr>
        <w:t xml:space="preserve">. </w:t>
      </w:r>
      <w:r w:rsidR="008237EA">
        <w:rPr>
          <w:szCs w:val="24"/>
        </w:rPr>
        <w:t>R</w:t>
      </w:r>
      <w:r w:rsidR="007059DA">
        <w:rPr>
          <w:szCs w:val="24"/>
        </w:rPr>
        <w:t xml:space="preserve">emoving </w:t>
      </w:r>
      <w:r w:rsidR="004A176D">
        <w:rPr>
          <w:szCs w:val="24"/>
        </w:rPr>
        <w:t>injury deaths</w:t>
      </w:r>
      <w:r w:rsidR="007059DA">
        <w:rPr>
          <w:szCs w:val="24"/>
        </w:rPr>
        <w:t xml:space="preserve"> is </w:t>
      </w:r>
      <w:r w:rsidR="008237EA">
        <w:rPr>
          <w:szCs w:val="24"/>
        </w:rPr>
        <w:t xml:space="preserve">in fact </w:t>
      </w:r>
      <w:r w:rsidR="002C19A3">
        <w:rPr>
          <w:szCs w:val="24"/>
        </w:rPr>
        <w:t xml:space="preserve">a </w:t>
      </w:r>
      <w:r w:rsidR="004A176D">
        <w:rPr>
          <w:szCs w:val="24"/>
        </w:rPr>
        <w:t>commo</w:t>
      </w:r>
      <w:r w:rsidR="002C19A3">
        <w:rPr>
          <w:szCs w:val="24"/>
        </w:rPr>
        <w:t>n part of data pre-processing</w:t>
      </w:r>
      <w:r w:rsidR="00123DA5">
        <w:rPr>
          <w:szCs w:val="24"/>
        </w:rPr>
        <w:t xml:space="preserve"> </w:t>
      </w:r>
      <w:r w:rsidR="00F35F04">
        <w:rPr>
          <w:szCs w:val="24"/>
        </w:rPr>
        <w:t xml:space="preserve">for many high-profile temperature-mortality studies </w:t>
      </w:r>
      <w:r w:rsidR="004703D8">
        <w:rPr>
          <w:szCs w:val="24"/>
        </w:rPr>
        <w:fldChar w:fldCharType="begin" w:fldLock="1"/>
      </w:r>
      <w:r w:rsidR="00C45D6B">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Mass.)","id":"ITEM-2","issue":"2","issued":{"date-parts":[["2009"]]},"page":"205","title":"Weather-related mortality: how heat, cold, and heat waves affect mortality in the United States","type":"article-journal","volume":"20"},"uris":["http://www.mendeley.com/documents/?uuid=5fe7563e-b493-41ad-a49d-689ded5488ac"]}],"mendeley":{"formattedCitation":"(Anderson &amp; Bell, 2009; Antonio Gasparrini et al., 2015)","plainTextFormattedCitation":"(Anderson &amp; Bell, 2009; Antonio Gasparrini et al., 2015)","previouslyFormattedCitation":"(Anderson &amp; Bell, 2009; Antonio Gasparrini et al., 2015)"},"properties":{"noteIndex":0},"schema":"https://github.com/citation-style-language/schema/raw/master/csl-citation.json"}</w:instrText>
      </w:r>
      <w:r w:rsidR="004703D8">
        <w:rPr>
          <w:szCs w:val="24"/>
        </w:rPr>
        <w:fldChar w:fldCharType="separate"/>
      </w:r>
      <w:r w:rsidR="004703D8" w:rsidRPr="004703D8">
        <w:rPr>
          <w:noProof/>
          <w:szCs w:val="24"/>
        </w:rPr>
        <w:t>(Anderson &amp; Bell, 2009; Antonio Gasparrini et al., 2015)</w:t>
      </w:r>
      <w:r w:rsidR="004703D8">
        <w:rPr>
          <w:szCs w:val="24"/>
        </w:rPr>
        <w:fldChar w:fldCharType="end"/>
      </w:r>
      <w:r w:rsidR="00BF0AC0">
        <w:rPr>
          <w:szCs w:val="24"/>
        </w:rPr>
        <w:t>.</w:t>
      </w:r>
      <w:r w:rsidR="00CF1882">
        <w:rPr>
          <w:szCs w:val="24"/>
        </w:rPr>
        <w:t xml:space="preserve"> </w:t>
      </w:r>
      <w:r w:rsidR="007D3A9C">
        <w:rPr>
          <w:szCs w:val="24"/>
        </w:rPr>
        <w:t xml:space="preserve">Gasparrini et al. examined a few </w:t>
      </w:r>
      <w:r w:rsidR="00AB4409">
        <w:rPr>
          <w:szCs w:val="24"/>
        </w:rPr>
        <w:t>o</w:t>
      </w:r>
      <w:r w:rsidR="00BF0AC0">
        <w:rPr>
          <w:szCs w:val="24"/>
        </w:rPr>
        <w:t>ther causes of death</w:t>
      </w:r>
      <w:r w:rsidR="001E7996">
        <w:rPr>
          <w:szCs w:val="24"/>
        </w:rPr>
        <w:t>, such as cancers, endocrine diseases, diabetes mellitus, genitourinary disease</w:t>
      </w:r>
      <w:r w:rsidR="00C45D6B">
        <w:rPr>
          <w:szCs w:val="24"/>
        </w:rPr>
        <w:t xml:space="preserve"> </w:t>
      </w:r>
      <w:r w:rsidR="007D3A9C">
        <w:rPr>
          <w:szCs w:val="24"/>
        </w:rPr>
        <w:t>for</w:t>
      </w:r>
      <w:r w:rsidR="00C45D6B">
        <w:rPr>
          <w:szCs w:val="24"/>
        </w:rPr>
        <w:t xml:space="preserve"> summer month</w:t>
      </w:r>
      <w:r w:rsidR="00B66038">
        <w:rPr>
          <w:szCs w:val="24"/>
        </w:rPr>
        <w:t>s</w:t>
      </w:r>
      <w:r w:rsidR="001E7996">
        <w:rPr>
          <w:szCs w:val="24"/>
        </w:rPr>
        <w:t xml:space="preserve"> </w:t>
      </w:r>
      <w:r w:rsidR="007D3A9C">
        <w:rPr>
          <w:szCs w:val="24"/>
        </w:rPr>
        <w:t>in England and Wales</w:t>
      </w:r>
      <w:r w:rsidR="00F94B5E">
        <w:rPr>
          <w:szCs w:val="24"/>
        </w:rPr>
        <w:t xml:space="preserve"> </w:t>
      </w:r>
      <w:r w:rsidR="002551CF" w:rsidRPr="00A60C11">
        <w:rPr>
          <w:szCs w:val="24"/>
        </w:rPr>
        <w:fldChar w:fldCharType="begin" w:fldLock="1"/>
      </w:r>
      <w:r w:rsidR="00610641">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Wales","type":"article-journal"},"uris":["http://www.mendeley.com/documents/?uuid=282525fb-21fc-43e2-900c-3add322572de"]}],"mendeley":{"formattedCitation":"(Antonio Gasparrini et al., 2012; Newell &amp; Waggoner, 1970)","plainTextFormattedCitation":"(Antonio Gasparrini et al., 2012; Newell &amp; Waggoner, 1970)","previouslyFormattedCitation":"(Antonio Gasparrini et al., 2012; Newell &amp; Waggoner, 1970)"},"properties":{"noteIndex":0},"schema":"https://github.com/citation-style-language/schema/raw/master/csl-citation.json"}</w:instrText>
      </w:r>
      <w:r w:rsidR="002551CF" w:rsidRPr="00A60C11">
        <w:rPr>
          <w:szCs w:val="24"/>
        </w:rPr>
        <w:fldChar w:fldCharType="separate"/>
      </w:r>
      <w:r w:rsidR="00C45D6B" w:rsidRPr="00C45D6B">
        <w:rPr>
          <w:noProof/>
          <w:szCs w:val="24"/>
        </w:rPr>
        <w:t>(Antonio Gasparrini et al., 2012; Newell &amp; Waggoner, 1970)</w:t>
      </w:r>
      <w:r w:rsidR="002551CF" w:rsidRPr="00A60C11">
        <w:rPr>
          <w:szCs w:val="24"/>
        </w:rPr>
        <w:fldChar w:fldCharType="end"/>
      </w:r>
      <w:r w:rsidR="002551CF">
        <w:rPr>
          <w:szCs w:val="24"/>
        </w:rPr>
        <w:t>.</w:t>
      </w:r>
      <w:r w:rsidR="002551CF" w:rsidRPr="00A60C11">
        <w:rPr>
          <w:szCs w:val="24"/>
        </w:rPr>
        <w:t xml:space="preserve"> </w:t>
      </w:r>
      <w:r w:rsidR="000C51C6">
        <w:rPr>
          <w:szCs w:val="24"/>
        </w:rPr>
        <w:t xml:space="preserve">Small numbers of deaths are an issue when </w:t>
      </w:r>
      <w:r w:rsidR="000C51C6">
        <w:rPr>
          <w:szCs w:val="24"/>
        </w:rPr>
        <w:lastRenderedPageBreak/>
        <w:t xml:space="preserve">looking at smaller sub-causes of death. </w:t>
      </w:r>
      <w:r w:rsidR="00610641">
        <w:rPr>
          <w:szCs w:val="24"/>
        </w:rPr>
        <w:t xml:space="preserve">Studies to </w:t>
      </w:r>
      <w:r w:rsidR="00362961">
        <w:rPr>
          <w:szCs w:val="24"/>
        </w:rPr>
        <w:t>a</w:t>
      </w:r>
      <w:r w:rsidR="002B7B9B">
        <w:rPr>
          <w:szCs w:val="24"/>
        </w:rPr>
        <w:t>ssociat</w:t>
      </w:r>
      <w:r w:rsidR="00610641">
        <w:rPr>
          <w:szCs w:val="24"/>
        </w:rPr>
        <w:t>e</w:t>
      </w:r>
      <w:r w:rsidR="002B7B9B">
        <w:rPr>
          <w:szCs w:val="24"/>
        </w:rPr>
        <w:t xml:space="preserve"> monthly </w:t>
      </w:r>
      <w:r w:rsidR="006231C1">
        <w:rPr>
          <w:szCs w:val="24"/>
        </w:rPr>
        <w:t xml:space="preserve">average </w:t>
      </w:r>
      <w:r w:rsidR="002B7B9B">
        <w:rPr>
          <w:szCs w:val="24"/>
        </w:rPr>
        <w:t xml:space="preserve">temperatures with mortality </w:t>
      </w:r>
      <w:r w:rsidR="006231C1">
        <w:rPr>
          <w:szCs w:val="24"/>
        </w:rPr>
        <w:t>exist</w:t>
      </w:r>
      <w:r w:rsidR="00610641">
        <w:rPr>
          <w:szCs w:val="24"/>
        </w:rPr>
        <w:t xml:space="preserve"> </w:t>
      </w:r>
      <w:r w:rsidR="00610641">
        <w:rPr>
          <w:szCs w:val="24"/>
        </w:rPr>
        <w:fldChar w:fldCharType="begin" w:fldLock="1"/>
      </w:r>
      <w:r w:rsidR="008B63F8">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2008","type":"article-journal","volume":"8"},"uris":["http://www.mendeley.com/documents/?uuid=d87217a1-8015-414a-9c4d-5b94d7e63ff8"]}],"mendeley":{"formattedCitation":"(Basu, 2009; Basu &amp; Samet, 2002; Burke et al., 2018)","plainTextFormattedCitation":"(Basu, 2009; Basu &amp; Samet, 2002; Burke et al., 2018)","previouslyFormattedCitation":"(Basu &amp; Samet, 2002; Burke et al., 2018)"},"properties":{"noteIndex":0},"schema":"https://github.com/citation-style-language/schema/raw/master/csl-citation.json"}</w:instrText>
      </w:r>
      <w:r w:rsidR="00610641">
        <w:rPr>
          <w:szCs w:val="24"/>
        </w:rPr>
        <w:fldChar w:fldCharType="separate"/>
      </w:r>
      <w:r w:rsidR="008B63F8" w:rsidRPr="008B63F8">
        <w:rPr>
          <w:noProof/>
          <w:szCs w:val="24"/>
        </w:rPr>
        <w:t>(Basu, 2009; Basu &amp; Samet, 2002; Burke et al., 2018)</w:t>
      </w:r>
      <w:r w:rsidR="00610641">
        <w:rPr>
          <w:szCs w:val="24"/>
        </w:rPr>
        <w:fldChar w:fldCharType="end"/>
      </w:r>
      <w:r w:rsidR="00610641">
        <w:rPr>
          <w:szCs w:val="24"/>
        </w:rPr>
        <w:t>,</w:t>
      </w:r>
      <w:r w:rsidR="006231C1">
        <w:rPr>
          <w:szCs w:val="24"/>
        </w:rPr>
        <w:t xml:space="preserve"> though are less common than association with daily temperature,</w:t>
      </w:r>
      <w:r w:rsidR="00675D69">
        <w:rPr>
          <w:szCs w:val="24"/>
        </w:rPr>
        <w:t xml:space="preserve"> even</w:t>
      </w:r>
      <w:r w:rsidR="006231C1">
        <w:rPr>
          <w:szCs w:val="24"/>
        </w:rPr>
        <w:t xml:space="preserve"> though shifts in monthly mean temperatures away from long-term norms </w:t>
      </w:r>
      <w:r w:rsidR="00D12C2D">
        <w:rPr>
          <w:szCs w:val="24"/>
        </w:rPr>
        <w:t>is a</w:t>
      </w:r>
      <w:r w:rsidR="006D6775">
        <w:rPr>
          <w:szCs w:val="24"/>
        </w:rPr>
        <w:t xml:space="preserve"> good representation of</w:t>
      </w:r>
      <w:r w:rsidR="006231C1">
        <w:rPr>
          <w:szCs w:val="24"/>
        </w:rPr>
        <w:t xml:space="preserve"> future </w:t>
      </w:r>
      <w:r w:rsidR="006D6775">
        <w:rPr>
          <w:szCs w:val="24"/>
        </w:rPr>
        <w:t>climate change.</w:t>
      </w:r>
      <w:r w:rsidR="004E4B87">
        <w:rPr>
          <w:szCs w:val="24"/>
        </w:rPr>
        <w:t xml:space="preserve"> </w:t>
      </w:r>
      <w:r w:rsidR="004E68C5">
        <w:rPr>
          <w:color w:val="000000" w:themeColor="text1"/>
          <w:szCs w:val="24"/>
        </w:rPr>
        <w:t xml:space="preserve">Beyond variation </w:t>
      </w:r>
      <w:r w:rsidR="00E249AE">
        <w:rPr>
          <w:color w:val="000000" w:themeColor="text1"/>
          <w:szCs w:val="24"/>
        </w:rPr>
        <w:t xml:space="preserve">between </w:t>
      </w:r>
      <w:r w:rsidR="004E68C5">
        <w:rPr>
          <w:color w:val="000000" w:themeColor="text1"/>
          <w:szCs w:val="24"/>
        </w:rPr>
        <w:t>causes of death, t</w:t>
      </w:r>
      <w:r w:rsidR="004E4C9A">
        <w:rPr>
          <w:color w:val="000000" w:themeColor="text1"/>
          <w:szCs w:val="24"/>
        </w:rPr>
        <w:t xml:space="preserve">he association between temperature and mortality can </w:t>
      </w:r>
      <w:r w:rsidR="00A67B2F">
        <w:rPr>
          <w:color w:val="000000" w:themeColor="text1"/>
          <w:szCs w:val="24"/>
        </w:rPr>
        <w:t xml:space="preserve">vary </w:t>
      </w:r>
      <w:r w:rsidR="00AD23B5">
        <w:rPr>
          <w:color w:val="000000" w:themeColor="text1"/>
          <w:szCs w:val="24"/>
        </w:rPr>
        <w:t>by age group and sex</w:t>
      </w:r>
      <w:r w:rsidR="004E4C9A">
        <w:rPr>
          <w:color w:val="000000" w:themeColor="text1"/>
          <w:szCs w:val="24"/>
        </w:rPr>
        <w:t xml:space="preserve"> </w:t>
      </w:r>
      <w:r w:rsidR="00A71C62" w:rsidRPr="00A60C11">
        <w:rPr>
          <w:color w:val="000000" w:themeColor="text1"/>
          <w:szCs w:val="24"/>
        </w:rPr>
        <w:fldChar w:fldCharType="begin" w:fldLock="1"/>
      </w:r>
      <w:r w:rsidR="00B24909">
        <w:rPr>
          <w:color w:val="000000" w:themeColor="text1"/>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China","type":"article-journal"},"uris":["http://www.mendeley.com/documents/?uuid=bc690882-1f2a-4355-a0de-62ae807029f2"]},{"id":"ITEM-8","itemData":{"DOI":"10.1136/oem.2010.059782","ISSN":"13510711","abstract":"Objectives: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Medicine","id":"ITEM-8","issued":{"date-parts":[["2012"]]},"title":"The effect of high temperatures on cause-specific mortality in England and Wales","type":"article-journal"},"uris":["http://www.mendeley.com/documents/?uuid=282525fb-21fc-43e2-900c-3add322572de"]}],"mendeley":{"formattedCitation":"(Basu, 2009; Bennett et al., 2014; Antonio Gasparrini et al., 2012; S. Hajat, Kovats, &amp; Lachowycz, 2007; Li et al., 2016; Song et al., 2017; Ye et al., 2012; Zanobetti, O’Neill, Gronlund, &amp; Schwartz, 2012)","plainTextFormattedCitation":"(Basu, 2009; Bennett et al., 2014; Antonio Gasparrini et al., 2012; S. Hajat, Kovats, &amp; Lachowycz, 2007; Li et al., 2016; Song et al., 2017; Ye et al., 2012; Zanobetti, O’Neill, Gronlund, &amp; Schwartz, 2012)","previouslyFormattedCitation":"(Basu, 2009; Bennett et al., 2014; Antonio Gasparrini et al., 2012; S. Hajat, Kovats, &amp; Lachowycz, 2007; Li et al., 2016; Song et al., 2017; Ye et al., 2012; Zanobetti, O’Neill, Gronlund, &amp; Schwartz, 2012)"},"properties":{"noteIndex":0},"schema":"https://github.com/citation-style-language/schema/raw/master/csl-citation.json"}</w:instrText>
      </w:r>
      <w:r w:rsidR="00A71C62" w:rsidRPr="00A60C11">
        <w:rPr>
          <w:color w:val="000000" w:themeColor="text1"/>
          <w:szCs w:val="24"/>
        </w:rPr>
        <w:fldChar w:fldCharType="separate"/>
      </w:r>
      <w:r w:rsidR="00A33CF3" w:rsidRPr="00A33CF3">
        <w:rPr>
          <w:noProof/>
          <w:color w:val="000000" w:themeColor="text1"/>
          <w:szCs w:val="24"/>
        </w:rPr>
        <w:t>(Basu, 2009; Bennett et al., 2014; Antonio Gasparrini et al., 2012; S. Hajat, Kovats, &amp; Lachowycz, 2007; Li et al., 2016; Song et al., 2017; Ye et al., 2012; Zanobetti, O’Neill, Gronlund, &amp; Schwartz, 2012)</w:t>
      </w:r>
      <w:r w:rsidR="00A71C62" w:rsidRPr="00A60C11">
        <w:rPr>
          <w:color w:val="000000" w:themeColor="text1"/>
          <w:szCs w:val="24"/>
        </w:rPr>
        <w:fldChar w:fldCharType="end"/>
      </w:r>
      <w:r w:rsidR="00A71C62">
        <w:rPr>
          <w:color w:val="000000" w:themeColor="text1"/>
          <w:szCs w:val="24"/>
        </w:rPr>
        <w:t>.</w:t>
      </w:r>
      <w:r w:rsidR="006B4494">
        <w:rPr>
          <w:color w:val="000000" w:themeColor="text1"/>
          <w:szCs w:val="24"/>
        </w:rPr>
        <w:t xml:space="preserve"> </w:t>
      </w:r>
      <w:r w:rsidR="00446AAD">
        <w:rPr>
          <w:color w:val="000000" w:themeColor="text1"/>
          <w:szCs w:val="24"/>
        </w:rPr>
        <w:t xml:space="preserve">Where studies have looked at the difference between </w:t>
      </w:r>
      <w:r w:rsidR="00603C91">
        <w:rPr>
          <w:color w:val="000000" w:themeColor="text1"/>
          <w:szCs w:val="24"/>
        </w:rPr>
        <w:t>men and women</w:t>
      </w:r>
      <w:r w:rsidR="00446AAD">
        <w:rPr>
          <w:color w:val="000000" w:themeColor="text1"/>
          <w:szCs w:val="24"/>
        </w:rPr>
        <w:t>,</w:t>
      </w:r>
      <w:r w:rsidR="00203488">
        <w:rPr>
          <w:color w:val="000000" w:themeColor="text1"/>
          <w:szCs w:val="24"/>
        </w:rPr>
        <w:t xml:space="preserve"> </w:t>
      </w:r>
      <w:r w:rsidR="000D17C1">
        <w:rPr>
          <w:color w:val="000000" w:themeColor="text1"/>
          <w:szCs w:val="24"/>
        </w:rPr>
        <w:t xml:space="preserve">some differences have been found for circulatory causes </w:t>
      </w:r>
      <w:bookmarkStart w:id="5" w:name="_GoBack"/>
      <w:bookmarkEnd w:id="5"/>
      <w:r w:rsidR="0077217B">
        <w:rPr>
          <w:color w:val="000000" w:themeColor="text1"/>
          <w:szCs w:val="24"/>
        </w:rPr>
        <w:t xml:space="preserve"> </w:t>
      </w:r>
    </w:p>
    <w:p w14:paraId="1581633A" w14:textId="233BF72E" w:rsidR="00124C5A" w:rsidRDefault="00124C5A" w:rsidP="00351B6E">
      <w:pPr>
        <w:ind w:firstLine="720"/>
        <w:rPr>
          <w:color w:val="000000" w:themeColor="text1"/>
          <w:szCs w:val="24"/>
        </w:rPr>
      </w:pPr>
      <w:r>
        <w:rPr>
          <w:color w:val="000000" w:themeColor="text1"/>
          <w:szCs w:val="24"/>
        </w:rPr>
        <w:t>____</w:t>
      </w:r>
    </w:p>
    <w:p w14:paraId="691998B5" w14:textId="15628562" w:rsidR="007F4729" w:rsidRDefault="00294F37" w:rsidP="00351B6E">
      <w:pPr>
        <w:ind w:firstLine="720"/>
        <w:rPr>
          <w:szCs w:val="24"/>
        </w:rPr>
      </w:pPr>
      <w:r w:rsidRPr="00A60C11">
        <w:rPr>
          <w:szCs w:val="24"/>
        </w:rPr>
        <w:t xml:space="preserve">Most previous study designs have examined at the entire population together, [ref] or focused only on metropolitan areas [ref]. Other studies have also divided groups into broad age groups, [ref] or thrown away most of the data that is not for older groups. [ref] Isolated studies in the </w:t>
      </w:r>
      <w:r>
        <w:rPr>
          <w:szCs w:val="24"/>
        </w:rPr>
        <w:t>United States</w:t>
      </w:r>
      <w:r w:rsidRPr="00A60C11">
        <w:rPr>
          <w:szCs w:val="24"/>
        </w:rPr>
        <w:t xml:space="preserve"> in different cities have looked at similar stratification of a population. These previous studies have also mostly examined single or multi-day episodes. As such, a large part of the gap in the research here is to understand how vulnerability will vary between age groups and sexes for a population by cause of death.</w:t>
      </w:r>
    </w:p>
    <w:p w14:paraId="16045796" w14:textId="63B1ED68" w:rsidR="007F4729" w:rsidRDefault="00124C5A" w:rsidP="006661FE">
      <w:pPr>
        <w:ind w:firstLine="720"/>
        <w:rPr>
          <w:color w:val="000000" w:themeColor="text1"/>
          <w:szCs w:val="24"/>
        </w:rPr>
      </w:pPr>
      <w:r>
        <w:rPr>
          <w:color w:val="000000" w:themeColor="text1"/>
          <w:szCs w:val="24"/>
        </w:rPr>
        <w:t xml:space="preserve">The scope of previous studies has varied from multi-national to community level. In the United States, for example, </w:t>
      </w:r>
      <w:r w:rsidR="007F4729" w:rsidRPr="00A60C11">
        <w:rPr>
          <w:color w:val="000000" w:themeColor="text1"/>
          <w:szCs w:val="24"/>
        </w:rPr>
        <w:t xml:space="preserve"> </w:t>
      </w:r>
    </w:p>
    <w:p w14:paraId="14A771D9" w14:textId="342CD9EF" w:rsidR="007F4729" w:rsidRPr="004C7DC5" w:rsidRDefault="007F4729" w:rsidP="004C7DC5">
      <w:pPr>
        <w:rPr>
          <w:szCs w:val="24"/>
        </w:rPr>
      </w:pPr>
      <w:r>
        <w:rPr>
          <w:szCs w:val="24"/>
        </w:rPr>
        <w:tab/>
      </w:r>
      <w:r w:rsidRPr="00A60C11">
        <w:rPr>
          <w:szCs w:val="24"/>
        </w:rPr>
        <w:t xml:space="preserve">Other studies have looked at how other environmental measures as covariates may act as confounders to the relationship between mortality and temperature. There is however disagreement on how important certain covariates may be in effect modification. While some studies find that humidity may modify the temperature and mortality relationship, [ref] others </w:t>
      </w:r>
      <w:r w:rsidRPr="00A60C11">
        <w:rPr>
          <w:szCs w:val="24"/>
        </w:rPr>
        <w:lastRenderedPageBreak/>
        <w:t>do not find this. Further, pollutants such as PM</w:t>
      </w:r>
      <w:r w:rsidRPr="00A60C11">
        <w:rPr>
          <w:szCs w:val="24"/>
          <w:vertAlign w:val="subscript"/>
        </w:rPr>
        <w:t xml:space="preserve">2.5 </w:t>
      </w:r>
      <w:r w:rsidRPr="00A60C11">
        <w:rPr>
          <w:szCs w:val="24"/>
        </w:rPr>
        <w:t>have been included in temperature and mortality studies previously. However, there is no consistent evidence that pollution modifies the temperature-mortality relationship.</w:t>
      </w:r>
    </w:p>
    <w:p w14:paraId="24663658" w14:textId="6A48B2BE" w:rsidR="000B6A17" w:rsidRDefault="00BA5A74" w:rsidP="00F21E10">
      <w:pPr>
        <w:pStyle w:val="Heading2"/>
      </w:pPr>
      <w:bookmarkStart w:id="6" w:name="_Toc7079050"/>
      <w:bookmarkStart w:id="7" w:name="_Toc8312168"/>
      <w:r>
        <w:t xml:space="preserve">Modelling </w:t>
      </w:r>
      <w:r w:rsidR="00BB36BA">
        <w:t>methodology</w:t>
      </w:r>
      <w:bookmarkEnd w:id="6"/>
      <w:bookmarkEnd w:id="7"/>
    </w:p>
    <w:p w14:paraId="01FE05C8" w14:textId="28E314A1" w:rsidR="00222524" w:rsidRPr="001E1EEA" w:rsidRDefault="00222524" w:rsidP="00D2781A">
      <w:pPr>
        <w:ind w:firstLine="720"/>
        <w:rPr>
          <w:szCs w:val="24"/>
        </w:rPr>
      </w:pPr>
      <w:r>
        <w:rPr>
          <w:color w:val="000000" w:themeColor="text1"/>
          <w:szCs w:val="24"/>
        </w:rPr>
        <w:t xml:space="preserve">A large body of modern scientific work focuses on the association of daily mortality and morbidity with periods of extreme heat lasting up to a few days. Armstrong summarises various methodologies of fitting temperature-mortality relationships with linear, polynomial and cubic spline curves with </w:t>
      </w:r>
      <w:r>
        <w:rPr>
          <w:szCs w:val="24"/>
        </w:rPr>
        <w:t xml:space="preserve">have been several methodologies developed to quantify the association.  [[[Case crossover, conditional Poisson models, more Ben Armstrong models, look at J Bennett’s Nature CC paper]]] Gasparrini and Armstrong have also produced research which questions the added effect of a heat wave in comparison to a series of individual elevated temperature days </w:t>
      </w:r>
      <w:r>
        <w:rPr>
          <w:szCs w:val="24"/>
        </w:rPr>
        <w:fldChar w:fldCharType="begin" w:fldLock="1"/>
      </w:r>
      <w:r>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mortality.","type":"article-journal"},"uris":["http://www.mendeley.com/documents/?uuid=fefd436d-ae7a-4776-90ca-96230e67f6b4"]}],"mendeley":{"formattedCitation":"(A Gasparrini &amp; Armstrong, 2011)","plainTextFormattedCitation":"(A Gasparrini &amp; Armstrong, 2011)","previouslyFormattedCitation":"(A Gasparrini &amp; Armstrong, 2011)"},"properties":{"noteIndex":0},"schema":"https://github.com/citation-style-language/schema/raw/master/csl-citation.json"}</w:instrText>
      </w:r>
      <w:r>
        <w:rPr>
          <w:szCs w:val="24"/>
        </w:rPr>
        <w:fldChar w:fldCharType="separate"/>
      </w:r>
      <w:r w:rsidRPr="00892E9A">
        <w:rPr>
          <w:noProof/>
          <w:szCs w:val="24"/>
        </w:rPr>
        <w:t>(A Gasparrini &amp; Armstrong, 2011)</w:t>
      </w:r>
      <w:r>
        <w:rPr>
          <w:szCs w:val="24"/>
        </w:rPr>
        <w:fldChar w:fldCharType="end"/>
      </w:r>
      <w:r>
        <w:rPr>
          <w:szCs w:val="24"/>
        </w:rPr>
        <w:t>.</w:t>
      </w:r>
    </w:p>
    <w:p w14:paraId="13F54120" w14:textId="526C6B89" w:rsidR="00F21E10" w:rsidRPr="00A60C11" w:rsidRDefault="00F21E10" w:rsidP="00F21E10">
      <w:pPr>
        <w:rPr>
          <w:color w:val="000000" w:themeColor="text1"/>
          <w:szCs w:val="24"/>
        </w:rPr>
      </w:pPr>
      <w:r>
        <w:rPr>
          <w:color w:val="000000" w:themeColor="text1"/>
          <w:szCs w:val="24"/>
        </w:rPr>
        <w:tab/>
      </w:r>
      <w:r w:rsidR="005D2669" w:rsidRPr="00A60C11">
        <w:rPr>
          <w:color w:val="000000" w:themeColor="text1"/>
          <w:szCs w:val="24"/>
        </w:rPr>
        <w:t xml:space="preserve">Modelling </w:t>
      </w:r>
      <w:r w:rsidR="000D2AE0" w:rsidRPr="00A60C11">
        <w:rPr>
          <w:color w:val="000000" w:themeColor="text1"/>
          <w:szCs w:val="24"/>
        </w:rPr>
        <w:t xml:space="preserve">vulnerability to anomalous temperature requires a framework which will </w:t>
      </w:r>
      <w:r w:rsidR="00FF1634" w:rsidRPr="00A60C11">
        <w:rPr>
          <w:color w:val="000000" w:themeColor="text1"/>
          <w:szCs w:val="24"/>
        </w:rPr>
        <w:t>incorporate</w:t>
      </w:r>
      <w:r w:rsidR="000D2AE0" w:rsidRPr="00A60C11">
        <w:rPr>
          <w:color w:val="000000" w:themeColor="text1"/>
          <w:szCs w:val="24"/>
        </w:rPr>
        <w:t xml:space="preserve"> </w:t>
      </w:r>
      <w:r w:rsidR="003F57FF" w:rsidRPr="00A60C11">
        <w:rPr>
          <w:color w:val="000000" w:themeColor="text1"/>
          <w:szCs w:val="24"/>
        </w:rPr>
        <w:t xml:space="preserve">relevant factors to enable </w:t>
      </w:r>
      <w:r w:rsidR="00361EAF" w:rsidRPr="00A60C11">
        <w:rPr>
          <w:color w:val="000000" w:themeColor="text1"/>
          <w:szCs w:val="24"/>
        </w:rPr>
        <w:t xml:space="preserve">a way to parse out </w:t>
      </w:r>
      <w:r w:rsidR="00FF1634" w:rsidRPr="00A60C11">
        <w:rPr>
          <w:color w:val="000000" w:themeColor="text1"/>
          <w:szCs w:val="24"/>
        </w:rPr>
        <w:t xml:space="preserve">the anomalous temperature additional risk. </w:t>
      </w:r>
      <w:r w:rsidR="00267F5F" w:rsidRPr="00A60C11">
        <w:rPr>
          <w:color w:val="000000" w:themeColor="text1"/>
          <w:szCs w:val="24"/>
        </w:rPr>
        <w:t>Early modelling frameworks simply looked at correlations of death rates in a location against local temperature. [ref]</w:t>
      </w:r>
    </w:p>
    <w:p w14:paraId="03F03D6D" w14:textId="6BD1F1BA" w:rsidR="00B21495" w:rsidRPr="00A60C11" w:rsidRDefault="00B21495" w:rsidP="711782F6">
      <w:pPr>
        <w:rPr>
          <w:color w:val="000000" w:themeColor="text1"/>
          <w:szCs w:val="24"/>
        </w:rPr>
      </w:pPr>
      <w:r w:rsidRPr="00A60C11">
        <w:rPr>
          <w:color w:val="000000" w:themeColor="text1"/>
          <w:szCs w:val="24"/>
        </w:rPr>
        <w:tab/>
      </w:r>
      <w:r w:rsidR="00443903" w:rsidRPr="00A60C11">
        <w:rPr>
          <w:color w:val="000000" w:themeColor="text1"/>
          <w:szCs w:val="24"/>
        </w:rPr>
        <w:t xml:space="preserve">The scale of studies of population impacts of </w:t>
      </w:r>
      <w:r w:rsidR="001A0466" w:rsidRPr="00A60C11">
        <w:rPr>
          <w:color w:val="000000" w:themeColor="text1"/>
          <w:szCs w:val="24"/>
        </w:rPr>
        <w:t>exposures ranges from individually</w:t>
      </w:r>
      <w:r w:rsidRPr="00A60C11">
        <w:rPr>
          <w:color w:val="000000" w:themeColor="text1"/>
          <w:szCs w:val="24"/>
        </w:rPr>
        <w:t xml:space="preserve">-tracked cohort studies to </w:t>
      </w:r>
      <w:r w:rsidR="001A0466" w:rsidRPr="00A60C11">
        <w:rPr>
          <w:color w:val="000000" w:themeColor="text1"/>
          <w:szCs w:val="24"/>
        </w:rPr>
        <w:t xml:space="preserve">from city-wide community studies </w:t>
      </w:r>
      <w:r w:rsidR="0061798B" w:rsidRPr="00A60C11">
        <w:rPr>
          <w:color w:val="000000" w:themeColor="text1"/>
          <w:szCs w:val="24"/>
        </w:rPr>
        <w:t>up</w:t>
      </w:r>
      <w:r w:rsidR="001A0466" w:rsidRPr="00A60C11">
        <w:rPr>
          <w:color w:val="000000" w:themeColor="text1"/>
          <w:szCs w:val="24"/>
        </w:rPr>
        <w:t xml:space="preserve"> to population studies of entire countries.</w:t>
      </w:r>
      <w:r w:rsidR="000E1812" w:rsidRPr="00A60C11">
        <w:rPr>
          <w:color w:val="000000" w:themeColor="text1"/>
          <w:szCs w:val="24"/>
        </w:rPr>
        <w:t xml:space="preserve"> [ref]</w:t>
      </w:r>
      <w:r w:rsidR="00ED021C" w:rsidRPr="00A60C11">
        <w:rPr>
          <w:color w:val="000000" w:themeColor="text1"/>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accurate representation of the exposure. However, cohort-based studies are also limited in scope necessarily to the cohort that is being recorded, as extrapolation to the population may </w:t>
      </w:r>
      <w:r w:rsidR="00ED021C" w:rsidRPr="00A60C11">
        <w:rPr>
          <w:color w:val="000000" w:themeColor="text1"/>
          <w:szCs w:val="24"/>
        </w:rPr>
        <w:lastRenderedPageBreak/>
        <w:t xml:space="preserve">not give a representative picture of what is happening.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that the total impacts will not have been extrapolated. This usage of the entire population naturally sets up challenges with regards to exposure data and how to assign those to geographical sub-units of a population. </w:t>
      </w:r>
    </w:p>
    <w:p w14:paraId="24AD071A" w14:textId="2FF2D65F" w:rsidR="00863F15" w:rsidRPr="00A2572A" w:rsidRDefault="00863F15" w:rsidP="56D10C38">
      <w:pPr>
        <w:rPr>
          <w:color w:val="000000" w:themeColor="text1"/>
          <w:szCs w:val="24"/>
        </w:rPr>
      </w:pPr>
      <w:r>
        <w:rPr>
          <w:color w:val="000000" w:themeColor="text1"/>
          <w:szCs w:val="24"/>
        </w:rPr>
        <w:tab/>
      </w:r>
      <w:r w:rsidRPr="00A2572A">
        <w:rPr>
          <w:color w:val="000000" w:themeColor="text1"/>
          <w:szCs w:val="24"/>
        </w:rPr>
        <w:t xml:space="preserve">In addition, methodological and computational challenges exist in constructing a national ecological model. Several </w:t>
      </w:r>
      <w:r w:rsidR="00F14350" w:rsidRPr="00A2572A">
        <w:rPr>
          <w:color w:val="000000" w:themeColor="text1"/>
          <w:szCs w:val="24"/>
        </w:rPr>
        <w:t>modelling methodologies have been developed</w:t>
      </w:r>
      <w:r w:rsidR="00A94445" w:rsidRPr="00A2572A">
        <w:rPr>
          <w:color w:val="000000" w:themeColor="text1"/>
          <w:szCs w:val="24"/>
        </w:rPr>
        <w:t xml:space="preserve"> over time with this recognition</w:t>
      </w:r>
      <w:r w:rsidR="00F14350" w:rsidRPr="00A2572A">
        <w:rPr>
          <w:color w:val="000000" w:themeColor="text1"/>
          <w:szCs w:val="24"/>
        </w:rPr>
        <w:t xml:space="preserve">. These include case crossover </w:t>
      </w:r>
      <w:r w:rsidR="00F32757" w:rsidRPr="00A2572A">
        <w:rPr>
          <w:color w:val="000000" w:themeColor="text1"/>
          <w:szCs w:val="24"/>
        </w:rPr>
        <w:t>designs</w:t>
      </w:r>
      <w:r w:rsidR="00A94445" w:rsidRPr="00A2572A">
        <w:rPr>
          <w:color w:val="000000" w:themeColor="text1"/>
          <w:szCs w:val="24"/>
        </w:rPr>
        <w:t>, conditional Poisson models, Distributed Lag Models</w:t>
      </w:r>
      <w:r w:rsidR="00F32757" w:rsidRPr="00A2572A">
        <w:rPr>
          <w:color w:val="000000" w:themeColor="text1"/>
          <w:szCs w:val="24"/>
        </w:rPr>
        <w:t xml:space="preserve">. </w:t>
      </w:r>
      <w:r w:rsidRPr="00A2572A">
        <w:rPr>
          <w:color w:val="000000" w:themeColor="text1"/>
          <w:szCs w:val="24"/>
        </w:rPr>
        <w:t>Poisson models are widely-adopted in analysis of global trends</w:t>
      </w:r>
      <w:r w:rsidR="009B3166" w:rsidRPr="00A2572A">
        <w:rPr>
          <w:color w:val="000000" w:themeColor="text1"/>
          <w:szCs w:val="24"/>
        </w:rPr>
        <w:t xml:space="preserve"> of both communicable- and non-communicable</w:t>
      </w:r>
      <w:r w:rsidR="009B09B1" w:rsidRPr="00A2572A">
        <w:rPr>
          <w:color w:val="000000" w:themeColor="text1"/>
          <w:szCs w:val="24"/>
        </w:rPr>
        <w:t xml:space="preserve"> diseases, as well as in studies of the effect of pollution and are also the basis for forecasting death rates and life expectancy. [ref] </w:t>
      </w:r>
      <w:r w:rsidRPr="00A2572A">
        <w:rPr>
          <w:color w:val="000000" w:themeColor="text1"/>
          <w:szCs w:val="24"/>
        </w:rPr>
        <w:tab/>
      </w:r>
    </w:p>
    <w:p w14:paraId="50DA286F" w14:textId="2D0865A3" w:rsidR="00863F15" w:rsidRPr="00A2572A" w:rsidRDefault="00F21E10" w:rsidP="56D10C38">
      <w:pPr>
        <w:spacing w:after="0"/>
        <w:rPr>
          <w:color w:val="000000" w:themeColor="text1"/>
          <w:szCs w:val="24"/>
          <w:lang w:val="en-US"/>
        </w:rPr>
      </w:pPr>
      <w:r w:rsidRPr="00A2572A">
        <w:rPr>
          <w:color w:val="000000" w:themeColor="text1"/>
          <w:szCs w:val="24"/>
          <w:lang w:val="en-US"/>
        </w:rPr>
        <w:tab/>
      </w:r>
      <w:r w:rsidR="00AF2371" w:rsidRPr="00A2572A">
        <w:rPr>
          <w:color w:val="000000" w:themeColor="text1"/>
          <w:szCs w:val="24"/>
          <w:lang w:val="en-US"/>
        </w:rPr>
        <w:t>The study design for implementation</w:t>
      </w:r>
      <w:r w:rsidR="00BD7E94" w:rsidRPr="00A2572A">
        <w:rPr>
          <w:color w:val="000000" w:themeColor="text1"/>
          <w:szCs w:val="24"/>
          <w:lang w:val="en-US"/>
        </w:rPr>
        <w:t xml:space="preserve"> of a Poisson model analyzing death rates requires an appreciation of several factors</w:t>
      </w:r>
      <w:r w:rsidR="00AF2371" w:rsidRPr="00A2572A">
        <w:rPr>
          <w:color w:val="000000" w:themeColor="text1"/>
          <w:szCs w:val="24"/>
          <w:lang w:val="en-US"/>
        </w:rPr>
        <w:t xml:space="preserve">. The subunits of analysis must be decided. Previous studies 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00A2572A">
        <w:rPr>
          <w:rFonts w:eastAsia="Times New Roman"/>
          <w:szCs w:val="24"/>
          <w:lang w:val="en-US"/>
        </w:rPr>
        <w:t>age grouping and sex</w:t>
      </w:r>
      <w:r w:rsidR="00AF2371" w:rsidRPr="00A2572A">
        <w:rPr>
          <w:color w:val="000000" w:themeColor="text1"/>
          <w:szCs w:val="24"/>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7E6F252E" w14:textId="2794CA49" w:rsidR="00863F15" w:rsidRPr="00A2572A" w:rsidRDefault="00AF2371" w:rsidP="00A00307">
      <w:pPr>
        <w:rPr>
          <w:lang w:val="en-US"/>
        </w:rPr>
      </w:pPr>
      <w:r w:rsidRPr="00A2572A">
        <w:rPr>
          <w:lang w:val="en-US"/>
        </w:rPr>
        <w:t xml:space="preserve">Measuring vulnerability by age group, sex and numerous subnational units is further complicated by the interactions between space and time. Levels and time trends in death rates </w:t>
      </w:r>
      <w:r w:rsidRPr="00A2572A">
        <w:rPr>
          <w:lang w:val="en-US"/>
        </w:rPr>
        <w:lastRenderedPageBreak/>
        <w:t>may differ across sub-units of analysis. They may however be spatially- and temporally 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
    <w:p w14:paraId="76A35728" w14:textId="74A8546E" w:rsidR="00385E81" w:rsidRPr="00A2572A" w:rsidRDefault="004E39EF" w:rsidP="00A00307">
      <w:pPr>
        <w:rPr>
          <w:lang w:val="en-US"/>
        </w:rPr>
      </w:pPr>
      <w:r w:rsidRPr="00A2572A">
        <w:rPr>
          <w:lang w:val="en-US"/>
        </w:rPr>
        <w:t>The geospatial analysis of data has a long and rich history</w:t>
      </w:r>
      <w:r w:rsidR="002A58D9" w:rsidRPr="00A2572A">
        <w:rPr>
          <w:lang w:val="en-US"/>
        </w:rPr>
        <w:t xml:space="preserve">, dating as far back at John Snow’s study of </w:t>
      </w:r>
      <w:r w:rsidR="002F6BE8" w:rsidRPr="00A2572A">
        <w:rPr>
          <w:lang w:val="en-US"/>
        </w:rPr>
        <w:t xml:space="preserve">cholera in the middle of the 1800s. [ref] </w:t>
      </w:r>
      <w:r w:rsidR="00AE4A62" w:rsidRPr="00A2572A">
        <w:rPr>
          <w:lang w:val="en-US"/>
        </w:rPr>
        <w:t>D</w:t>
      </w:r>
      <w:r w:rsidR="00DB344D" w:rsidRPr="00A2572A">
        <w:rPr>
          <w:lang w:val="en-US"/>
        </w:rPr>
        <w:t xml:space="preserve">ifferences in spatial differences and trends over time </w:t>
      </w:r>
      <w:r w:rsidR="00AE4A62" w:rsidRPr="00A2572A">
        <w:rPr>
          <w:lang w:val="en-US"/>
        </w:rPr>
        <w:t>have been accounted for by effects of political and social policies, socioeconomic status, and other factors [ref]</w:t>
      </w:r>
      <w:r w:rsidR="001A6EA2" w:rsidRPr="00A2572A">
        <w:rPr>
          <w:lang w:val="en-US"/>
        </w:rPr>
        <w:t>.</w:t>
      </w:r>
    </w:p>
    <w:p w14:paraId="2EF56B13" w14:textId="5B08D275" w:rsidR="001A6EA2" w:rsidRPr="00A2572A" w:rsidRDefault="001A6EA2" w:rsidP="00A00307">
      <w:pPr>
        <w:rPr>
          <w:lang w:val="en-US"/>
        </w:rPr>
      </w:pPr>
      <w:r w:rsidRPr="00A2572A">
        <w:rPr>
          <w:lang w:val="en-US"/>
        </w:rPr>
        <w:tab/>
        <w:t>In terms of geospatial modelling, three main categories exist</w:t>
      </w:r>
      <w:r w:rsidR="00424D01" w:rsidRPr="00A2572A">
        <w:rPr>
          <w:lang w:val="en-US"/>
        </w:rPr>
        <w:t xml:space="preserve">. </w:t>
      </w:r>
      <w:r w:rsidR="003037F3" w:rsidRPr="00A2572A">
        <w:rPr>
          <w:lang w:val="en-US"/>
        </w:rPr>
        <w:t xml:space="preserve">First there are the variety of spatial models which treat </w:t>
      </w:r>
    </w:p>
    <w:p w14:paraId="11E97CD2" w14:textId="0CEB61E9" w:rsidR="00863F15" w:rsidRPr="001E6D66" w:rsidRDefault="00AF2371" w:rsidP="00A00307">
      <w:pPr>
        <w:rPr>
          <w:color w:val="000000" w:themeColor="text1"/>
          <w:lang w:val="en-US"/>
        </w:rPr>
      </w:pPr>
      <w:r w:rsidRPr="001E6D66">
        <w:rPr>
          <w:color w:val="000000" w:themeColor="text1"/>
          <w:lang w:val="en-US"/>
        </w:rPr>
        <w:t>In terms of software for implementing the models, advances in computing over the past three decades has enabled Bayesian</w:t>
      </w:r>
      <w:r w:rsidR="00101AAE" w:rsidRPr="001E6D66">
        <w:rPr>
          <w:color w:val="000000" w:themeColor="text1"/>
          <w:lang w:val="en-US"/>
        </w:rPr>
        <w:t xml:space="preserve"> statistical inference to become more commonplace in medical and public health research. In the 1990s, BUGS, developed in part by Nickie Best at Imperial Colle</w:t>
      </w:r>
      <w:r w:rsidR="000A0BD8">
        <w:rPr>
          <w:color w:val="000000" w:themeColor="text1"/>
          <w:lang w:val="en-US"/>
        </w:rPr>
        <w:t>g</w:t>
      </w:r>
      <w:r w:rsidR="00101AAE" w:rsidRPr="001E6D66">
        <w:rPr>
          <w:color w:val="000000" w:themeColor="text1"/>
          <w:lang w:val="en-US"/>
        </w:rPr>
        <w:t>e London [ref]. STAN is an update on this method, where [[[explanation of method]]].</w:t>
      </w:r>
    </w:p>
    <w:p w14:paraId="4BCCEA46" w14:textId="6B008C14" w:rsidR="00863F15" w:rsidRPr="001E6D66" w:rsidRDefault="006876F2" w:rsidP="00A00307">
      <w:pPr>
        <w:rPr>
          <w:color w:val="000000" w:themeColor="text1"/>
          <w:lang w:val="en-US"/>
        </w:rPr>
      </w:pPr>
      <w:r w:rsidRPr="001E6D66">
        <w:rPr>
          <w:color w:val="000000" w:themeColor="text1"/>
          <w:lang w:val="en-US"/>
        </w:rPr>
        <w:t xml:space="preserve">Integrated nested Laplace approximation (INLA), using the R-INLA software, which offers orders of magnitude of computational efficiency improvement in Bayesian inference compared to traditional </w:t>
      </w:r>
      <w:r w:rsidR="00081296" w:rsidRPr="001E6D66">
        <w:rPr>
          <w:color w:val="000000" w:themeColor="text1"/>
          <w:lang w:val="en-US"/>
        </w:rPr>
        <w:t>Markov Chain Monte Carlo (</w:t>
      </w:r>
      <w:r w:rsidRPr="001E6D66">
        <w:rPr>
          <w:color w:val="000000" w:themeColor="text1"/>
          <w:lang w:val="en-US"/>
        </w:rPr>
        <w:t>MCMC</w:t>
      </w:r>
      <w:r w:rsidR="00081296" w:rsidRPr="001E6D66">
        <w:rPr>
          <w:color w:val="000000" w:themeColor="text1"/>
          <w:lang w:val="en-US"/>
        </w:rPr>
        <w:t>)</w:t>
      </w:r>
      <w:r w:rsidRPr="001E6D66">
        <w:rPr>
          <w:color w:val="000000" w:themeColor="text1"/>
          <w:lang w:val="en-US"/>
        </w:rPr>
        <w:t xml:space="preserve"> for latent Gaussian models</w:t>
      </w:r>
      <w:r w:rsidR="001A3453">
        <w:rPr>
          <w:color w:val="000000" w:themeColor="text1"/>
          <w:lang w:val="en-US"/>
        </w:rPr>
        <w:t xml:space="preserve"> </w:t>
      </w:r>
      <w:r w:rsidRPr="001E6D66">
        <w:fldChar w:fldCharType="begin" w:fldLock="1"/>
      </w:r>
      <w:r w:rsidR="00170EAB">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Pr="001E6D66">
        <w:rPr>
          <w:color w:val="000000" w:themeColor="text1"/>
          <w:lang w:val="en-US"/>
        </w:rPr>
        <w:fldChar w:fldCharType="separate"/>
      </w:r>
      <w:r w:rsidR="006B7E8C" w:rsidRPr="006B7E8C">
        <w:rPr>
          <w:noProof/>
          <w:color w:val="000000" w:themeColor="text1"/>
          <w:lang w:val="en-US"/>
        </w:rPr>
        <w:t>(Rue, Martino, &amp; Chopin, 2009)</w:t>
      </w:r>
      <w:r w:rsidRPr="001E6D66">
        <w:fldChar w:fldCharType="end"/>
      </w:r>
      <w:r w:rsidRPr="001E6D66">
        <w:rPr>
          <w:color w:val="000000" w:themeColor="text1"/>
          <w:lang w:val="en-US"/>
        </w:rPr>
        <w:t>.</w:t>
      </w:r>
    </w:p>
    <w:p w14:paraId="13FAD43C" w14:textId="77777777" w:rsidR="00A80221" w:rsidRDefault="00A80221" w:rsidP="00A80221">
      <w:pPr>
        <w:pStyle w:val="Heading2"/>
      </w:pPr>
      <w:bookmarkStart w:id="8" w:name="_Toc8312169"/>
      <w:r>
        <w:t>T</w:t>
      </w:r>
      <w:r w:rsidRPr="00306A2A">
        <w:t>emperature</w:t>
      </w:r>
      <w:r>
        <w:t xml:space="preserve"> and climate change</w:t>
      </w:r>
      <w:bookmarkEnd w:id="8"/>
      <w:r>
        <w:t xml:space="preserve"> </w:t>
      </w:r>
    </w:p>
    <w:p w14:paraId="18ACB50D" w14:textId="77777777" w:rsidR="00A80221" w:rsidRPr="00E03E8F" w:rsidRDefault="00A80221" w:rsidP="00A80221">
      <w:pPr>
        <w:spacing w:after="0"/>
        <w:jc w:val="left"/>
        <w:rPr>
          <w:rFonts w:eastAsia="Times New Roman" w:cs="Times New Roman"/>
          <w:szCs w:val="24"/>
          <w:lang w:eastAsia="en-US"/>
        </w:rPr>
      </w:pPr>
      <w:r>
        <w:rPr>
          <w:rFonts w:eastAsia="Times New Roman" w:cs="Times New Roman"/>
          <w:szCs w:val="24"/>
          <w:lang w:eastAsia="en-US"/>
        </w:rPr>
        <w:t>Refer to ‘</w:t>
      </w:r>
      <w:r w:rsidRPr="00A57D9B">
        <w:rPr>
          <w:rFonts w:eastAsia="Times New Roman" w:cs="Times New Roman"/>
          <w:szCs w:val="24"/>
          <w:lang w:eastAsia="en-US"/>
        </w:rPr>
        <w:t>Rising Temperatures, Human Health, and the Role of Adaptation</w:t>
      </w:r>
      <w:r>
        <w:rPr>
          <w:rFonts w:eastAsia="Times New Roman" w:cs="Times New Roman"/>
          <w:szCs w:val="24"/>
          <w:lang w:eastAsia="en-US"/>
        </w:rPr>
        <w:t>’</w:t>
      </w:r>
    </w:p>
    <w:p w14:paraId="34AA707E" w14:textId="77777777" w:rsidR="00A80221" w:rsidRPr="002A08CC" w:rsidRDefault="00A80221" w:rsidP="00A80221">
      <w:pPr>
        <w:rPr>
          <w:szCs w:val="24"/>
        </w:rPr>
      </w:pPr>
      <w:r w:rsidRPr="002A08CC">
        <w:lastRenderedPageBreak/>
        <w:tab/>
      </w:r>
      <w:r w:rsidRPr="002A08CC">
        <w:rPr>
          <w:szCs w:val="24"/>
        </w:rPr>
        <w:t xml:space="preserve">Temperature data is also essential to an assessment of the impact of anomalous temperature. Tree rings and ice cores can give an accurate indirect reading of the temperature of the earth thousands and hundreds of thousands of years back. [ref] Direct records, however, began more recently. In the UK, direct temperature records began in the middle of the 1800s and continue uninterrupted to the present day. [ref] Temperature records in the United States go back to 1895 in some areas </w:t>
      </w:r>
      <w:r w:rsidRPr="002A08CC">
        <w:rPr>
          <w:szCs w:val="24"/>
        </w:rPr>
        <w:fldChar w:fldCharType="begin" w:fldLock="1"/>
      </w:r>
      <w:r w:rsidRPr="002A08CC">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divisions","type":"article-journal"},"uris":["http://www.mendeley.com/documents/?uuid=142a04b3-7852-4378-b62c-15971c5574e4"]}],"mendeley":{"formattedCitation":"(Vose et al., 2014)","plainTextFormattedCitation":"(Vose et al., 2014)","previouslyFormattedCitation":"(Vose et al., 2014)"},"properties":{"noteIndex":0},"schema":"https://github.com/citation-style-language/schema/raw/master/csl-citation.json"}</w:instrText>
      </w:r>
      <w:r w:rsidRPr="002A08CC">
        <w:rPr>
          <w:szCs w:val="24"/>
        </w:rPr>
        <w:fldChar w:fldCharType="separate"/>
      </w:r>
      <w:r w:rsidRPr="002A08CC">
        <w:rPr>
          <w:noProof/>
          <w:szCs w:val="24"/>
        </w:rPr>
        <w:t>(Vose et al., 2014)</w:t>
      </w:r>
      <w:r w:rsidRPr="002A08CC">
        <w:rPr>
          <w:szCs w:val="24"/>
        </w:rPr>
        <w:fldChar w:fldCharType="end"/>
      </w:r>
      <w:r w:rsidRPr="002A08CC">
        <w:rPr>
          <w:szCs w:val="24"/>
        </w:rPr>
        <w:t xml:space="preserve">. Land-based weather stations in the United States are widespread </w:t>
      </w:r>
      <w:r w:rsidRPr="002A08CC">
        <w:rPr>
          <w:szCs w:val="24"/>
        </w:rPr>
        <w:fldChar w:fldCharType="begin" w:fldLock="1"/>
      </w:r>
      <w:r w:rsidRPr="002A08CC">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Stations","type":"webpage"},"uris":["http://www.mendeley.com/documents/?uuid=003ddfd2-c3a1-46d6-bd06-b3fc24d6b12f"]}],"mendeley":{"formattedCitation":"(NOAA, 2014)","plainTextFormattedCitation":"(NOAA, 2014)","previouslyFormattedCitation":"(NOAA, 2014)"},"properties":{"noteIndex":0},"schema":"https://github.com/citation-style-language/schema/raw/master/csl-citation.json"}</w:instrText>
      </w:r>
      <w:r w:rsidRPr="002A08CC">
        <w:rPr>
          <w:szCs w:val="24"/>
        </w:rPr>
        <w:fldChar w:fldCharType="separate"/>
      </w:r>
      <w:r w:rsidRPr="002A08CC">
        <w:rPr>
          <w:noProof/>
          <w:szCs w:val="24"/>
        </w:rPr>
        <w:t>(NOAA, 2014)</w:t>
      </w:r>
      <w:r w:rsidRPr="002A08CC">
        <w:rPr>
          <w:szCs w:val="24"/>
        </w:rPr>
        <w:fldChar w:fldCharType="end"/>
      </w:r>
      <w:r w:rsidRPr="002A08CC">
        <w:rPr>
          <w:szCs w:val="24"/>
        </w:rPr>
        <w:t xml:space="preserve">. However, functionality of weather stations is unreliable without pause throughout time, and coverage is at times sparse outside of major metropolitan areas. As such, for national a climate risk assessment, including beyond areas with good weather station coverage, requires an augmented method. ERA-Interim, which combines predictions from a physical model with ground-based and satellite measurements, provides worldwide uninterrupted coverage of an exhaustive list climate variables </w:t>
      </w:r>
      <w:r w:rsidRPr="002A08CC">
        <w:rPr>
          <w:szCs w:val="24"/>
        </w:rPr>
        <w:fldChar w:fldCharType="begin" w:fldLock="1"/>
      </w:r>
      <w:r w:rsidRPr="002A08CC">
        <w:rPr>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2A08CC">
        <w:rPr>
          <w:szCs w:val="24"/>
        </w:rPr>
        <w:fldChar w:fldCharType="separate"/>
      </w:r>
      <w:r w:rsidRPr="002A08CC">
        <w:rPr>
          <w:noProof/>
          <w:szCs w:val="24"/>
        </w:rPr>
        <w:t>(Dee et al., 2011)</w:t>
      </w:r>
      <w:r w:rsidRPr="002A08CC">
        <w:rPr>
          <w:szCs w:val="24"/>
        </w:rPr>
        <w:fldChar w:fldCharType="end"/>
      </w:r>
      <w:r w:rsidRPr="002A08CC">
        <w:rPr>
          <w:szCs w:val="24"/>
        </w:rPr>
        <w:t>.</w:t>
      </w:r>
    </w:p>
    <w:p w14:paraId="09AA512B" w14:textId="77777777" w:rsidR="00A80221" w:rsidRPr="00A60C11" w:rsidRDefault="00A80221" w:rsidP="00A80221">
      <w:pPr>
        <w:ind w:firstLine="720"/>
        <w:rPr>
          <w:szCs w:val="24"/>
        </w:rPr>
      </w:pPr>
      <w:r w:rsidRPr="00A60C11">
        <w:rPr>
          <w:szCs w:val="24"/>
        </w:rPr>
        <w:t>A heat wave, or an extended period of elevated temperatures, has no standardized definition. The World Meteorological Organization (WMO) guidance defines a heat wave as ‘a marked unusual hot weather (max, min and daily average) over a region persisting at least two consecutive days during the hot period of the year based on local climatological conditions, with thermal conditions recorded above given thresholds’</w:t>
      </w:r>
      <w:r>
        <w:rPr>
          <w:szCs w:val="24"/>
        </w:rPr>
        <w:t xml:space="preserve"> </w:t>
      </w:r>
      <w:r w:rsidRPr="00A60C11">
        <w:rPr>
          <w:szCs w:val="24"/>
        </w:rPr>
        <w:fldChar w:fldCharType="begin" w:fldLock="1"/>
      </w:r>
      <w:r>
        <w:rPr>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Events","type":"article-journal"},"uris":["http://www.mendeley.com/documents/?uuid=04c70cba-0af5-49a5-850e-e20df858b42a"]}],"mendeley":{"formattedCitation":"(WMO, 2016)","plainTextFormattedCitation":"(WMO, 2016)","previouslyFormattedCitation":"(WMO, 2016)"},"properties":{"noteIndex":0},"schema":"https://github.com/citation-style-language/schema/raw/master/csl-citation.json"}</w:instrText>
      </w:r>
      <w:r w:rsidRPr="00A60C11">
        <w:rPr>
          <w:szCs w:val="24"/>
        </w:rPr>
        <w:fldChar w:fldCharType="separate"/>
      </w:r>
      <w:r w:rsidRPr="006B7E8C">
        <w:rPr>
          <w:noProof/>
          <w:szCs w:val="24"/>
        </w:rPr>
        <w:t>(WMO, 2016)</w:t>
      </w:r>
      <w:r w:rsidRPr="00A60C11">
        <w:rPr>
          <w:szCs w:val="24"/>
        </w:rPr>
        <w:fldChar w:fldCharType="end"/>
      </w:r>
      <w:r>
        <w:rPr>
          <w:szCs w:val="24"/>
        </w:rPr>
        <w:t>.</w:t>
      </w:r>
      <w:r w:rsidRPr="00A60C11">
        <w:rPr>
          <w:szCs w:val="24"/>
        </w:rPr>
        <w:t xml:space="preserve"> Some other definitions, for example, will define a heat wave by a set of days over an absolute threshold, rather than a relative (e.g., percentile-based) threshold. Some research and guidance </w:t>
      </w:r>
      <w:proofErr w:type="gramStart"/>
      <w:r w:rsidRPr="00A60C11">
        <w:rPr>
          <w:szCs w:val="24"/>
        </w:rPr>
        <w:t>recommends</w:t>
      </w:r>
      <w:proofErr w:type="gramEnd"/>
      <w:r w:rsidRPr="00A60C11">
        <w:rPr>
          <w:szCs w:val="24"/>
        </w:rPr>
        <w:t xml:space="preserve"> that heat waves can compound the deadly effect of heat stress by the fact that the elevated temperatures are over consecutive days. [ref]</w:t>
      </w:r>
    </w:p>
    <w:p w14:paraId="65F8855B" w14:textId="77777777" w:rsidR="00A80221" w:rsidRPr="00A60C11" w:rsidRDefault="00A80221" w:rsidP="00A80221">
      <w:pPr>
        <w:rPr>
          <w:szCs w:val="24"/>
        </w:rPr>
      </w:pPr>
      <w:r>
        <w:rPr>
          <w:szCs w:val="24"/>
        </w:rPr>
        <w:tab/>
      </w:r>
      <w:r w:rsidRPr="00A60C11">
        <w:rPr>
          <w:szCs w:val="24"/>
        </w:rPr>
        <w:t xml:space="preserve">However, studies have shown a lack of consistency over the value of examining heat waves as a modifier to the deadly effect of heat stress, finding, for example, that the total risk </w:t>
      </w:r>
      <w:r w:rsidRPr="00A60C11">
        <w:rPr>
          <w:szCs w:val="24"/>
        </w:rPr>
        <w:lastRenderedPageBreak/>
        <w:t>of consecutive days of elevated temperature is very similar to summarizing the independent effects of individual days’ temperatures</w:t>
      </w:r>
      <w:r>
        <w:rPr>
          <w:szCs w:val="24"/>
        </w:rPr>
        <w:t xml:space="preserve"> </w:t>
      </w:r>
      <w:r w:rsidRPr="00A60C11">
        <w:rPr>
          <w:szCs w:val="24"/>
        </w:rPr>
        <w:fldChar w:fldCharType="begin" w:fldLock="1"/>
      </w:r>
      <w:r>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mortality.","type":"article-journal"},"uris":["http://www.mendeley.com/documents/?uuid=fefd436d-ae7a-4776-90ca-96230e67f6b4"]}],"mendeley":{"formattedCitation":"(A Gasparrini &amp; Armstrong, 2011)","plainTextFormattedCitation":"(A Gasparrini &amp; Armstrong, 2011)","previouslyFormattedCitation":"(A Gasparrini &amp; Armstrong, 2011)"},"properties":{"noteIndex":0},"schema":"https://github.com/citation-style-language/schema/raw/master/csl-citation.json"}</w:instrText>
      </w:r>
      <w:r w:rsidRPr="00A60C11">
        <w:rPr>
          <w:szCs w:val="24"/>
        </w:rPr>
        <w:fldChar w:fldCharType="separate"/>
      </w:r>
      <w:r w:rsidRPr="006B7E8C">
        <w:rPr>
          <w:noProof/>
          <w:szCs w:val="24"/>
        </w:rPr>
        <w:t>(A Gasparrini &amp; Armstrong, 2011)</w:t>
      </w:r>
      <w:r w:rsidRPr="00A60C11">
        <w:rPr>
          <w:szCs w:val="24"/>
        </w:rPr>
        <w:fldChar w:fldCharType="end"/>
      </w:r>
      <w:r>
        <w:rPr>
          <w:szCs w:val="24"/>
        </w:rPr>
        <w:t>.</w:t>
      </w:r>
      <w:r w:rsidRPr="00A60C11">
        <w:rPr>
          <w:szCs w:val="24"/>
        </w:rPr>
        <w:t xml:space="preserve"> </w:t>
      </w:r>
    </w:p>
    <w:p w14:paraId="0A20F0BE" w14:textId="77777777" w:rsidR="00A80221" w:rsidRPr="00A60C11" w:rsidRDefault="00A80221" w:rsidP="00A80221">
      <w:pPr>
        <w:rPr>
          <w:szCs w:val="24"/>
        </w:rPr>
      </w:pPr>
      <w:r w:rsidRPr="00A60C11">
        <w:rPr>
          <w:szCs w:val="24"/>
        </w:rPr>
        <w:tab/>
        <w:t>Furthermore, previous work has examined single or multi-day episodes. [ref] Less work has looked at how deviations in temperature over a longer period, such as a month, result in outcomes for mortality. [ref]</w:t>
      </w:r>
    </w:p>
    <w:p w14:paraId="2CC06617" w14:textId="77777777" w:rsidR="00A80221" w:rsidRPr="00A60C11" w:rsidRDefault="00A80221" w:rsidP="00A80221">
      <w:pPr>
        <w:rPr>
          <w:color w:val="000000" w:themeColor="text1"/>
          <w:szCs w:val="24"/>
        </w:rPr>
      </w:pPr>
      <w:r w:rsidRPr="00A60C11">
        <w:rPr>
          <w:szCs w:val="24"/>
        </w:rPr>
        <w:tab/>
      </w:r>
      <w:r w:rsidRPr="00A60C11">
        <w:rPr>
          <w:color w:val="000000" w:themeColor="text1"/>
          <w:szCs w:val="24"/>
        </w:rPr>
        <w:t>Climate change, however, will fundamentally modify weather compared to long-term experiences, and hence change seasonal weather patterns, which can disrupt long-term adaptation. To overcome this gap requires data on temperature and health in a large number of places over a long period of time, and methodology that uses these data to understand how deviations from long-term norm weather may impact population health.</w:t>
      </w:r>
    </w:p>
    <w:p w14:paraId="6C195B9E" w14:textId="11441D22" w:rsidR="00A80221" w:rsidRDefault="004A7EFA" w:rsidP="00A80221">
      <w:bookmarkStart w:id="9" w:name="_Toc7079045"/>
      <w:r>
        <w:t>[[[</w:t>
      </w:r>
      <w:r w:rsidR="00A80221">
        <w:t>Temperature trends in the United States</w:t>
      </w:r>
      <w:bookmarkEnd w:id="9"/>
      <w:r>
        <w:t>]]]</w:t>
      </w:r>
    </w:p>
    <w:p w14:paraId="45FAC855" w14:textId="77777777" w:rsidR="00E76643" w:rsidRPr="00522FCC" w:rsidRDefault="00E76643" w:rsidP="00E76643">
      <w:pPr>
        <w:pStyle w:val="Heading2"/>
      </w:pPr>
      <w:bookmarkStart w:id="10" w:name="_Toc7079055"/>
      <w:bookmarkStart w:id="11" w:name="_Toc8312170"/>
      <w:r>
        <w:t>From research to action: The Global Heat Health Information Network</w:t>
      </w:r>
      <w:bookmarkEnd w:id="10"/>
      <w:bookmarkEnd w:id="11"/>
    </w:p>
    <w:p w14:paraId="40E4355A" w14:textId="77777777" w:rsidR="00E76643" w:rsidRPr="001E6D66" w:rsidRDefault="00E76643" w:rsidP="00E76643">
      <w:pPr>
        <w:rPr>
          <w:szCs w:val="24"/>
        </w:rPr>
      </w:pPr>
      <w:r>
        <w:rPr>
          <w:szCs w:val="24"/>
        </w:rPr>
        <w:tab/>
      </w:r>
      <w:r w:rsidRPr="001E6D66">
        <w:rPr>
          <w:szCs w:val="24"/>
        </w:rPr>
        <w:t xml:space="preserve">The scientific community have long recognised the importance of implementing the knowledge gained from their research into shaping policy. This is especially urgent in the context of climate change and the potential for heat to cause changes in health outcomes globally. Heat health is the state of a human’s health during periods of heat stress.   </w:t>
      </w:r>
    </w:p>
    <w:p w14:paraId="0DDF9AAF" w14:textId="77777777" w:rsidR="00E76643" w:rsidRPr="001E6D66" w:rsidRDefault="00E76643" w:rsidP="00E76643">
      <w:pPr>
        <w:rPr>
          <w:szCs w:val="24"/>
        </w:rPr>
      </w:pPr>
      <w:r w:rsidRPr="001E6D66">
        <w:rPr>
          <w:szCs w:val="24"/>
        </w:rPr>
        <w:tab/>
        <w:t>There are many good examples of building heat resilience, especially in the summer months. One excellent example is the Ahmedabad heat health action plan, active in Ahmedabad, India, where the measures invoked included [[[some special but easy techniques]]]</w:t>
      </w:r>
    </w:p>
    <w:p w14:paraId="0475408A" w14:textId="2A9B21DB" w:rsidR="00A80221" w:rsidRPr="001E6D66" w:rsidRDefault="00E76643" w:rsidP="56D10C38">
      <w:pPr>
        <w:rPr>
          <w:szCs w:val="24"/>
        </w:rPr>
      </w:pPr>
      <w:r w:rsidRPr="001E6D66">
        <w:rPr>
          <w:szCs w:val="24"/>
        </w:rPr>
        <w:lastRenderedPageBreak/>
        <w:tab/>
        <w:t>In the summer of 2017, I spent three months interning at the World Meteorological Organization (WMO), working with Joy Shumake-Guillemot. There, I was a founding member of the Global Heat Health Information Network (GHHIN)</w:t>
      </w:r>
    </w:p>
    <w:p w14:paraId="342E0FA9" w14:textId="1E4C1521" w:rsidR="00C817A6" w:rsidRPr="001174F6" w:rsidRDefault="007C719B" w:rsidP="56D10C38">
      <w:pPr>
        <w:pStyle w:val="Heading2"/>
        <w:rPr>
          <w:szCs w:val="24"/>
        </w:rPr>
      </w:pPr>
      <w:bookmarkStart w:id="12" w:name="_Toc7079056"/>
      <w:bookmarkStart w:id="13" w:name="_Toc8312171"/>
      <w:r w:rsidRPr="56D10C38">
        <w:t>Summary</w:t>
      </w:r>
      <w:bookmarkEnd w:id="12"/>
      <w:bookmarkEnd w:id="13"/>
    </w:p>
    <w:p w14:paraId="42663AFD" w14:textId="07A705FD" w:rsidR="00E22A79" w:rsidRDefault="001A3453" w:rsidP="00E22A79">
      <w:r w:rsidRPr="00E22A79">
        <w:rPr>
          <w:szCs w:val="24"/>
        </w:rPr>
        <w:t>No previous has examined the impact of anomalous temperature and mortality from a collectively exhaustive, mutually exclusive set of causes by age group and sex.</w:t>
      </w:r>
      <w:r w:rsidR="00615594">
        <w:t xml:space="preserve"> </w:t>
      </w:r>
    </w:p>
    <w:p w14:paraId="45647AA7" w14:textId="6C42B6F5" w:rsidR="000210D1" w:rsidRPr="00465FE6" w:rsidRDefault="00C817A6" w:rsidP="00522FCC">
      <w:pPr>
        <w:pStyle w:val="Heading1"/>
        <w:numPr>
          <w:ilvl w:val="0"/>
          <w:numId w:val="0"/>
        </w:numPr>
        <w:rPr>
          <w:color w:val="000000" w:themeColor="text1"/>
        </w:rPr>
      </w:pPr>
      <w:r w:rsidRPr="007C719B">
        <w:br w:type="page"/>
      </w:r>
      <w:bookmarkStart w:id="14" w:name="_Toc8312172"/>
      <w:r w:rsidR="00522FCC">
        <w:lastRenderedPageBreak/>
        <w:t>Works cited</w:t>
      </w:r>
      <w:bookmarkEnd w:id="14"/>
    </w:p>
    <w:p w14:paraId="23072543" w14:textId="1D13956F" w:rsidR="008B63F8" w:rsidRPr="008B63F8" w:rsidRDefault="00A55581" w:rsidP="008B63F8">
      <w:pPr>
        <w:widowControl w:val="0"/>
        <w:autoSpaceDE w:val="0"/>
        <w:autoSpaceDN w:val="0"/>
        <w:adjustRightInd w:val="0"/>
        <w:spacing w:line="240" w:lineRule="auto"/>
        <w:ind w:left="480" w:hanging="480"/>
        <w:rPr>
          <w:rFonts w:cs="Times New Roman"/>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8B63F8" w:rsidRPr="008B63F8">
        <w:rPr>
          <w:rFonts w:cs="Times New Roman"/>
          <w:noProof/>
          <w:lang w:val="en-US"/>
        </w:rPr>
        <w:t xml:space="preserve">Anderson, B. G., &amp; Bell, M. L. (2009). Weather-related mortality: how heat, cold, and heat waves affect mortality in the United States. </w:t>
      </w:r>
      <w:r w:rsidR="008B63F8" w:rsidRPr="008B63F8">
        <w:rPr>
          <w:rFonts w:cs="Times New Roman"/>
          <w:i/>
          <w:iCs/>
          <w:noProof/>
          <w:lang w:val="en-US"/>
        </w:rPr>
        <w:t>Epidemiology (Cambridge, Mass.)</w:t>
      </w:r>
      <w:r w:rsidR="008B63F8" w:rsidRPr="008B63F8">
        <w:rPr>
          <w:rFonts w:cs="Times New Roman"/>
          <w:noProof/>
          <w:lang w:val="en-US"/>
        </w:rPr>
        <w:t xml:space="preserve">, </w:t>
      </w:r>
      <w:r w:rsidR="008B63F8" w:rsidRPr="008B63F8">
        <w:rPr>
          <w:rFonts w:cs="Times New Roman"/>
          <w:i/>
          <w:iCs/>
          <w:noProof/>
          <w:lang w:val="en-US"/>
        </w:rPr>
        <w:t>20</w:t>
      </w:r>
      <w:r w:rsidR="008B63F8" w:rsidRPr="008B63F8">
        <w:rPr>
          <w:rFonts w:cs="Times New Roman"/>
          <w:noProof/>
          <w:lang w:val="en-US"/>
        </w:rPr>
        <w:t>(2), 205. https://doi.org/10.1097/EDE.0b013e318190ee08</w:t>
      </w:r>
    </w:p>
    <w:p w14:paraId="642D3089"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Basu, R. (2009). High ambient temperature and mortality: A review of epidemiologic studies from 2001 to 2008. </w:t>
      </w:r>
      <w:r w:rsidRPr="008B63F8">
        <w:rPr>
          <w:rFonts w:cs="Times New Roman"/>
          <w:i/>
          <w:iCs/>
          <w:noProof/>
          <w:lang w:val="en-US"/>
        </w:rPr>
        <w:t>Environmental Health: A Global Access Science Source</w:t>
      </w:r>
      <w:r w:rsidRPr="008B63F8">
        <w:rPr>
          <w:rFonts w:cs="Times New Roman"/>
          <w:noProof/>
          <w:lang w:val="en-US"/>
        </w:rPr>
        <w:t xml:space="preserve">, </w:t>
      </w:r>
      <w:r w:rsidRPr="008B63F8">
        <w:rPr>
          <w:rFonts w:cs="Times New Roman"/>
          <w:i/>
          <w:iCs/>
          <w:noProof/>
          <w:lang w:val="en-US"/>
        </w:rPr>
        <w:t>8</w:t>
      </w:r>
      <w:r w:rsidRPr="008B63F8">
        <w:rPr>
          <w:rFonts w:cs="Times New Roman"/>
          <w:noProof/>
          <w:lang w:val="en-US"/>
        </w:rPr>
        <w:t>(1), 40. https://doi.org/10.1186/1476-069X-8-40</w:t>
      </w:r>
    </w:p>
    <w:p w14:paraId="34ABF6A0"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Basu, R., &amp; Samet, J. M. (2002). Relation between elevated ambient temperature and mortality: A review of the epidemiologic evidence. </w:t>
      </w:r>
      <w:r w:rsidRPr="008B63F8">
        <w:rPr>
          <w:rFonts w:cs="Times New Roman"/>
          <w:i/>
          <w:iCs/>
          <w:noProof/>
          <w:lang w:val="en-US"/>
        </w:rPr>
        <w:t>Epidemiologic Reviews</w:t>
      </w:r>
      <w:r w:rsidRPr="008B63F8">
        <w:rPr>
          <w:rFonts w:cs="Times New Roman"/>
          <w:noProof/>
          <w:lang w:val="en-US"/>
        </w:rPr>
        <w:t>. https://doi.org/10.1093/epirev/mxf007</w:t>
      </w:r>
    </w:p>
    <w:p w14:paraId="44211F75"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Bennett, J. E., Blangiardo, M., Fecht, D., Elliott, P., &amp; Ezzati, M. (2014). Vulnerability to the mortality effects of warm temperature in the districts of England and Wales. </w:t>
      </w:r>
      <w:r w:rsidRPr="008B63F8">
        <w:rPr>
          <w:rFonts w:cs="Times New Roman"/>
          <w:i/>
          <w:iCs/>
          <w:noProof/>
          <w:lang w:val="en-US"/>
        </w:rPr>
        <w:t>Nature Climate Change</w:t>
      </w:r>
      <w:r w:rsidRPr="008B63F8">
        <w:rPr>
          <w:rFonts w:cs="Times New Roman"/>
          <w:noProof/>
          <w:lang w:val="en-US"/>
        </w:rPr>
        <w:t xml:space="preserve">, </w:t>
      </w:r>
      <w:r w:rsidRPr="008B63F8">
        <w:rPr>
          <w:rFonts w:cs="Times New Roman"/>
          <w:i/>
          <w:iCs/>
          <w:noProof/>
          <w:lang w:val="en-US"/>
        </w:rPr>
        <w:t>4</w:t>
      </w:r>
      <w:r w:rsidRPr="008B63F8">
        <w:rPr>
          <w:rFonts w:cs="Times New Roman"/>
          <w:noProof/>
          <w:lang w:val="en-US"/>
        </w:rPr>
        <w:t>(4), 269–273. https://doi.org/10.1038/nclimate2123</w:t>
      </w:r>
    </w:p>
    <w:p w14:paraId="45C0A259"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Borden, K. A., &amp; Cutter, S. L. (2008). Spatial patterns of natural hazards mortality in the United States. </w:t>
      </w:r>
      <w:r w:rsidRPr="008B63F8">
        <w:rPr>
          <w:rFonts w:cs="Times New Roman"/>
          <w:i/>
          <w:iCs/>
          <w:noProof/>
          <w:lang w:val="en-US"/>
        </w:rPr>
        <w:t>International Journal of Health Geographics</w:t>
      </w:r>
      <w:r w:rsidRPr="008B63F8">
        <w:rPr>
          <w:rFonts w:cs="Times New Roman"/>
          <w:noProof/>
          <w:lang w:val="en-US"/>
        </w:rPr>
        <w:t>. https://doi.org/10.1186/1476-072X-7-64</w:t>
      </w:r>
    </w:p>
    <w:p w14:paraId="0A20F7D1"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Brooke Anderson, G., &amp; Bell, M. L. (2011). Heat waves in the United States: Mortality risk during heat waves and effect modification by heat wave characteristics in 43 U.S. communities. </w:t>
      </w:r>
      <w:r w:rsidRPr="008B63F8">
        <w:rPr>
          <w:rFonts w:cs="Times New Roman"/>
          <w:i/>
          <w:iCs/>
          <w:noProof/>
          <w:lang w:val="en-US"/>
        </w:rPr>
        <w:t>Environmental Health Perspectives</w:t>
      </w:r>
      <w:r w:rsidRPr="008B63F8">
        <w:rPr>
          <w:rFonts w:cs="Times New Roman"/>
          <w:noProof/>
          <w:lang w:val="en-US"/>
        </w:rPr>
        <w:t>. https://doi.org/10.1289/ehp.1002313</w:t>
      </w:r>
    </w:p>
    <w:p w14:paraId="2DCFCB58"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Brown, G., Fearn, V., &amp; Wells, C. (2010). Exploratory analysis of seasonal mortality in England and Wales, 1998 to 2007. </w:t>
      </w:r>
      <w:r w:rsidRPr="008B63F8">
        <w:rPr>
          <w:rFonts w:cs="Times New Roman"/>
          <w:i/>
          <w:iCs/>
          <w:noProof/>
          <w:lang w:val="en-US"/>
        </w:rPr>
        <w:t>Health Statistics Quarterly</w:t>
      </w:r>
      <w:r w:rsidRPr="008B63F8">
        <w:rPr>
          <w:rFonts w:cs="Times New Roman"/>
          <w:noProof/>
          <w:lang w:val="en-US"/>
        </w:rPr>
        <w:t>. https://doi.org/10.1057/hsq.2010.21</w:t>
      </w:r>
    </w:p>
    <w:p w14:paraId="17B8AE36"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Burke, M., González, F., Baylis, P., Heft-Neal, S., Baysan, C., Basu, S., &amp; Hsiang, S. (2018). Higher temperatures increase suicide rates in the United States and Mexico. </w:t>
      </w:r>
      <w:r w:rsidRPr="008B63F8">
        <w:rPr>
          <w:rFonts w:cs="Times New Roman"/>
          <w:i/>
          <w:iCs/>
          <w:noProof/>
          <w:lang w:val="en-US"/>
        </w:rPr>
        <w:t>Nature Climate Change</w:t>
      </w:r>
      <w:r w:rsidRPr="008B63F8">
        <w:rPr>
          <w:rFonts w:cs="Times New Roman"/>
          <w:noProof/>
          <w:lang w:val="en-US"/>
        </w:rPr>
        <w:t>. https://doi.org/10.1038/s41558-018-0222-x</w:t>
      </w:r>
    </w:p>
    <w:p w14:paraId="23000CC9"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Carmona, R., Díaz, J., Mirón, I. J., Ortiz, C., Luna, M. Y., &amp; Linares, C. (2016). Mortality attributable to extreme temperatures in Spain: A comparative analysis by city. </w:t>
      </w:r>
      <w:r w:rsidRPr="008B63F8">
        <w:rPr>
          <w:rFonts w:cs="Times New Roman"/>
          <w:i/>
          <w:iCs/>
          <w:noProof/>
          <w:lang w:val="en-US"/>
        </w:rPr>
        <w:t>Environment International</w:t>
      </w:r>
      <w:r w:rsidRPr="008B63F8">
        <w:rPr>
          <w:rFonts w:cs="Times New Roman"/>
          <w:noProof/>
          <w:lang w:val="en-US"/>
        </w:rPr>
        <w:t>. https://doi.org/10.1016/j.envint.2016.02.018</w:t>
      </w:r>
    </w:p>
    <w:p w14:paraId="53F73337"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Dee, D. P., Uppala, S. M., Simmons, A. J., Berrisford, P., Poli, P., Kobayashi, S., … Vitart, F. (2011). The ERA-Interim reanalysis: configuration and performance of the data assimilation system. </w:t>
      </w:r>
      <w:r w:rsidRPr="008B63F8">
        <w:rPr>
          <w:rFonts w:cs="Times New Roman"/>
          <w:i/>
          <w:iCs/>
          <w:noProof/>
          <w:lang w:val="en-US"/>
        </w:rPr>
        <w:t>Quarterly Journal of the Royal Meteorological Society</w:t>
      </w:r>
      <w:r w:rsidRPr="008B63F8">
        <w:rPr>
          <w:rFonts w:cs="Times New Roman"/>
          <w:noProof/>
          <w:lang w:val="en-US"/>
        </w:rPr>
        <w:t xml:space="preserve">, </w:t>
      </w:r>
      <w:r w:rsidRPr="008B63F8">
        <w:rPr>
          <w:rFonts w:cs="Times New Roman"/>
          <w:i/>
          <w:iCs/>
          <w:noProof/>
          <w:lang w:val="en-US"/>
        </w:rPr>
        <w:t>137</w:t>
      </w:r>
      <w:r w:rsidRPr="008B63F8">
        <w:rPr>
          <w:rFonts w:cs="Times New Roman"/>
          <w:noProof/>
          <w:lang w:val="en-US"/>
        </w:rPr>
        <w:t>(656), 553–597. https://doi.org/10.1002/qj.828</w:t>
      </w:r>
    </w:p>
    <w:p w14:paraId="4D74A7A9"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Department of Homeland Security. (2019). Extreme heat. Retrieved May 8, 2019, from https://www.ready.gov/heat</w:t>
      </w:r>
    </w:p>
    <w:p w14:paraId="0F50E0B4"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lastRenderedPageBreak/>
        <w:t xml:space="preserve">Feinstein, C. A. (2002). Seasonality of deaths in the US by age and cause. </w:t>
      </w:r>
      <w:r w:rsidRPr="008B63F8">
        <w:rPr>
          <w:rFonts w:cs="Times New Roman"/>
          <w:i/>
          <w:iCs/>
          <w:noProof/>
          <w:lang w:val="en-US"/>
        </w:rPr>
        <w:t>Demographic Research</w:t>
      </w:r>
      <w:r w:rsidRPr="008B63F8">
        <w:rPr>
          <w:rFonts w:cs="Times New Roman"/>
          <w:noProof/>
          <w:lang w:val="en-US"/>
        </w:rPr>
        <w:t xml:space="preserve">, </w:t>
      </w:r>
      <w:r w:rsidRPr="008B63F8">
        <w:rPr>
          <w:rFonts w:cs="Times New Roman"/>
          <w:i/>
          <w:iCs/>
          <w:noProof/>
          <w:lang w:val="en-US"/>
        </w:rPr>
        <w:t>6</w:t>
      </w:r>
      <w:r w:rsidRPr="008B63F8">
        <w:rPr>
          <w:rFonts w:cs="Times New Roman"/>
          <w:noProof/>
          <w:lang w:val="en-US"/>
        </w:rPr>
        <w:t>, 469–486. https://doi.org/10.4054/DemRes.2002.6.17</w:t>
      </w:r>
    </w:p>
    <w:p w14:paraId="2CC918DB"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Garcia-Herrera, R., Díaz, J., Trigo, R. M., Luterbacher, J., &amp; Fischer, E. M. (2010). A review of the european summer heat wave of 2003. </w:t>
      </w:r>
      <w:r w:rsidRPr="008B63F8">
        <w:rPr>
          <w:rFonts w:cs="Times New Roman"/>
          <w:i/>
          <w:iCs/>
          <w:noProof/>
          <w:lang w:val="en-US"/>
        </w:rPr>
        <w:t>Critical Reviews in Environmental Science and Technology</w:t>
      </w:r>
      <w:r w:rsidRPr="008B63F8">
        <w:rPr>
          <w:rFonts w:cs="Times New Roman"/>
          <w:noProof/>
          <w:lang w:val="en-US"/>
        </w:rPr>
        <w:t>. https://doi.org/10.1080/10643380802238137</w:t>
      </w:r>
    </w:p>
    <w:p w14:paraId="39CB5DA1"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Gasparrini, A., &amp; Armstrong, B. (2011). The impact of heat waves on mortality. </w:t>
      </w:r>
      <w:r w:rsidRPr="008B63F8">
        <w:rPr>
          <w:rFonts w:cs="Times New Roman"/>
          <w:i/>
          <w:iCs/>
          <w:noProof/>
          <w:lang w:val="en-US"/>
        </w:rPr>
        <w:t>Epidemiol</w:t>
      </w:r>
      <w:r w:rsidRPr="008B63F8">
        <w:rPr>
          <w:rFonts w:cs="Times New Roman"/>
          <w:noProof/>
          <w:lang w:val="en-US"/>
        </w:rPr>
        <w:t>. https://doi.org/10.1097/EDE.0b013e3181fdcd99</w:t>
      </w:r>
    </w:p>
    <w:p w14:paraId="49D3BBAF"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Gasparrini, A., Armstrong, B., Kovats, S., &amp; Wilkinson, P. (2012). The effect of high temperatures on cause-specific mortality in England and Wales. </w:t>
      </w:r>
      <w:r w:rsidRPr="008B63F8">
        <w:rPr>
          <w:rFonts w:cs="Times New Roman"/>
          <w:i/>
          <w:iCs/>
          <w:noProof/>
          <w:lang w:val="en-US"/>
        </w:rPr>
        <w:t>Occupational and Environmental Medicine</w:t>
      </w:r>
      <w:r w:rsidRPr="008B63F8">
        <w:rPr>
          <w:rFonts w:cs="Times New Roman"/>
          <w:noProof/>
          <w:lang w:val="en-US"/>
        </w:rPr>
        <w:t>. https://doi.org/10.1136/oem.2010.059782</w:t>
      </w:r>
    </w:p>
    <w:p w14:paraId="5AD40C61"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8B63F8">
        <w:rPr>
          <w:rFonts w:cs="Times New Roman"/>
          <w:i/>
          <w:iCs/>
          <w:noProof/>
          <w:lang w:val="en-US"/>
        </w:rPr>
        <w:t>The Lancet</w:t>
      </w:r>
      <w:r w:rsidRPr="008B63F8">
        <w:rPr>
          <w:rFonts w:cs="Times New Roman"/>
          <w:noProof/>
          <w:lang w:val="en-US"/>
        </w:rPr>
        <w:t xml:space="preserve">, </w:t>
      </w:r>
      <w:r w:rsidRPr="008B63F8">
        <w:rPr>
          <w:rFonts w:cs="Times New Roman"/>
          <w:i/>
          <w:iCs/>
          <w:noProof/>
          <w:lang w:val="en-US"/>
        </w:rPr>
        <w:t>386</w:t>
      </w:r>
      <w:r w:rsidRPr="008B63F8">
        <w:rPr>
          <w:rFonts w:cs="Times New Roman"/>
          <w:noProof/>
          <w:lang w:val="en-US"/>
        </w:rPr>
        <w:t>(9991), 369–375. https://doi.org/10.1016/S0140-6736(14)62114-0</w:t>
      </w:r>
    </w:p>
    <w:p w14:paraId="13EBBCFB"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Gemmell, I., McLoone, P., Boddy, F. A., Dickinson, G. J., &amp; Watt, G. C. M. (2000). Seasonal variation in mortality in Scotland. </w:t>
      </w:r>
      <w:r w:rsidRPr="008B63F8">
        <w:rPr>
          <w:rFonts w:cs="Times New Roman"/>
          <w:i/>
          <w:iCs/>
          <w:noProof/>
          <w:lang w:val="en-US"/>
        </w:rPr>
        <w:t>International Journal of Epidemiology</w:t>
      </w:r>
      <w:r w:rsidRPr="008B63F8">
        <w:rPr>
          <w:rFonts w:cs="Times New Roman"/>
          <w:noProof/>
          <w:lang w:val="en-US"/>
        </w:rPr>
        <w:t>. https://doi.org/10.1093/ije/29.2.274</w:t>
      </w:r>
    </w:p>
    <w:p w14:paraId="55BDB78F"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Great Britain. (1876). Weekly return of births and deaths in London and in other great towns. </w:t>
      </w:r>
      <w:r w:rsidRPr="008B63F8">
        <w:rPr>
          <w:rFonts w:cs="Times New Roman"/>
          <w:i/>
          <w:iCs/>
          <w:noProof/>
          <w:lang w:val="en-US"/>
        </w:rPr>
        <w:t>General Register Office</w:t>
      </w:r>
      <w:r w:rsidRPr="008B63F8">
        <w:rPr>
          <w:rFonts w:cs="Times New Roman"/>
          <w:noProof/>
          <w:lang w:val="en-US"/>
        </w:rPr>
        <w:t>.</w:t>
      </w:r>
    </w:p>
    <w:p w14:paraId="6A37C2A3"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Green, M. S., Harari, G., &amp; Kristal-Boneh, E. (2007). Excess winter mortality from ischaemic heart disease and stroke during colder and warmer years in Israel: An evaluation and review of the role of environmental temperature. </w:t>
      </w:r>
      <w:r w:rsidRPr="008B63F8">
        <w:rPr>
          <w:rFonts w:cs="Times New Roman"/>
          <w:i/>
          <w:iCs/>
          <w:noProof/>
          <w:lang w:val="en-US"/>
        </w:rPr>
        <w:t>The European Journal of Public Health</w:t>
      </w:r>
      <w:r w:rsidRPr="008B63F8">
        <w:rPr>
          <w:rFonts w:cs="Times New Roman"/>
          <w:noProof/>
          <w:lang w:val="en-US"/>
        </w:rPr>
        <w:t>. https://doi.org/10.1093/eurpub/4.1.3</w:t>
      </w:r>
    </w:p>
    <w:p w14:paraId="7832D14F"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Grenfell, B. T., Bjørnstad, O. N., &amp; Kappey, J. (2001). Travelling waves and spatial hierarchies in measles epidemics. </w:t>
      </w:r>
      <w:r w:rsidRPr="008B63F8">
        <w:rPr>
          <w:rFonts w:cs="Times New Roman"/>
          <w:i/>
          <w:iCs/>
          <w:noProof/>
          <w:lang w:val="en-US"/>
        </w:rPr>
        <w:t>Nature</w:t>
      </w:r>
      <w:r w:rsidRPr="008B63F8">
        <w:rPr>
          <w:rFonts w:cs="Times New Roman"/>
          <w:noProof/>
          <w:lang w:val="en-US"/>
        </w:rPr>
        <w:t xml:space="preserve">, </w:t>
      </w:r>
      <w:r w:rsidRPr="008B63F8">
        <w:rPr>
          <w:rFonts w:cs="Times New Roman"/>
          <w:i/>
          <w:iCs/>
          <w:noProof/>
          <w:lang w:val="en-US"/>
        </w:rPr>
        <w:t>414</w:t>
      </w:r>
      <w:r w:rsidRPr="008B63F8">
        <w:rPr>
          <w:rFonts w:cs="Times New Roman"/>
          <w:noProof/>
          <w:lang w:val="en-US"/>
        </w:rPr>
        <w:t>(6865), 716–723. https://doi.org/10.1038/414716a</w:t>
      </w:r>
    </w:p>
    <w:p w14:paraId="5094CBB2"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Guy, W. A. (1858). On the annual fluctuations in the number of deaths from various diseases, compared with like fluctuations in crime, and in other events within and beyond the control of the human will. </w:t>
      </w:r>
      <w:r w:rsidRPr="008B63F8">
        <w:rPr>
          <w:rFonts w:cs="Times New Roman"/>
          <w:i/>
          <w:iCs/>
          <w:noProof/>
          <w:lang w:val="en-US"/>
        </w:rPr>
        <w:t>Journal of the Statistical Society of London</w:t>
      </w:r>
      <w:r w:rsidRPr="008B63F8">
        <w:rPr>
          <w:rFonts w:cs="Times New Roman"/>
          <w:noProof/>
          <w:lang w:val="en-US"/>
        </w:rPr>
        <w:t>. https://doi.org/10.2307/2338211</w:t>
      </w:r>
    </w:p>
    <w:p w14:paraId="77573936"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Guy, W. A. (1881). On temperature and its relation to mortality: An illustration of the application of the numerical method to the discovery of truth. </w:t>
      </w:r>
      <w:r w:rsidRPr="008B63F8">
        <w:rPr>
          <w:rFonts w:cs="Times New Roman"/>
          <w:i/>
          <w:iCs/>
          <w:noProof/>
          <w:lang w:val="en-US"/>
        </w:rPr>
        <w:t>Journal of the Statistical Society of London</w:t>
      </w:r>
      <w:r w:rsidRPr="008B63F8">
        <w:rPr>
          <w:rFonts w:cs="Times New Roman"/>
          <w:noProof/>
          <w:lang w:val="en-US"/>
        </w:rPr>
        <w:t>. https://doi.org/10.2307/2339225</w:t>
      </w:r>
    </w:p>
    <w:p w14:paraId="683ACCBE"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Hajat, S., &amp; Gasparrini, A. (2016). The excess winter deaths measure: Why its use is misleading for public health understanding of cold-related health impacts. </w:t>
      </w:r>
      <w:r w:rsidRPr="008B63F8">
        <w:rPr>
          <w:rFonts w:cs="Times New Roman"/>
          <w:i/>
          <w:iCs/>
          <w:noProof/>
          <w:lang w:val="en-US"/>
        </w:rPr>
        <w:t>Epidemiology</w:t>
      </w:r>
      <w:r w:rsidRPr="008B63F8">
        <w:rPr>
          <w:rFonts w:cs="Times New Roman"/>
          <w:noProof/>
          <w:lang w:val="en-US"/>
        </w:rPr>
        <w:t>. https://doi.org/10.1097/EDE.0000000000000479</w:t>
      </w:r>
    </w:p>
    <w:p w14:paraId="32CD863E"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lastRenderedPageBreak/>
        <w:t xml:space="preserve">Hajat, S., Kovats, R. S., &amp; Lachowycz, K. (2007). Heat-related and cold-related deaths in England and Wales: Who is at risk? </w:t>
      </w:r>
      <w:r w:rsidRPr="008B63F8">
        <w:rPr>
          <w:rFonts w:cs="Times New Roman"/>
          <w:i/>
          <w:iCs/>
          <w:noProof/>
          <w:lang w:val="en-US"/>
        </w:rPr>
        <w:t>Occupational and Environmental Medicine</w:t>
      </w:r>
      <w:r w:rsidRPr="008B63F8">
        <w:rPr>
          <w:rFonts w:cs="Times New Roman"/>
          <w:noProof/>
          <w:lang w:val="en-US"/>
        </w:rPr>
        <w:t>. https://doi.org/10.1136/oem.2006.029017</w:t>
      </w:r>
    </w:p>
    <w:p w14:paraId="11A3BD9C"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Healy, J. D. (2003). Excess winter mortality in Europe: A cross country analysis identifying key risk factors. </w:t>
      </w:r>
      <w:r w:rsidRPr="008B63F8">
        <w:rPr>
          <w:rFonts w:cs="Times New Roman"/>
          <w:i/>
          <w:iCs/>
          <w:noProof/>
          <w:lang w:val="en-US"/>
        </w:rPr>
        <w:t>Journal of Epidemiology and Community Health</w:t>
      </w:r>
      <w:r w:rsidRPr="008B63F8">
        <w:rPr>
          <w:rFonts w:cs="Times New Roman"/>
          <w:noProof/>
          <w:lang w:val="en-US"/>
        </w:rPr>
        <w:t xml:space="preserve">, </w:t>
      </w:r>
      <w:r w:rsidRPr="008B63F8">
        <w:rPr>
          <w:rFonts w:cs="Times New Roman"/>
          <w:i/>
          <w:iCs/>
          <w:noProof/>
          <w:lang w:val="en-US"/>
        </w:rPr>
        <w:t>57</w:t>
      </w:r>
      <w:r w:rsidRPr="008B63F8">
        <w:rPr>
          <w:rFonts w:cs="Times New Roman"/>
          <w:noProof/>
          <w:lang w:val="en-US"/>
        </w:rPr>
        <w:t>(10), 784–789. https://doi.org/10.1136/jech.57.10.784</w:t>
      </w:r>
    </w:p>
    <w:p w14:paraId="51ADCF48"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IPCC. (2014a). </w:t>
      </w:r>
      <w:r w:rsidRPr="008B63F8">
        <w:rPr>
          <w:rFonts w:cs="Times New Roman"/>
          <w:i/>
          <w:iCs/>
          <w:noProof/>
          <w:lang w:val="en-US"/>
        </w:rPr>
        <w:t>Climate Change 2014 – Impacts, Adaptation and Vulnerability: Part B: Regional Aspects: Working Group II Contribution to the IPCC Fifth Assessment Report.</w:t>
      </w:r>
      <w:r w:rsidRPr="008B63F8">
        <w:rPr>
          <w:rFonts w:cs="Times New Roman"/>
          <w:noProof/>
          <w:lang w:val="en-US"/>
        </w:rPr>
        <w:t xml:space="preserve"> Cambridge University Press. https://doi.org/doi:10.1017/CBO9781107415386</w:t>
      </w:r>
    </w:p>
    <w:p w14:paraId="13F5CD2F"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IPCC. (2014b). </w:t>
      </w:r>
      <w:r w:rsidRPr="008B63F8">
        <w:rPr>
          <w:rFonts w:cs="Times New Roman"/>
          <w:i/>
          <w:iCs/>
          <w:noProof/>
          <w:lang w:val="en-US"/>
        </w:rPr>
        <w:t>Climate Change 2014 Synthesis Report</w:t>
      </w:r>
      <w:r w:rsidRPr="008B63F8">
        <w:rPr>
          <w:rFonts w:cs="Times New Roman"/>
          <w:noProof/>
          <w:lang w:val="en-US"/>
        </w:rPr>
        <w:t xml:space="preserve">. </w:t>
      </w:r>
      <w:r w:rsidRPr="008B63F8">
        <w:rPr>
          <w:rFonts w:cs="Times New Roman"/>
          <w:i/>
          <w:iCs/>
          <w:noProof/>
          <w:lang w:val="en-US"/>
        </w:rPr>
        <w:t>IPCC Fifth Assessment Report</w:t>
      </w:r>
      <w:r w:rsidRPr="008B63F8">
        <w:rPr>
          <w:rFonts w:cs="Times New Roman"/>
          <w:noProof/>
          <w:lang w:val="en-US"/>
        </w:rPr>
        <w:t>.</w:t>
      </w:r>
    </w:p>
    <w:p w14:paraId="57CD3740"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Kaiser, R., Le Tertre, A., Schwartz, J., Gotway, C. A., Daley, W. R., &amp; Rubin, C. H. (2007). The effect of the 1995 heat wave in Chicago on all-cause and cause-specific mortality. </w:t>
      </w:r>
      <w:r w:rsidRPr="008B63F8">
        <w:rPr>
          <w:rFonts w:cs="Times New Roman"/>
          <w:i/>
          <w:iCs/>
          <w:noProof/>
          <w:lang w:val="en-US"/>
        </w:rPr>
        <w:t>American Journal of Public Health</w:t>
      </w:r>
      <w:r w:rsidRPr="008B63F8">
        <w:rPr>
          <w:rFonts w:cs="Times New Roman"/>
          <w:noProof/>
          <w:lang w:val="en-US"/>
        </w:rPr>
        <w:t>. https://doi.org/10.2105/AJPH.2006.100081</w:t>
      </w:r>
    </w:p>
    <w:p w14:paraId="76CD6E69"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Kalkstein, A. J. (2013). Regional Similarities in Seasonal Mortality across the United States: An Examination of 28 Metropolitan Statistical Areas. </w:t>
      </w:r>
      <w:r w:rsidRPr="008B63F8">
        <w:rPr>
          <w:rFonts w:cs="Times New Roman"/>
          <w:i/>
          <w:iCs/>
          <w:noProof/>
          <w:lang w:val="en-US"/>
        </w:rPr>
        <w:t>PLoS ONE</w:t>
      </w:r>
      <w:r w:rsidRPr="008B63F8">
        <w:rPr>
          <w:rFonts w:cs="Times New Roman"/>
          <w:noProof/>
          <w:lang w:val="en-US"/>
        </w:rPr>
        <w:t xml:space="preserve">, </w:t>
      </w:r>
      <w:r w:rsidRPr="008B63F8">
        <w:rPr>
          <w:rFonts w:cs="Times New Roman"/>
          <w:i/>
          <w:iCs/>
          <w:noProof/>
          <w:lang w:val="en-US"/>
        </w:rPr>
        <w:t>8</w:t>
      </w:r>
      <w:r w:rsidRPr="008B63F8">
        <w:rPr>
          <w:rFonts w:cs="Times New Roman"/>
          <w:noProof/>
          <w:lang w:val="en-US"/>
        </w:rPr>
        <w:t>(5). https://doi.org/10.1371/journal.pone.0063971</w:t>
      </w:r>
    </w:p>
    <w:p w14:paraId="42119C05"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Kilbourne, E. M. (1997). Heat Waves and Hot Environments. </w:t>
      </w:r>
      <w:r w:rsidRPr="008B63F8">
        <w:rPr>
          <w:rFonts w:cs="Times New Roman"/>
          <w:i/>
          <w:iCs/>
          <w:noProof/>
          <w:lang w:val="en-US"/>
        </w:rPr>
        <w:t>The Public Health Consequence of Disasters</w:t>
      </w:r>
      <w:r w:rsidRPr="008B63F8">
        <w:rPr>
          <w:rFonts w:cs="Times New Roman"/>
          <w:noProof/>
          <w:lang w:val="en-US"/>
        </w:rPr>
        <w:t>.</w:t>
      </w:r>
    </w:p>
    <w:p w14:paraId="389B389E"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Kinney, P. L., Schwartz, J., Pascal, M., Petkova, E., Tertre, A. Le, Medina, S., &amp; Vautard, R. (2015). Winter season mortality: Will climate warming bring benefits? </w:t>
      </w:r>
      <w:r w:rsidRPr="008B63F8">
        <w:rPr>
          <w:rFonts w:cs="Times New Roman"/>
          <w:i/>
          <w:iCs/>
          <w:noProof/>
          <w:lang w:val="en-US"/>
        </w:rPr>
        <w:t>Environmental Research Letters</w:t>
      </w:r>
      <w:r w:rsidRPr="008B63F8">
        <w:rPr>
          <w:rFonts w:cs="Times New Roman"/>
          <w:noProof/>
          <w:lang w:val="en-US"/>
        </w:rPr>
        <w:t xml:space="preserve">, </w:t>
      </w:r>
      <w:r w:rsidRPr="008B63F8">
        <w:rPr>
          <w:rFonts w:cs="Times New Roman"/>
          <w:i/>
          <w:iCs/>
          <w:noProof/>
          <w:lang w:val="en-US"/>
        </w:rPr>
        <w:t>10</w:t>
      </w:r>
      <w:r w:rsidRPr="008B63F8">
        <w:rPr>
          <w:rFonts w:cs="Times New Roman"/>
          <w:noProof/>
          <w:lang w:val="en-US"/>
        </w:rPr>
        <w:t>(6). https://doi.org/10.1088/1748-9326/10/6/064016</w:t>
      </w:r>
    </w:p>
    <w:p w14:paraId="35D7E635"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Kovats, R. S., &amp; Hajat, S. (2008). Heat Stress and Public Health: A Critical Review. </w:t>
      </w:r>
      <w:r w:rsidRPr="008B63F8">
        <w:rPr>
          <w:rFonts w:cs="Times New Roman"/>
          <w:i/>
          <w:iCs/>
          <w:noProof/>
          <w:lang w:val="en-US"/>
        </w:rPr>
        <w:t>Annual Review of Public Health</w:t>
      </w:r>
      <w:r w:rsidRPr="008B63F8">
        <w:rPr>
          <w:rFonts w:cs="Times New Roman"/>
          <w:noProof/>
          <w:lang w:val="en-US"/>
        </w:rPr>
        <w:t>. https://doi.org/10.1146/annurev.publhealth.29.020907.090843</w:t>
      </w:r>
    </w:p>
    <w:p w14:paraId="36A74CCE"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Laake, K., &amp; Sverre, J. M. (1996). Winter excess mortality: A comparison between Norway and England plus Wales. </w:t>
      </w:r>
      <w:r w:rsidRPr="008B63F8">
        <w:rPr>
          <w:rFonts w:cs="Times New Roman"/>
          <w:i/>
          <w:iCs/>
          <w:noProof/>
          <w:lang w:val="en-US"/>
        </w:rPr>
        <w:t>Age and Ageing</w:t>
      </w:r>
      <w:r w:rsidRPr="008B63F8">
        <w:rPr>
          <w:rFonts w:cs="Times New Roman"/>
          <w:noProof/>
          <w:lang w:val="en-US"/>
        </w:rPr>
        <w:t>. https://doi.org/10.1093/ageing/25.5.343</w:t>
      </w:r>
    </w:p>
    <w:p w14:paraId="4B3A549A"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Le Tertre, A., Lefranc, A. A., Eilstein, D., Declercq, C., Medina, S., Blanchard, M., … Ledrans, M. (2006). Impact of the 2003 Heatwave on All-Cause Mortality in 9 French Cities. </w:t>
      </w:r>
      <w:r w:rsidRPr="008B63F8">
        <w:rPr>
          <w:rFonts w:cs="Times New Roman"/>
          <w:i/>
          <w:iCs/>
          <w:noProof/>
          <w:lang w:val="en-US"/>
        </w:rPr>
        <w:t>Epidemiology</w:t>
      </w:r>
      <w:r w:rsidRPr="008B63F8">
        <w:rPr>
          <w:rFonts w:cs="Times New Roman"/>
          <w:noProof/>
          <w:lang w:val="en-US"/>
        </w:rPr>
        <w:t xml:space="preserve">, </w:t>
      </w:r>
      <w:r w:rsidRPr="008B63F8">
        <w:rPr>
          <w:rFonts w:cs="Times New Roman"/>
          <w:i/>
          <w:iCs/>
          <w:noProof/>
          <w:lang w:val="en-US"/>
        </w:rPr>
        <w:t>17</w:t>
      </w:r>
      <w:r w:rsidRPr="008B63F8">
        <w:rPr>
          <w:rFonts w:cs="Times New Roman"/>
          <w:noProof/>
          <w:lang w:val="en-US"/>
        </w:rPr>
        <w:t>(1), 75–79. https://doi.org/10.1097/01.ede.0000187650.36636.1f</w:t>
      </w:r>
    </w:p>
    <w:p w14:paraId="17CC62A7"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Li, T., Horton, R. M., Bader, D. A., Zhou, M., Liang, X., Ban, J., … Kinney, P. L. (2016). Aging Will Amplify the Heat-related Mortality Risk under a Changing Climate: Projection for the Elderly in Beijing, China. </w:t>
      </w:r>
      <w:r w:rsidRPr="008B63F8">
        <w:rPr>
          <w:rFonts w:cs="Times New Roman"/>
          <w:i/>
          <w:iCs/>
          <w:noProof/>
          <w:lang w:val="en-US"/>
        </w:rPr>
        <w:t>Scientific Reports</w:t>
      </w:r>
      <w:r w:rsidRPr="008B63F8">
        <w:rPr>
          <w:rFonts w:cs="Times New Roman"/>
          <w:noProof/>
          <w:lang w:val="en-US"/>
        </w:rPr>
        <w:t>. https://doi.org/10.1038/srep28161</w:t>
      </w:r>
    </w:p>
    <w:p w14:paraId="16F157D1"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Lowe, R., Ballester, J., Creswick, J., Robine, J. M., Herrmann, F. R., &amp; Rodó, X. (2015). Evaluating the performance of a climate-driven mortality model during heat waves and </w:t>
      </w:r>
      <w:r w:rsidRPr="008B63F8">
        <w:rPr>
          <w:rFonts w:cs="Times New Roman"/>
          <w:noProof/>
          <w:lang w:val="en-US"/>
        </w:rPr>
        <w:lastRenderedPageBreak/>
        <w:t xml:space="preserve">cold spells in Europe. </w:t>
      </w:r>
      <w:r w:rsidRPr="008B63F8">
        <w:rPr>
          <w:rFonts w:cs="Times New Roman"/>
          <w:i/>
          <w:iCs/>
          <w:noProof/>
          <w:lang w:val="en-US"/>
        </w:rPr>
        <w:t>International Journal of Environmental Research and Public Health</w:t>
      </w:r>
      <w:r w:rsidRPr="008B63F8">
        <w:rPr>
          <w:rFonts w:cs="Times New Roman"/>
          <w:noProof/>
          <w:lang w:val="en-US"/>
        </w:rPr>
        <w:t>. https://doi.org/10.3390/ijerph120201279</w:t>
      </w:r>
    </w:p>
    <w:p w14:paraId="43C2BAC7"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Luterbacher, J., Dietrich, D., Xoplaki, E., Grosjean, M., &amp; Wanner, H. (2004). European Seasonal and Annual Temperature Variability, Trends, and Extremes since 1500. </w:t>
      </w:r>
      <w:r w:rsidRPr="008B63F8">
        <w:rPr>
          <w:rFonts w:cs="Times New Roman"/>
          <w:i/>
          <w:iCs/>
          <w:noProof/>
          <w:lang w:val="en-US"/>
        </w:rPr>
        <w:t>Science</w:t>
      </w:r>
      <w:r w:rsidRPr="008B63F8">
        <w:rPr>
          <w:rFonts w:cs="Times New Roman"/>
          <w:noProof/>
          <w:lang w:val="en-US"/>
        </w:rPr>
        <w:t>. https://doi.org/10.1126/science.1093877</w:t>
      </w:r>
    </w:p>
    <w:p w14:paraId="20843392"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Ma, J., Ward, E. M., Siegel, R. L., &amp; Jemal, A. (2015). Temporal trends in mortality in the United States, 1969-2013. </w:t>
      </w:r>
      <w:r w:rsidRPr="008B63F8">
        <w:rPr>
          <w:rFonts w:cs="Times New Roman"/>
          <w:i/>
          <w:iCs/>
          <w:noProof/>
          <w:lang w:val="en-US"/>
        </w:rPr>
        <w:t>JAMA - Journal of the American Medical Association</w:t>
      </w:r>
      <w:r w:rsidRPr="008B63F8">
        <w:rPr>
          <w:rFonts w:cs="Times New Roman"/>
          <w:noProof/>
          <w:lang w:val="en-US"/>
        </w:rPr>
        <w:t>. https://doi.org/10.1001/jama.2015.12319</w:t>
      </w:r>
    </w:p>
    <w:p w14:paraId="0ABB2243"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Mackenbach, J. P., Kunst, A. E., &amp; Looman, C. W. N. (1992). Seasonal variation in mortality in The Netherlands. </w:t>
      </w:r>
      <w:r w:rsidRPr="008B63F8">
        <w:rPr>
          <w:rFonts w:cs="Times New Roman"/>
          <w:i/>
          <w:iCs/>
          <w:noProof/>
          <w:lang w:val="en-US"/>
        </w:rPr>
        <w:t>Journal of Epidemiology and Community Health</w:t>
      </w:r>
      <w:r w:rsidRPr="008B63F8">
        <w:rPr>
          <w:rFonts w:cs="Times New Roman"/>
          <w:noProof/>
          <w:lang w:val="en-US"/>
        </w:rPr>
        <w:t xml:space="preserve">, </w:t>
      </w:r>
      <w:r w:rsidRPr="008B63F8">
        <w:rPr>
          <w:rFonts w:cs="Times New Roman"/>
          <w:i/>
          <w:iCs/>
          <w:noProof/>
          <w:lang w:val="en-US"/>
        </w:rPr>
        <w:t>46</w:t>
      </w:r>
      <w:r w:rsidRPr="008B63F8">
        <w:rPr>
          <w:rFonts w:cs="Times New Roman"/>
          <w:noProof/>
          <w:lang w:val="en-US"/>
        </w:rPr>
        <w:t>(3), 261–265. https://doi.org/10.1136/jech.46.3.261</w:t>
      </w:r>
    </w:p>
    <w:p w14:paraId="481E1CFC"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Marti-Soler, H., Gonseth, S., Gubelmann, C., Stringhini, S., Bovet, P., Chen, P. C., … Marques-Vidal, P. (2014). Seasonal variation of overall and cardiovascular mortality: A study in 19 countries from different geographic locations. </w:t>
      </w:r>
      <w:r w:rsidRPr="008B63F8">
        <w:rPr>
          <w:rFonts w:cs="Times New Roman"/>
          <w:i/>
          <w:iCs/>
          <w:noProof/>
          <w:lang w:val="en-US"/>
        </w:rPr>
        <w:t>PLoS ONE</w:t>
      </w:r>
      <w:r w:rsidRPr="008B63F8">
        <w:rPr>
          <w:rFonts w:cs="Times New Roman"/>
          <w:noProof/>
          <w:lang w:val="en-US"/>
        </w:rPr>
        <w:t>. https://doi.org/10.1371/journal.pone.0113500</w:t>
      </w:r>
    </w:p>
    <w:p w14:paraId="464AD5AD"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Miller, G. (1962). “Airs, waters, and places” in history. </w:t>
      </w:r>
      <w:r w:rsidRPr="008B63F8">
        <w:rPr>
          <w:rFonts w:cs="Times New Roman"/>
          <w:i/>
          <w:iCs/>
          <w:noProof/>
          <w:lang w:val="en-US"/>
        </w:rPr>
        <w:t>Journal of the History of Medicine and Allied Sciences</w:t>
      </w:r>
      <w:r w:rsidRPr="008B63F8">
        <w:rPr>
          <w:rFonts w:cs="Times New Roman"/>
          <w:noProof/>
          <w:lang w:val="en-US"/>
        </w:rPr>
        <w:t>. https://doi.org/10.1093/jhmas/XVII.1.129</w:t>
      </w:r>
    </w:p>
    <w:p w14:paraId="3FF4176D"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Moy, C. M., Seltzer, G. O., Rodbell, D. T., &amp; Anderson, D. M. (2002). Variability of El Niño/Southern Oscillation activity at millennial timescales during the Holocene epoch. </w:t>
      </w:r>
      <w:r w:rsidRPr="008B63F8">
        <w:rPr>
          <w:rFonts w:cs="Times New Roman"/>
          <w:i/>
          <w:iCs/>
          <w:noProof/>
          <w:lang w:val="en-US"/>
        </w:rPr>
        <w:t>Nature</w:t>
      </w:r>
      <w:r w:rsidRPr="008B63F8">
        <w:rPr>
          <w:rFonts w:cs="Times New Roman"/>
          <w:noProof/>
          <w:lang w:val="en-US"/>
        </w:rPr>
        <w:t xml:space="preserve">, </w:t>
      </w:r>
      <w:r w:rsidRPr="008B63F8">
        <w:rPr>
          <w:rFonts w:cs="Times New Roman"/>
          <w:i/>
          <w:iCs/>
          <w:noProof/>
          <w:lang w:val="en-US"/>
        </w:rPr>
        <w:t>420</w:t>
      </w:r>
      <w:r w:rsidRPr="008B63F8">
        <w:rPr>
          <w:rFonts w:cs="Times New Roman"/>
          <w:noProof/>
          <w:lang w:val="en-US"/>
        </w:rPr>
        <w:t>(6912), 162–165. https://doi.org/10.1038/nature01194</w:t>
      </w:r>
    </w:p>
    <w:p w14:paraId="123398AD"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Murray, C. J. L., Kulkarni, S. C., Michaud, C., Tomijima, N., Bulzacchelli, M. T., Iandiorio, T. J., &amp; Ezzati, M. (2006). Eight Americas: Investigating mortality disparities across races, counties, and race-counties in the United States. </w:t>
      </w:r>
      <w:r w:rsidRPr="008B63F8">
        <w:rPr>
          <w:rFonts w:cs="Times New Roman"/>
          <w:i/>
          <w:iCs/>
          <w:noProof/>
          <w:lang w:val="en-US"/>
        </w:rPr>
        <w:t>PLoS Medicine</w:t>
      </w:r>
      <w:r w:rsidRPr="008B63F8">
        <w:rPr>
          <w:rFonts w:cs="Times New Roman"/>
          <w:noProof/>
          <w:lang w:val="en-US"/>
        </w:rPr>
        <w:t>. https://doi.org/10.1371/journal.pmed.0030260</w:t>
      </w:r>
    </w:p>
    <w:p w14:paraId="6074E3C9"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Nakaji, S., Parodi, S., Fontana, V., Umeda, T., Suzuki, K., Sakamoto, J., … Sugawara, K. (2004). Seasonal changes in mortality rates from main causes of death in Japan. </w:t>
      </w:r>
      <w:r w:rsidRPr="008B63F8">
        <w:rPr>
          <w:rFonts w:cs="Times New Roman"/>
          <w:i/>
          <w:iCs/>
          <w:noProof/>
          <w:lang w:val="en-US"/>
        </w:rPr>
        <w:t>European Journal of Epidemiology</w:t>
      </w:r>
      <w:r w:rsidRPr="008B63F8">
        <w:rPr>
          <w:rFonts w:cs="Times New Roman"/>
          <w:noProof/>
          <w:lang w:val="en-US"/>
        </w:rPr>
        <w:t>. https://doi.org/10.1007/s10654-004-4695-8</w:t>
      </w:r>
    </w:p>
    <w:p w14:paraId="7F538609"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Newell, G. R., &amp; Waggoner, D. E. (1970). Cancer mortality and environmental temperature in the United States. </w:t>
      </w:r>
      <w:r w:rsidRPr="008B63F8">
        <w:rPr>
          <w:rFonts w:cs="Times New Roman"/>
          <w:i/>
          <w:iCs/>
          <w:noProof/>
          <w:lang w:val="en-US"/>
        </w:rPr>
        <w:t>The Lancet</w:t>
      </w:r>
      <w:r w:rsidRPr="008B63F8">
        <w:rPr>
          <w:rFonts w:cs="Times New Roman"/>
          <w:noProof/>
          <w:lang w:val="en-US"/>
        </w:rPr>
        <w:t>. https://doi.org/10.1016/S0140-6736(70)90988-8</w:t>
      </w:r>
    </w:p>
    <w:p w14:paraId="4249F650"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NOAA. (2014). NOAA Weather Stations. Retrieved January 8, 2019, from https://www.arcgis.com/home/webmap/viewer.html?webmap=fa40207019de41bc9a37ea1f5235ae0c</w:t>
      </w:r>
    </w:p>
    <w:p w14:paraId="2A7B3C65"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ONS. (2019). Excess winter mortality in England and Wales. Retrieved from https://www.ons.gov.uk/peoplepopulationandcommunity/birthsdeathsandmarriages/deaths/bulletins/excesswintermortalityinenglandandwales/previousReleases</w:t>
      </w:r>
    </w:p>
    <w:p w14:paraId="54C8C6A8"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lastRenderedPageBreak/>
        <w:t xml:space="preserve">Orru, H., &amp; Åström, D. O. (2017). Increases in external cause mortality due to high and low temperatures: evidence from northeastern Europe. </w:t>
      </w:r>
      <w:r w:rsidRPr="008B63F8">
        <w:rPr>
          <w:rFonts w:cs="Times New Roman"/>
          <w:i/>
          <w:iCs/>
          <w:noProof/>
          <w:lang w:val="en-US"/>
        </w:rPr>
        <w:t>International Journal of Biometeorology</w:t>
      </w:r>
      <w:r w:rsidRPr="008B63F8">
        <w:rPr>
          <w:rFonts w:cs="Times New Roman"/>
          <w:noProof/>
          <w:lang w:val="en-US"/>
        </w:rPr>
        <w:t>. https://doi.org/10.1007/s00484-016-1270-4</w:t>
      </w:r>
    </w:p>
    <w:p w14:paraId="3579FE50"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Pfister, C., Brázdil, R., Glaser, R., Barriendos, M., Camuffo, D., Deutsch, M., … Rodrigo, F. S. (1999). Documentary evidence on climate in sixteenth-century Europe. </w:t>
      </w:r>
      <w:r w:rsidRPr="008B63F8">
        <w:rPr>
          <w:rFonts w:cs="Times New Roman"/>
          <w:i/>
          <w:iCs/>
          <w:noProof/>
          <w:lang w:val="en-US"/>
        </w:rPr>
        <w:t>Climatic Change</w:t>
      </w:r>
      <w:r w:rsidRPr="008B63F8">
        <w:rPr>
          <w:rFonts w:cs="Times New Roman"/>
          <w:noProof/>
          <w:lang w:val="en-US"/>
        </w:rPr>
        <w:t>. https://doi.org/10.1023/A:1005540707792</w:t>
      </w:r>
    </w:p>
    <w:p w14:paraId="241E1064"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Rau, R. (2004). Seasonality in human mortality. A demographic approach. </w:t>
      </w:r>
      <w:r w:rsidRPr="008B63F8">
        <w:rPr>
          <w:rFonts w:cs="Times New Roman"/>
          <w:i/>
          <w:iCs/>
          <w:noProof/>
          <w:lang w:val="en-US"/>
        </w:rPr>
        <w:t>Wirtschafts- Und Sozialwissenschaftlichen Fakultät</w:t>
      </w:r>
      <w:r w:rsidRPr="008B63F8">
        <w:rPr>
          <w:rFonts w:cs="Times New Roman"/>
          <w:noProof/>
          <w:lang w:val="en-US"/>
        </w:rPr>
        <w:t xml:space="preserve">, </w:t>
      </w:r>
      <w:r w:rsidRPr="008B63F8">
        <w:rPr>
          <w:rFonts w:cs="Times New Roman"/>
          <w:i/>
          <w:iCs/>
          <w:noProof/>
          <w:lang w:val="en-US"/>
        </w:rPr>
        <w:t>PhD</w:t>
      </w:r>
      <w:r w:rsidRPr="008B63F8">
        <w:rPr>
          <w:rFonts w:cs="Times New Roman"/>
          <w:noProof/>
          <w:lang w:val="en-US"/>
        </w:rPr>
        <w:t>, 361. https://doi.org/10.1007/978-3-540-44902-7</w:t>
      </w:r>
    </w:p>
    <w:p w14:paraId="30679130"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Rau, R., Bohk-Ewald, C., Muszyńska, M. M., &amp; Vaupel, J. W. (2018). </w:t>
      </w:r>
      <w:r w:rsidRPr="008B63F8">
        <w:rPr>
          <w:rFonts w:cs="Times New Roman"/>
          <w:i/>
          <w:iCs/>
          <w:noProof/>
          <w:lang w:val="en-US"/>
        </w:rPr>
        <w:t>Visualizing Mortality Dynamics in the Lexis Diagram</w:t>
      </w:r>
      <w:r w:rsidRPr="008B63F8">
        <w:rPr>
          <w:rFonts w:cs="Times New Roman"/>
          <w:noProof/>
          <w:lang w:val="en-US"/>
        </w:rPr>
        <w:t>. https://doi.org/10.1007/978-3-319-64820-0</w:t>
      </w:r>
    </w:p>
    <w:p w14:paraId="1039B582"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Reichert, T. A., Simonsen, L., Sharma, A., Pardo, S. A., Fedson, D. S., &amp; Miller, M. A. (2004). Influenza and the winter increase in mortality in the United States, 1959-1999. </w:t>
      </w:r>
      <w:r w:rsidRPr="008B63F8">
        <w:rPr>
          <w:rFonts w:cs="Times New Roman"/>
          <w:i/>
          <w:iCs/>
          <w:noProof/>
          <w:lang w:val="en-US"/>
        </w:rPr>
        <w:t>American Journal of Epidemiology</w:t>
      </w:r>
      <w:r w:rsidRPr="008B63F8">
        <w:rPr>
          <w:rFonts w:cs="Times New Roman"/>
          <w:noProof/>
          <w:lang w:val="en-US"/>
        </w:rPr>
        <w:t>. https://doi.org/10.1093/aje/kwh227</w:t>
      </w:r>
    </w:p>
    <w:p w14:paraId="10F4F241"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Rey, G., Jougla, E., Fouillet, A., Pavillon, G., Bessemoulin, P., Frayssinet, P., … Hémon, D. (2007). The impact of major heat waves on all-cause and cause-specific mortality in France from 1971 to 2003. </w:t>
      </w:r>
      <w:r w:rsidRPr="008B63F8">
        <w:rPr>
          <w:rFonts w:cs="Times New Roman"/>
          <w:i/>
          <w:iCs/>
          <w:noProof/>
          <w:lang w:val="en-US"/>
        </w:rPr>
        <w:t>International Archives of Occupational and Environmental Health</w:t>
      </w:r>
      <w:r w:rsidRPr="008B63F8">
        <w:rPr>
          <w:rFonts w:cs="Times New Roman"/>
          <w:noProof/>
          <w:lang w:val="en-US"/>
        </w:rPr>
        <w:t>. https://doi.org/10.1007/s00420-007-0173-4</w:t>
      </w:r>
    </w:p>
    <w:p w14:paraId="1FFE59AB"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Rogot, E., Fabsitz, R., &amp; Feinleib, M. (1976). Daily variation In USA mortality. </w:t>
      </w:r>
      <w:r w:rsidRPr="008B63F8">
        <w:rPr>
          <w:rFonts w:cs="Times New Roman"/>
          <w:i/>
          <w:iCs/>
          <w:noProof/>
          <w:lang w:val="en-US"/>
        </w:rPr>
        <w:t>American Journal of Epidemiology</w:t>
      </w:r>
      <w:r w:rsidRPr="008B63F8">
        <w:rPr>
          <w:rFonts w:cs="Times New Roman"/>
          <w:noProof/>
          <w:lang w:val="en-US"/>
        </w:rPr>
        <w:t>. https://doi.org/10.1093/oxfordjournals.aje.a112218</w:t>
      </w:r>
    </w:p>
    <w:p w14:paraId="7BC2B57B"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Rosenwaike, I. (1966). Seasonal Variation of Deaths in the United States, 1951–1960. </w:t>
      </w:r>
      <w:r w:rsidRPr="008B63F8">
        <w:rPr>
          <w:rFonts w:cs="Times New Roman"/>
          <w:i/>
          <w:iCs/>
          <w:noProof/>
          <w:lang w:val="en-US"/>
        </w:rPr>
        <w:t>Journal of the American Statistical Association</w:t>
      </w:r>
      <w:r w:rsidRPr="008B63F8">
        <w:rPr>
          <w:rFonts w:cs="Times New Roman"/>
          <w:noProof/>
          <w:lang w:val="en-US"/>
        </w:rPr>
        <w:t xml:space="preserve">, </w:t>
      </w:r>
      <w:r w:rsidRPr="008B63F8">
        <w:rPr>
          <w:rFonts w:cs="Times New Roman"/>
          <w:i/>
          <w:iCs/>
          <w:noProof/>
          <w:lang w:val="en-US"/>
        </w:rPr>
        <w:t>61</w:t>
      </w:r>
      <w:r w:rsidRPr="008B63F8">
        <w:rPr>
          <w:rFonts w:cs="Times New Roman"/>
          <w:noProof/>
          <w:lang w:val="en-US"/>
        </w:rPr>
        <w:t>(315), 706–719. https://doi.org/10.1080/01621459.1966.10480899</w:t>
      </w:r>
    </w:p>
    <w:p w14:paraId="77B93102"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Rue, H., Martino, S., &amp; Chopin, N. (2009). Approximate Bayesian inference for latent Gaussian models by using integrated nested Laplace approximations. </w:t>
      </w:r>
      <w:r w:rsidRPr="008B63F8">
        <w:rPr>
          <w:rFonts w:cs="Times New Roman"/>
          <w:i/>
          <w:iCs/>
          <w:noProof/>
          <w:lang w:val="en-US"/>
        </w:rPr>
        <w:t>Journal of the Royal Statistical Society. Series B: Statistical Methodology</w:t>
      </w:r>
      <w:r w:rsidRPr="008B63F8">
        <w:rPr>
          <w:rFonts w:cs="Times New Roman"/>
          <w:noProof/>
          <w:lang w:val="en-US"/>
        </w:rPr>
        <w:t>. https://doi.org/10.1111/j.1467-9868.2008.00700.x</w:t>
      </w:r>
    </w:p>
    <w:p w14:paraId="169A0759"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Semenza, J. C., Rubin, C. H., Falter, K. H., Selanikio, J. D., Flanders, W. D., Howe, H. L., &amp; Wilhelm, J. L. (1996). Heat-Related Deaths during the July 1995 Heat Wave in Chicago. </w:t>
      </w:r>
      <w:r w:rsidRPr="008B63F8">
        <w:rPr>
          <w:rFonts w:cs="Times New Roman"/>
          <w:i/>
          <w:iCs/>
          <w:noProof/>
          <w:lang w:val="en-US"/>
        </w:rPr>
        <w:t>New England Journal of Medicine</w:t>
      </w:r>
      <w:r w:rsidRPr="008B63F8">
        <w:rPr>
          <w:rFonts w:cs="Times New Roman"/>
          <w:noProof/>
          <w:lang w:val="en-US"/>
        </w:rPr>
        <w:t>. https://doi.org/10.1056/NEJM199607113350203</w:t>
      </w:r>
    </w:p>
    <w:p w14:paraId="2E18B148"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Shaw, B. D. (2006). Seasons of death: aspects of mortality in Imperial Rome. </w:t>
      </w:r>
      <w:r w:rsidRPr="008B63F8">
        <w:rPr>
          <w:rFonts w:cs="Times New Roman"/>
          <w:i/>
          <w:iCs/>
          <w:noProof/>
          <w:lang w:val="en-US"/>
        </w:rPr>
        <w:t>The Journal of Roman Studies</w:t>
      </w:r>
      <w:r w:rsidRPr="008B63F8">
        <w:rPr>
          <w:rFonts w:cs="Times New Roman"/>
          <w:noProof/>
          <w:lang w:val="en-US"/>
        </w:rPr>
        <w:t>. https://doi.org/10.2307/300425</w:t>
      </w:r>
    </w:p>
    <w:p w14:paraId="0455E9BB"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Song, X., Wang, S., Hu, Y., Yue, M., Zhang, T., Liu, Y., … Shang, K. (2017). Impact of ambient temperature on morbidity and mortality: An overview of reviews. </w:t>
      </w:r>
      <w:r w:rsidRPr="008B63F8">
        <w:rPr>
          <w:rFonts w:cs="Times New Roman"/>
          <w:i/>
          <w:iCs/>
          <w:noProof/>
          <w:lang w:val="en-US"/>
        </w:rPr>
        <w:t>Science of The Total Environment</w:t>
      </w:r>
      <w:r w:rsidRPr="008B63F8">
        <w:rPr>
          <w:rFonts w:cs="Times New Roman"/>
          <w:noProof/>
          <w:lang w:val="en-US"/>
        </w:rPr>
        <w:t xml:space="preserve">, </w:t>
      </w:r>
      <w:r w:rsidRPr="008B63F8">
        <w:rPr>
          <w:rFonts w:cs="Times New Roman"/>
          <w:i/>
          <w:iCs/>
          <w:noProof/>
          <w:lang w:val="en-US"/>
        </w:rPr>
        <w:t>586</w:t>
      </w:r>
      <w:r w:rsidRPr="008B63F8">
        <w:rPr>
          <w:rFonts w:cs="Times New Roman"/>
          <w:noProof/>
          <w:lang w:val="en-US"/>
        </w:rPr>
        <w:t>, 241–254. Retrieved from internal-pdf://121.226.169.224/1-s2.0-S0048969717302292-main.pdf</w:t>
      </w:r>
    </w:p>
    <w:p w14:paraId="6EF464DA"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lastRenderedPageBreak/>
        <w:t xml:space="preserve">The Eurowinter Group. (1997). Cold exposure and winter mortality from ischaemic heart disease, cerebrovascular disease, respiratory disease, and all causes in warm and cold regions of Europe. </w:t>
      </w:r>
      <w:r w:rsidRPr="008B63F8">
        <w:rPr>
          <w:rFonts w:cs="Times New Roman"/>
          <w:i/>
          <w:iCs/>
          <w:noProof/>
          <w:lang w:val="en-US"/>
        </w:rPr>
        <w:t>Lancet</w:t>
      </w:r>
      <w:r w:rsidRPr="008B63F8">
        <w:rPr>
          <w:rFonts w:cs="Times New Roman"/>
          <w:noProof/>
          <w:lang w:val="en-US"/>
        </w:rPr>
        <w:t xml:space="preserve">, </w:t>
      </w:r>
      <w:r w:rsidRPr="008B63F8">
        <w:rPr>
          <w:rFonts w:cs="Times New Roman"/>
          <w:i/>
          <w:iCs/>
          <w:noProof/>
          <w:lang w:val="en-US"/>
        </w:rPr>
        <w:t>349</w:t>
      </w:r>
      <w:r w:rsidRPr="008B63F8">
        <w:rPr>
          <w:rFonts w:cs="Times New Roman"/>
          <w:noProof/>
          <w:lang w:val="en-US"/>
        </w:rPr>
        <w:t>, 1341–46. https://doi.org/S0140673696123382 [pii]</w:t>
      </w:r>
    </w:p>
    <w:p w14:paraId="30CDE8B2"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Trudeau, R. (1997). Monthly and daily patterns of death. </w:t>
      </w:r>
      <w:r w:rsidRPr="008B63F8">
        <w:rPr>
          <w:rFonts w:cs="Times New Roman"/>
          <w:i/>
          <w:iCs/>
          <w:noProof/>
          <w:lang w:val="en-US"/>
        </w:rPr>
        <w:t>Statistics Canada</w:t>
      </w:r>
      <w:r w:rsidRPr="008B63F8">
        <w:rPr>
          <w:rFonts w:cs="Times New Roman"/>
          <w:noProof/>
          <w:lang w:val="en-US"/>
        </w:rPr>
        <w:t xml:space="preserve">, </w:t>
      </w:r>
      <w:r w:rsidRPr="008B63F8">
        <w:rPr>
          <w:rFonts w:cs="Times New Roman"/>
          <w:i/>
          <w:iCs/>
          <w:noProof/>
          <w:lang w:val="en-US"/>
        </w:rPr>
        <w:t>9</w:t>
      </w:r>
      <w:r w:rsidRPr="008B63F8">
        <w:rPr>
          <w:rFonts w:cs="Times New Roman"/>
          <w:noProof/>
          <w:lang w:val="en-US"/>
        </w:rPr>
        <w:t>(1).</w:t>
      </w:r>
    </w:p>
    <w:p w14:paraId="6664C4E9"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UNISDR. (2015). Sendai Framework for Disaster Risk Reduction 2015 - 2030. </w:t>
      </w:r>
      <w:r w:rsidRPr="008B63F8">
        <w:rPr>
          <w:rFonts w:cs="Times New Roman"/>
          <w:i/>
          <w:iCs/>
          <w:noProof/>
          <w:lang w:val="en-US"/>
        </w:rPr>
        <w:t>Third World Conference on Disaster Risk Reduction, Sendai, Japan, 14-18 March 2015.</w:t>
      </w:r>
      <w:r w:rsidRPr="008B63F8">
        <w:rPr>
          <w:rFonts w:cs="Times New Roman"/>
          <w:noProof/>
          <w:lang w:val="en-US"/>
        </w:rPr>
        <w:t>, (March), 1–25. https://doi.org/A/CONF.224/CRP.1</w:t>
      </w:r>
    </w:p>
    <w:p w14:paraId="42E30D17"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Vose, R. S., Applequist, S., Squires, M., Durre, I., Menne, C. J., Williams, C. N., … Arndt, D. (2014). Improved historical temperature and precipitation time series for U.S. climate divisions. </w:t>
      </w:r>
      <w:r w:rsidRPr="008B63F8">
        <w:rPr>
          <w:rFonts w:cs="Times New Roman"/>
          <w:i/>
          <w:iCs/>
          <w:noProof/>
          <w:lang w:val="en-US"/>
        </w:rPr>
        <w:t>Journal of Applied Meteorology and Climatology</w:t>
      </w:r>
      <w:r w:rsidRPr="008B63F8">
        <w:rPr>
          <w:rFonts w:cs="Times New Roman"/>
          <w:noProof/>
          <w:lang w:val="en-US"/>
        </w:rPr>
        <w:t>. https://doi.org/10.1175/JAMC-D-13-0248.1</w:t>
      </w:r>
    </w:p>
    <w:p w14:paraId="1B79FB28"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WHO. (2016). </w:t>
      </w:r>
      <w:r w:rsidRPr="008B63F8">
        <w:rPr>
          <w:rFonts w:cs="Times New Roman"/>
          <w:i/>
          <w:iCs/>
          <w:noProof/>
          <w:lang w:val="en-US"/>
        </w:rPr>
        <w:t>World Health Statistics 2016 Monitoring Health for the SDGs</w:t>
      </w:r>
      <w:r w:rsidRPr="008B63F8">
        <w:rPr>
          <w:rFonts w:cs="Times New Roman"/>
          <w:noProof/>
          <w:lang w:val="en-US"/>
        </w:rPr>
        <w:t xml:space="preserve">. </w:t>
      </w:r>
      <w:r w:rsidRPr="008B63F8">
        <w:rPr>
          <w:rFonts w:cs="Times New Roman"/>
          <w:i/>
          <w:iCs/>
          <w:noProof/>
          <w:lang w:val="en-US"/>
        </w:rPr>
        <w:t>WHO Library Cataloguing-in-Publication Data World</w:t>
      </w:r>
      <w:r w:rsidRPr="008B63F8">
        <w:rPr>
          <w:rFonts w:cs="Times New Roman"/>
          <w:noProof/>
          <w:lang w:val="en-US"/>
        </w:rPr>
        <w:t>.</w:t>
      </w:r>
    </w:p>
    <w:p w14:paraId="31A4F22B"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WHO. (2018a). WHO Methods and Data Sources for Country-Level Cause of Death 2000-2016, (March), 1–51. https://doi.org/ISBN 9789241564854</w:t>
      </w:r>
    </w:p>
    <w:p w14:paraId="1FEB1DC9"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WHO. (2018b). WHO methods and data sources for life tables 1990-2016. Retrieved from http://www.who.int/healthinfo/statistics/LT_method.pdf</w:t>
      </w:r>
    </w:p>
    <w:p w14:paraId="19E26A69"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WMO. (2016). Guidelines on the Defintion and Monitoring of Extreme Weather and Climate Events. </w:t>
      </w:r>
      <w:r w:rsidRPr="008B63F8">
        <w:rPr>
          <w:rFonts w:cs="Times New Roman"/>
          <w:i/>
          <w:iCs/>
          <w:noProof/>
          <w:lang w:val="en-US"/>
        </w:rPr>
        <w:t>Task Team on the Definition of Extreme Weather and Climate Events</w:t>
      </w:r>
      <w:r w:rsidRPr="008B63F8">
        <w:rPr>
          <w:rFonts w:cs="Times New Roman"/>
          <w:noProof/>
          <w:lang w:val="en-US"/>
        </w:rPr>
        <w:t>, (December 2015), 62. https://doi.org/http://dx.doi.org/10.1016/j.corsci.2014.12.017</w:t>
      </w:r>
    </w:p>
    <w:p w14:paraId="1E18EF13" w14:textId="77777777" w:rsidR="008B63F8" w:rsidRPr="008B63F8" w:rsidRDefault="008B63F8" w:rsidP="008B63F8">
      <w:pPr>
        <w:widowControl w:val="0"/>
        <w:autoSpaceDE w:val="0"/>
        <w:autoSpaceDN w:val="0"/>
        <w:adjustRightInd w:val="0"/>
        <w:spacing w:line="240" w:lineRule="auto"/>
        <w:ind w:left="480" w:hanging="480"/>
        <w:rPr>
          <w:rFonts w:cs="Times New Roman"/>
          <w:noProof/>
          <w:lang w:val="en-US"/>
        </w:rPr>
      </w:pPr>
      <w:r w:rsidRPr="008B63F8">
        <w:rPr>
          <w:rFonts w:cs="Times New Roman"/>
          <w:noProof/>
          <w:lang w:val="en-US"/>
        </w:rPr>
        <w:t xml:space="preserve">Ye, X., Wolff, R., Yu, W., Vaneckova, P., Pan, X., &amp; Tong, S. (2012). Ambient temperature and morbidity: a review of epidemiological evidence. </w:t>
      </w:r>
      <w:r w:rsidRPr="008B63F8">
        <w:rPr>
          <w:rFonts w:cs="Times New Roman"/>
          <w:i/>
          <w:iCs/>
          <w:noProof/>
          <w:lang w:val="en-US"/>
        </w:rPr>
        <w:t>Environmental Health Perspectives</w:t>
      </w:r>
      <w:r w:rsidRPr="008B63F8">
        <w:rPr>
          <w:rFonts w:cs="Times New Roman"/>
          <w:noProof/>
          <w:lang w:val="en-US"/>
        </w:rPr>
        <w:t xml:space="preserve">, </w:t>
      </w:r>
      <w:r w:rsidRPr="008B63F8">
        <w:rPr>
          <w:rFonts w:cs="Times New Roman"/>
          <w:i/>
          <w:iCs/>
          <w:noProof/>
          <w:lang w:val="en-US"/>
        </w:rPr>
        <w:t>120</w:t>
      </w:r>
      <w:r w:rsidRPr="008B63F8">
        <w:rPr>
          <w:rFonts w:cs="Times New Roman"/>
          <w:noProof/>
          <w:lang w:val="en-US"/>
        </w:rPr>
        <w:t>(1), 19–28. https://doi.org/10.1289/ehp.1003198</w:t>
      </w:r>
    </w:p>
    <w:p w14:paraId="3D9876D5" w14:textId="77777777" w:rsidR="008B63F8" w:rsidRPr="008B63F8" w:rsidRDefault="008B63F8" w:rsidP="008B63F8">
      <w:pPr>
        <w:widowControl w:val="0"/>
        <w:autoSpaceDE w:val="0"/>
        <w:autoSpaceDN w:val="0"/>
        <w:adjustRightInd w:val="0"/>
        <w:spacing w:line="240" w:lineRule="auto"/>
        <w:ind w:left="480" w:hanging="480"/>
        <w:rPr>
          <w:rFonts w:cs="Times New Roman"/>
          <w:noProof/>
        </w:rPr>
      </w:pPr>
      <w:r w:rsidRPr="008B63F8">
        <w:rPr>
          <w:rFonts w:cs="Times New Roman"/>
          <w:noProof/>
          <w:lang w:val="en-US"/>
        </w:rPr>
        <w:t xml:space="preserve">Zanobetti, A., O’Neill, M. S., Gronlund, C. J., &amp; Schwartz, J. D. (2012). Summer temperature variability and long-term survival among elderly people with chronic disease. </w:t>
      </w:r>
      <w:r w:rsidRPr="008B63F8">
        <w:rPr>
          <w:rFonts w:cs="Times New Roman"/>
          <w:i/>
          <w:iCs/>
          <w:noProof/>
          <w:lang w:val="en-US"/>
        </w:rPr>
        <w:t>Proceedings of the National Academy of Sciences</w:t>
      </w:r>
      <w:r w:rsidRPr="008B63F8">
        <w:rPr>
          <w:rFonts w:cs="Times New Roman"/>
          <w:noProof/>
          <w:lang w:val="en-US"/>
        </w:rPr>
        <w:t>. https://doi.org/10.1073/pnas.1113070109</w:t>
      </w:r>
    </w:p>
    <w:p w14:paraId="14D0E6E5" w14:textId="5534A95A" w:rsidR="009011C5" w:rsidRPr="00636C9B" w:rsidRDefault="00A55581" w:rsidP="008B63F8">
      <w:pPr>
        <w:widowControl w:val="0"/>
        <w:autoSpaceDE w:val="0"/>
        <w:autoSpaceDN w:val="0"/>
        <w:adjustRightInd w:val="0"/>
        <w:spacing w:line="240" w:lineRule="auto"/>
        <w:ind w:left="480" w:hanging="480"/>
        <w:rPr>
          <w:b/>
          <w:szCs w:val="24"/>
        </w:rPr>
      </w:pPr>
      <w:r w:rsidRPr="001E6D66">
        <w:rPr>
          <w:b/>
          <w:szCs w:val="24"/>
        </w:rPr>
        <w:fldChar w:fldCharType="end"/>
      </w:r>
    </w:p>
    <w:sectPr w:rsidR="009011C5" w:rsidRPr="00636C9B" w:rsidSect="0000041C">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ABD52F" w14:textId="77777777" w:rsidR="00F84C87" w:rsidRDefault="00F84C87">
      <w:pPr>
        <w:spacing w:after="0" w:line="240" w:lineRule="auto"/>
      </w:pPr>
      <w:r>
        <w:separator/>
      </w:r>
    </w:p>
  </w:endnote>
  <w:endnote w:type="continuationSeparator" w:id="0">
    <w:p w14:paraId="153013DE" w14:textId="77777777" w:rsidR="00F84C87" w:rsidRDefault="00F84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610641" w:rsidRDefault="0061064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610641" w:rsidRDefault="00610641"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610641" w:rsidRDefault="0061064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610641" w:rsidRDefault="00610641"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8045BE" w14:textId="77777777" w:rsidR="00F84C87" w:rsidRDefault="00F84C87">
      <w:pPr>
        <w:spacing w:after="0" w:line="240" w:lineRule="auto"/>
      </w:pPr>
      <w:r>
        <w:separator/>
      </w:r>
    </w:p>
  </w:footnote>
  <w:footnote w:type="continuationSeparator" w:id="0">
    <w:p w14:paraId="029A654C" w14:textId="77777777" w:rsidR="00F84C87" w:rsidRDefault="00F84C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0CDB"/>
    <w:multiLevelType w:val="hybridMultilevel"/>
    <w:tmpl w:val="D0806FC8"/>
    <w:lvl w:ilvl="0" w:tplc="285A76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A30CB"/>
    <w:multiLevelType w:val="hybridMultilevel"/>
    <w:tmpl w:val="888E24C2"/>
    <w:lvl w:ilvl="0" w:tplc="CC8A760E">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16"/>
  </w:num>
  <w:num w:numId="3">
    <w:abstractNumId w:val="13"/>
  </w:num>
  <w:num w:numId="4">
    <w:abstractNumId w:val="15"/>
  </w:num>
  <w:num w:numId="5">
    <w:abstractNumId w:val="3"/>
  </w:num>
  <w:num w:numId="6">
    <w:abstractNumId w:val="4"/>
  </w:num>
  <w:num w:numId="7">
    <w:abstractNumId w:val="2"/>
  </w:num>
  <w:num w:numId="8">
    <w:abstractNumId w:val="10"/>
  </w:num>
  <w:num w:numId="9">
    <w:abstractNumId w:val="14"/>
  </w:num>
  <w:num w:numId="10">
    <w:abstractNumId w:val="9"/>
  </w:num>
  <w:num w:numId="11">
    <w:abstractNumId w:val="11"/>
  </w:num>
  <w:num w:numId="12">
    <w:abstractNumId w:val="8"/>
  </w:num>
  <w:num w:numId="13">
    <w:abstractNumId w:val="6"/>
  </w:num>
  <w:num w:numId="14">
    <w:abstractNumId w:val="5"/>
  </w:num>
  <w:num w:numId="15">
    <w:abstractNumId w:val="12"/>
  </w:num>
  <w:num w:numId="16">
    <w:abstractNumId w:val="12"/>
  </w:num>
  <w:num w:numId="17">
    <w:abstractNumId w:val="12"/>
  </w:num>
  <w:num w:numId="18">
    <w:abstractNumId w:val="12"/>
  </w:num>
  <w:num w:numId="19">
    <w:abstractNumId w:val="12"/>
  </w:num>
  <w:num w:numId="20">
    <w:abstractNumId w:val="0"/>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41C"/>
    <w:rsid w:val="0000078D"/>
    <w:rsid w:val="0000176E"/>
    <w:rsid w:val="000020EE"/>
    <w:rsid w:val="00002A6D"/>
    <w:rsid w:val="00002D30"/>
    <w:rsid w:val="000031E3"/>
    <w:rsid w:val="00003680"/>
    <w:rsid w:val="00003799"/>
    <w:rsid w:val="00003A27"/>
    <w:rsid w:val="00003D82"/>
    <w:rsid w:val="0000416A"/>
    <w:rsid w:val="0000446B"/>
    <w:rsid w:val="00004888"/>
    <w:rsid w:val="00004B84"/>
    <w:rsid w:val="00004B85"/>
    <w:rsid w:val="00004F5B"/>
    <w:rsid w:val="00005365"/>
    <w:rsid w:val="00005639"/>
    <w:rsid w:val="000060C8"/>
    <w:rsid w:val="00006214"/>
    <w:rsid w:val="00010646"/>
    <w:rsid w:val="000112A5"/>
    <w:rsid w:val="00011D62"/>
    <w:rsid w:val="000125C5"/>
    <w:rsid w:val="00012A43"/>
    <w:rsid w:val="00012A91"/>
    <w:rsid w:val="00012E7D"/>
    <w:rsid w:val="00012EF7"/>
    <w:rsid w:val="00012FB9"/>
    <w:rsid w:val="0001322E"/>
    <w:rsid w:val="00013477"/>
    <w:rsid w:val="000135F4"/>
    <w:rsid w:val="00013786"/>
    <w:rsid w:val="0001432A"/>
    <w:rsid w:val="0001468B"/>
    <w:rsid w:val="000149E6"/>
    <w:rsid w:val="00015AFF"/>
    <w:rsid w:val="0001662B"/>
    <w:rsid w:val="00016713"/>
    <w:rsid w:val="00016E6B"/>
    <w:rsid w:val="0001712A"/>
    <w:rsid w:val="000177DB"/>
    <w:rsid w:val="00017B34"/>
    <w:rsid w:val="00020C6F"/>
    <w:rsid w:val="000210D1"/>
    <w:rsid w:val="00021221"/>
    <w:rsid w:val="000212F9"/>
    <w:rsid w:val="0002178B"/>
    <w:rsid w:val="00021BDE"/>
    <w:rsid w:val="00022155"/>
    <w:rsid w:val="000237D9"/>
    <w:rsid w:val="00023FB5"/>
    <w:rsid w:val="000246AA"/>
    <w:rsid w:val="00025255"/>
    <w:rsid w:val="000259CD"/>
    <w:rsid w:val="00025CAF"/>
    <w:rsid w:val="00026162"/>
    <w:rsid w:val="00026EFB"/>
    <w:rsid w:val="00027630"/>
    <w:rsid w:val="0002782B"/>
    <w:rsid w:val="0002786B"/>
    <w:rsid w:val="00027DFE"/>
    <w:rsid w:val="00027F75"/>
    <w:rsid w:val="00030C36"/>
    <w:rsid w:val="00031324"/>
    <w:rsid w:val="00031D95"/>
    <w:rsid w:val="00033124"/>
    <w:rsid w:val="00033175"/>
    <w:rsid w:val="000331F8"/>
    <w:rsid w:val="0003365F"/>
    <w:rsid w:val="000338D0"/>
    <w:rsid w:val="00033DDF"/>
    <w:rsid w:val="000340B4"/>
    <w:rsid w:val="00034610"/>
    <w:rsid w:val="00034AA3"/>
    <w:rsid w:val="00034AC0"/>
    <w:rsid w:val="00034CBF"/>
    <w:rsid w:val="0003657E"/>
    <w:rsid w:val="000372D3"/>
    <w:rsid w:val="00040054"/>
    <w:rsid w:val="00040A0E"/>
    <w:rsid w:val="00040D7A"/>
    <w:rsid w:val="00040FE5"/>
    <w:rsid w:val="0004175B"/>
    <w:rsid w:val="00042319"/>
    <w:rsid w:val="0004250C"/>
    <w:rsid w:val="00042FB2"/>
    <w:rsid w:val="0004316E"/>
    <w:rsid w:val="00043D68"/>
    <w:rsid w:val="00044630"/>
    <w:rsid w:val="00044D40"/>
    <w:rsid w:val="0004506E"/>
    <w:rsid w:val="0004516A"/>
    <w:rsid w:val="00045CC4"/>
    <w:rsid w:val="00045D18"/>
    <w:rsid w:val="00046318"/>
    <w:rsid w:val="00046D2C"/>
    <w:rsid w:val="00047A51"/>
    <w:rsid w:val="00047AE4"/>
    <w:rsid w:val="000504A9"/>
    <w:rsid w:val="00050593"/>
    <w:rsid w:val="00050D70"/>
    <w:rsid w:val="000512E4"/>
    <w:rsid w:val="00051433"/>
    <w:rsid w:val="0005183C"/>
    <w:rsid w:val="00051A12"/>
    <w:rsid w:val="0005321C"/>
    <w:rsid w:val="00053283"/>
    <w:rsid w:val="00053518"/>
    <w:rsid w:val="00053748"/>
    <w:rsid w:val="00054124"/>
    <w:rsid w:val="000541E2"/>
    <w:rsid w:val="000543FC"/>
    <w:rsid w:val="000545FB"/>
    <w:rsid w:val="00054AB7"/>
    <w:rsid w:val="000554B6"/>
    <w:rsid w:val="00055B65"/>
    <w:rsid w:val="00056C5A"/>
    <w:rsid w:val="00056E78"/>
    <w:rsid w:val="00057527"/>
    <w:rsid w:val="00060B8E"/>
    <w:rsid w:val="0006104B"/>
    <w:rsid w:val="00061AAA"/>
    <w:rsid w:val="00061C7F"/>
    <w:rsid w:val="00061E82"/>
    <w:rsid w:val="000620CC"/>
    <w:rsid w:val="00062E8A"/>
    <w:rsid w:val="000632BD"/>
    <w:rsid w:val="00063EAB"/>
    <w:rsid w:val="00064236"/>
    <w:rsid w:val="00064B13"/>
    <w:rsid w:val="00064EEB"/>
    <w:rsid w:val="000651A2"/>
    <w:rsid w:val="00065C0B"/>
    <w:rsid w:val="00065E50"/>
    <w:rsid w:val="00066139"/>
    <w:rsid w:val="0006625F"/>
    <w:rsid w:val="000663B0"/>
    <w:rsid w:val="00066C53"/>
    <w:rsid w:val="00066D9C"/>
    <w:rsid w:val="00066E6A"/>
    <w:rsid w:val="00067038"/>
    <w:rsid w:val="000671A8"/>
    <w:rsid w:val="000672C7"/>
    <w:rsid w:val="00067319"/>
    <w:rsid w:val="00067984"/>
    <w:rsid w:val="00067A04"/>
    <w:rsid w:val="00067A14"/>
    <w:rsid w:val="000702D8"/>
    <w:rsid w:val="000711BB"/>
    <w:rsid w:val="00071951"/>
    <w:rsid w:val="00071F79"/>
    <w:rsid w:val="000721B3"/>
    <w:rsid w:val="00072C38"/>
    <w:rsid w:val="00072CAE"/>
    <w:rsid w:val="00072E24"/>
    <w:rsid w:val="000732FB"/>
    <w:rsid w:val="00073ADC"/>
    <w:rsid w:val="00073B07"/>
    <w:rsid w:val="00073C2A"/>
    <w:rsid w:val="00073F1B"/>
    <w:rsid w:val="000752A7"/>
    <w:rsid w:val="00075402"/>
    <w:rsid w:val="00075501"/>
    <w:rsid w:val="0007648C"/>
    <w:rsid w:val="000765BB"/>
    <w:rsid w:val="00077792"/>
    <w:rsid w:val="000811CC"/>
    <w:rsid w:val="00081296"/>
    <w:rsid w:val="00081455"/>
    <w:rsid w:val="000818D3"/>
    <w:rsid w:val="000819BC"/>
    <w:rsid w:val="000822D3"/>
    <w:rsid w:val="00082C81"/>
    <w:rsid w:val="0008315C"/>
    <w:rsid w:val="000842A7"/>
    <w:rsid w:val="0008437C"/>
    <w:rsid w:val="000844F7"/>
    <w:rsid w:val="000852B4"/>
    <w:rsid w:val="00085345"/>
    <w:rsid w:val="000858BC"/>
    <w:rsid w:val="0008595D"/>
    <w:rsid w:val="00085A4E"/>
    <w:rsid w:val="0008612A"/>
    <w:rsid w:val="0008617C"/>
    <w:rsid w:val="00086317"/>
    <w:rsid w:val="000866E8"/>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CCD"/>
    <w:rsid w:val="00094F74"/>
    <w:rsid w:val="000950FF"/>
    <w:rsid w:val="0009529A"/>
    <w:rsid w:val="00095490"/>
    <w:rsid w:val="00095503"/>
    <w:rsid w:val="00095915"/>
    <w:rsid w:val="00095F25"/>
    <w:rsid w:val="000962A3"/>
    <w:rsid w:val="00097348"/>
    <w:rsid w:val="00097EE3"/>
    <w:rsid w:val="000A084D"/>
    <w:rsid w:val="000A0A5E"/>
    <w:rsid w:val="000A0BD8"/>
    <w:rsid w:val="000A1061"/>
    <w:rsid w:val="000A1507"/>
    <w:rsid w:val="000A199A"/>
    <w:rsid w:val="000A1F07"/>
    <w:rsid w:val="000A2462"/>
    <w:rsid w:val="000A25B1"/>
    <w:rsid w:val="000A2637"/>
    <w:rsid w:val="000A38D2"/>
    <w:rsid w:val="000A476B"/>
    <w:rsid w:val="000A4BC4"/>
    <w:rsid w:val="000A5ABC"/>
    <w:rsid w:val="000A6108"/>
    <w:rsid w:val="000A6BC8"/>
    <w:rsid w:val="000A6C26"/>
    <w:rsid w:val="000A709C"/>
    <w:rsid w:val="000A7A27"/>
    <w:rsid w:val="000B0206"/>
    <w:rsid w:val="000B0766"/>
    <w:rsid w:val="000B0D4A"/>
    <w:rsid w:val="000B1E93"/>
    <w:rsid w:val="000B2BE8"/>
    <w:rsid w:val="000B3932"/>
    <w:rsid w:val="000B3E86"/>
    <w:rsid w:val="000B49C7"/>
    <w:rsid w:val="000B523F"/>
    <w:rsid w:val="000B57F2"/>
    <w:rsid w:val="000B5BB0"/>
    <w:rsid w:val="000B5D70"/>
    <w:rsid w:val="000B6075"/>
    <w:rsid w:val="000B608D"/>
    <w:rsid w:val="000B634E"/>
    <w:rsid w:val="000B6495"/>
    <w:rsid w:val="000B6A17"/>
    <w:rsid w:val="000B6BE6"/>
    <w:rsid w:val="000B6D63"/>
    <w:rsid w:val="000B7055"/>
    <w:rsid w:val="000B72F7"/>
    <w:rsid w:val="000B7625"/>
    <w:rsid w:val="000B7A12"/>
    <w:rsid w:val="000B7F6A"/>
    <w:rsid w:val="000C030E"/>
    <w:rsid w:val="000C07D3"/>
    <w:rsid w:val="000C0A3E"/>
    <w:rsid w:val="000C1EC3"/>
    <w:rsid w:val="000C3434"/>
    <w:rsid w:val="000C36FE"/>
    <w:rsid w:val="000C3F6D"/>
    <w:rsid w:val="000C51C6"/>
    <w:rsid w:val="000C564D"/>
    <w:rsid w:val="000C6935"/>
    <w:rsid w:val="000C7277"/>
    <w:rsid w:val="000C791A"/>
    <w:rsid w:val="000C79CE"/>
    <w:rsid w:val="000C7E66"/>
    <w:rsid w:val="000D10D8"/>
    <w:rsid w:val="000D1253"/>
    <w:rsid w:val="000D17C1"/>
    <w:rsid w:val="000D2919"/>
    <w:rsid w:val="000D2AE0"/>
    <w:rsid w:val="000D2D7D"/>
    <w:rsid w:val="000D3380"/>
    <w:rsid w:val="000D4116"/>
    <w:rsid w:val="000D4E37"/>
    <w:rsid w:val="000D5E5E"/>
    <w:rsid w:val="000D6273"/>
    <w:rsid w:val="000D6649"/>
    <w:rsid w:val="000D7491"/>
    <w:rsid w:val="000D7718"/>
    <w:rsid w:val="000E0A8A"/>
    <w:rsid w:val="000E0B58"/>
    <w:rsid w:val="000E0B8D"/>
    <w:rsid w:val="000E1812"/>
    <w:rsid w:val="000E1B12"/>
    <w:rsid w:val="000E1DDA"/>
    <w:rsid w:val="000E2FBB"/>
    <w:rsid w:val="000E4433"/>
    <w:rsid w:val="000E4726"/>
    <w:rsid w:val="000E48D7"/>
    <w:rsid w:val="000E49E0"/>
    <w:rsid w:val="000E60FC"/>
    <w:rsid w:val="000E6236"/>
    <w:rsid w:val="000E665B"/>
    <w:rsid w:val="000F0627"/>
    <w:rsid w:val="000F0913"/>
    <w:rsid w:val="000F09F9"/>
    <w:rsid w:val="000F0C79"/>
    <w:rsid w:val="000F1035"/>
    <w:rsid w:val="000F1DF7"/>
    <w:rsid w:val="000F3189"/>
    <w:rsid w:val="000F386F"/>
    <w:rsid w:val="000F3D7A"/>
    <w:rsid w:val="000F44C0"/>
    <w:rsid w:val="000F4625"/>
    <w:rsid w:val="000F4B39"/>
    <w:rsid w:val="000F503A"/>
    <w:rsid w:val="000F57B9"/>
    <w:rsid w:val="000F58BA"/>
    <w:rsid w:val="000F5DC3"/>
    <w:rsid w:val="000F6677"/>
    <w:rsid w:val="000F7914"/>
    <w:rsid w:val="00100327"/>
    <w:rsid w:val="00100FF8"/>
    <w:rsid w:val="00101AAE"/>
    <w:rsid w:val="00101D5D"/>
    <w:rsid w:val="00102040"/>
    <w:rsid w:val="00102468"/>
    <w:rsid w:val="00102B74"/>
    <w:rsid w:val="00102C9E"/>
    <w:rsid w:val="00102EE5"/>
    <w:rsid w:val="00103979"/>
    <w:rsid w:val="00104231"/>
    <w:rsid w:val="0010440D"/>
    <w:rsid w:val="00105420"/>
    <w:rsid w:val="00105569"/>
    <w:rsid w:val="00105731"/>
    <w:rsid w:val="0010581C"/>
    <w:rsid w:val="001063E9"/>
    <w:rsid w:val="001066F3"/>
    <w:rsid w:val="0010673A"/>
    <w:rsid w:val="001067A9"/>
    <w:rsid w:val="00107C70"/>
    <w:rsid w:val="00110568"/>
    <w:rsid w:val="0011086C"/>
    <w:rsid w:val="00111694"/>
    <w:rsid w:val="00112077"/>
    <w:rsid w:val="00112085"/>
    <w:rsid w:val="001121F5"/>
    <w:rsid w:val="00112CB4"/>
    <w:rsid w:val="00112F7C"/>
    <w:rsid w:val="00113023"/>
    <w:rsid w:val="00113FD5"/>
    <w:rsid w:val="00114168"/>
    <w:rsid w:val="00114B42"/>
    <w:rsid w:val="001151EB"/>
    <w:rsid w:val="00115F35"/>
    <w:rsid w:val="0011649A"/>
    <w:rsid w:val="001167CB"/>
    <w:rsid w:val="001171AC"/>
    <w:rsid w:val="001174F6"/>
    <w:rsid w:val="001209A6"/>
    <w:rsid w:val="00120C95"/>
    <w:rsid w:val="00120F44"/>
    <w:rsid w:val="00122769"/>
    <w:rsid w:val="00123742"/>
    <w:rsid w:val="00123D04"/>
    <w:rsid w:val="00123DA5"/>
    <w:rsid w:val="001242F1"/>
    <w:rsid w:val="00124496"/>
    <w:rsid w:val="0012466F"/>
    <w:rsid w:val="00124AAF"/>
    <w:rsid w:val="00124C5A"/>
    <w:rsid w:val="00124F13"/>
    <w:rsid w:val="00126338"/>
    <w:rsid w:val="001266B6"/>
    <w:rsid w:val="00126D97"/>
    <w:rsid w:val="00126FD8"/>
    <w:rsid w:val="001273EA"/>
    <w:rsid w:val="0012798D"/>
    <w:rsid w:val="001279A6"/>
    <w:rsid w:val="00130C47"/>
    <w:rsid w:val="00130EA5"/>
    <w:rsid w:val="00130F9A"/>
    <w:rsid w:val="00131404"/>
    <w:rsid w:val="00131442"/>
    <w:rsid w:val="00131628"/>
    <w:rsid w:val="0013173C"/>
    <w:rsid w:val="00131AC1"/>
    <w:rsid w:val="00131AE8"/>
    <w:rsid w:val="00132C6C"/>
    <w:rsid w:val="0013308F"/>
    <w:rsid w:val="001343C0"/>
    <w:rsid w:val="00134480"/>
    <w:rsid w:val="00135AB0"/>
    <w:rsid w:val="00136284"/>
    <w:rsid w:val="00136BA9"/>
    <w:rsid w:val="0013717B"/>
    <w:rsid w:val="00140E4C"/>
    <w:rsid w:val="00141129"/>
    <w:rsid w:val="00141E26"/>
    <w:rsid w:val="001429B3"/>
    <w:rsid w:val="00143121"/>
    <w:rsid w:val="00143E18"/>
    <w:rsid w:val="00144387"/>
    <w:rsid w:val="00144A7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0CE4"/>
    <w:rsid w:val="00161E98"/>
    <w:rsid w:val="00162988"/>
    <w:rsid w:val="00162F6E"/>
    <w:rsid w:val="0016379A"/>
    <w:rsid w:val="00163BF7"/>
    <w:rsid w:val="001659E1"/>
    <w:rsid w:val="00165B58"/>
    <w:rsid w:val="00166430"/>
    <w:rsid w:val="0016666B"/>
    <w:rsid w:val="001668BC"/>
    <w:rsid w:val="00166F4A"/>
    <w:rsid w:val="0016714C"/>
    <w:rsid w:val="0016746F"/>
    <w:rsid w:val="00167A90"/>
    <w:rsid w:val="00167FBF"/>
    <w:rsid w:val="00170917"/>
    <w:rsid w:val="00170AE6"/>
    <w:rsid w:val="00170EAB"/>
    <w:rsid w:val="0017106C"/>
    <w:rsid w:val="00171799"/>
    <w:rsid w:val="001734E9"/>
    <w:rsid w:val="00173BA7"/>
    <w:rsid w:val="00174BA9"/>
    <w:rsid w:val="00174FAE"/>
    <w:rsid w:val="001754B1"/>
    <w:rsid w:val="00175744"/>
    <w:rsid w:val="00176529"/>
    <w:rsid w:val="00176845"/>
    <w:rsid w:val="0017687E"/>
    <w:rsid w:val="00176D12"/>
    <w:rsid w:val="00177445"/>
    <w:rsid w:val="0017762F"/>
    <w:rsid w:val="0017784F"/>
    <w:rsid w:val="001805FD"/>
    <w:rsid w:val="00180791"/>
    <w:rsid w:val="00180945"/>
    <w:rsid w:val="00180C6D"/>
    <w:rsid w:val="001810A3"/>
    <w:rsid w:val="0018191A"/>
    <w:rsid w:val="00181C14"/>
    <w:rsid w:val="00181E01"/>
    <w:rsid w:val="00182817"/>
    <w:rsid w:val="0018293F"/>
    <w:rsid w:val="00182A4C"/>
    <w:rsid w:val="00182B08"/>
    <w:rsid w:val="00182DA9"/>
    <w:rsid w:val="00183120"/>
    <w:rsid w:val="0018328F"/>
    <w:rsid w:val="00183545"/>
    <w:rsid w:val="00184DF3"/>
    <w:rsid w:val="00185708"/>
    <w:rsid w:val="00185879"/>
    <w:rsid w:val="00185CB7"/>
    <w:rsid w:val="001876DA"/>
    <w:rsid w:val="00187D66"/>
    <w:rsid w:val="00190108"/>
    <w:rsid w:val="00190861"/>
    <w:rsid w:val="001910F8"/>
    <w:rsid w:val="0019142A"/>
    <w:rsid w:val="001915BA"/>
    <w:rsid w:val="001918BF"/>
    <w:rsid w:val="001921F1"/>
    <w:rsid w:val="00192959"/>
    <w:rsid w:val="00194696"/>
    <w:rsid w:val="00194A92"/>
    <w:rsid w:val="00195693"/>
    <w:rsid w:val="001956B1"/>
    <w:rsid w:val="0019611E"/>
    <w:rsid w:val="0019644B"/>
    <w:rsid w:val="00196C4A"/>
    <w:rsid w:val="00196C5E"/>
    <w:rsid w:val="00196E66"/>
    <w:rsid w:val="001A0466"/>
    <w:rsid w:val="001A19F2"/>
    <w:rsid w:val="001A1F00"/>
    <w:rsid w:val="001A251A"/>
    <w:rsid w:val="001A2BB2"/>
    <w:rsid w:val="001A330C"/>
    <w:rsid w:val="001A3453"/>
    <w:rsid w:val="001A3594"/>
    <w:rsid w:val="001A3870"/>
    <w:rsid w:val="001A3A57"/>
    <w:rsid w:val="001A4AD3"/>
    <w:rsid w:val="001A4BDC"/>
    <w:rsid w:val="001A505D"/>
    <w:rsid w:val="001A545E"/>
    <w:rsid w:val="001A57FD"/>
    <w:rsid w:val="001A59CB"/>
    <w:rsid w:val="001A5A92"/>
    <w:rsid w:val="001A5AD8"/>
    <w:rsid w:val="001A6067"/>
    <w:rsid w:val="001A625C"/>
    <w:rsid w:val="001A661D"/>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4DD6"/>
    <w:rsid w:val="001B50DF"/>
    <w:rsid w:val="001B5646"/>
    <w:rsid w:val="001B6834"/>
    <w:rsid w:val="001B7D9F"/>
    <w:rsid w:val="001B7FB3"/>
    <w:rsid w:val="001C1104"/>
    <w:rsid w:val="001C157D"/>
    <w:rsid w:val="001C1730"/>
    <w:rsid w:val="001C2178"/>
    <w:rsid w:val="001C250A"/>
    <w:rsid w:val="001C274A"/>
    <w:rsid w:val="001C27D1"/>
    <w:rsid w:val="001C2D6F"/>
    <w:rsid w:val="001C38C2"/>
    <w:rsid w:val="001C3E28"/>
    <w:rsid w:val="001C4796"/>
    <w:rsid w:val="001C540F"/>
    <w:rsid w:val="001C608C"/>
    <w:rsid w:val="001C613C"/>
    <w:rsid w:val="001C61A2"/>
    <w:rsid w:val="001C658C"/>
    <w:rsid w:val="001D01A6"/>
    <w:rsid w:val="001D03D9"/>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A01"/>
    <w:rsid w:val="001D6E21"/>
    <w:rsid w:val="001D78FC"/>
    <w:rsid w:val="001D7BA9"/>
    <w:rsid w:val="001E0F71"/>
    <w:rsid w:val="001E0FAC"/>
    <w:rsid w:val="001E184E"/>
    <w:rsid w:val="001E1EEA"/>
    <w:rsid w:val="001E298C"/>
    <w:rsid w:val="001E2DDB"/>
    <w:rsid w:val="001E3C37"/>
    <w:rsid w:val="001E5AFB"/>
    <w:rsid w:val="001E5C03"/>
    <w:rsid w:val="001E5CD7"/>
    <w:rsid w:val="001E5E44"/>
    <w:rsid w:val="001E611A"/>
    <w:rsid w:val="001E6D66"/>
    <w:rsid w:val="001E6FA9"/>
    <w:rsid w:val="001E738D"/>
    <w:rsid w:val="001E73A0"/>
    <w:rsid w:val="001E7732"/>
    <w:rsid w:val="001E7996"/>
    <w:rsid w:val="001F0274"/>
    <w:rsid w:val="001F07A4"/>
    <w:rsid w:val="001F0FFF"/>
    <w:rsid w:val="001F1767"/>
    <w:rsid w:val="001F2807"/>
    <w:rsid w:val="001F3665"/>
    <w:rsid w:val="001F37C4"/>
    <w:rsid w:val="001F4153"/>
    <w:rsid w:val="001F45F1"/>
    <w:rsid w:val="001F475B"/>
    <w:rsid w:val="001F5256"/>
    <w:rsid w:val="001F5749"/>
    <w:rsid w:val="001F5A2E"/>
    <w:rsid w:val="001F5BBA"/>
    <w:rsid w:val="001F6770"/>
    <w:rsid w:val="001F6E49"/>
    <w:rsid w:val="001F704E"/>
    <w:rsid w:val="001F7DDE"/>
    <w:rsid w:val="002001DE"/>
    <w:rsid w:val="00201066"/>
    <w:rsid w:val="00201510"/>
    <w:rsid w:val="002016BA"/>
    <w:rsid w:val="00202290"/>
    <w:rsid w:val="00203488"/>
    <w:rsid w:val="00203599"/>
    <w:rsid w:val="0020366C"/>
    <w:rsid w:val="00204249"/>
    <w:rsid w:val="002043AB"/>
    <w:rsid w:val="0020482E"/>
    <w:rsid w:val="0020498A"/>
    <w:rsid w:val="0020532C"/>
    <w:rsid w:val="002057E4"/>
    <w:rsid w:val="00205A33"/>
    <w:rsid w:val="00205AEF"/>
    <w:rsid w:val="00206A3E"/>
    <w:rsid w:val="00206EE5"/>
    <w:rsid w:val="00207B14"/>
    <w:rsid w:val="00207F3E"/>
    <w:rsid w:val="00210564"/>
    <w:rsid w:val="002106A0"/>
    <w:rsid w:val="00211D61"/>
    <w:rsid w:val="00212141"/>
    <w:rsid w:val="002126B3"/>
    <w:rsid w:val="0021306D"/>
    <w:rsid w:val="002136E5"/>
    <w:rsid w:val="00215290"/>
    <w:rsid w:val="00216466"/>
    <w:rsid w:val="002166AE"/>
    <w:rsid w:val="00216745"/>
    <w:rsid w:val="00217120"/>
    <w:rsid w:val="002172DD"/>
    <w:rsid w:val="00217529"/>
    <w:rsid w:val="00217F61"/>
    <w:rsid w:val="00220930"/>
    <w:rsid w:val="00220C4B"/>
    <w:rsid w:val="00221A47"/>
    <w:rsid w:val="00222168"/>
    <w:rsid w:val="00222524"/>
    <w:rsid w:val="00222A32"/>
    <w:rsid w:val="002231AC"/>
    <w:rsid w:val="00223D8A"/>
    <w:rsid w:val="002242C8"/>
    <w:rsid w:val="00225657"/>
    <w:rsid w:val="00226B11"/>
    <w:rsid w:val="0022709B"/>
    <w:rsid w:val="002276B6"/>
    <w:rsid w:val="00227BD9"/>
    <w:rsid w:val="00227D5B"/>
    <w:rsid w:val="00230CC9"/>
    <w:rsid w:val="0023102E"/>
    <w:rsid w:val="00231803"/>
    <w:rsid w:val="002322ED"/>
    <w:rsid w:val="00232690"/>
    <w:rsid w:val="00232F40"/>
    <w:rsid w:val="00233082"/>
    <w:rsid w:val="00233194"/>
    <w:rsid w:val="0023343A"/>
    <w:rsid w:val="002339FB"/>
    <w:rsid w:val="00233C77"/>
    <w:rsid w:val="00234E19"/>
    <w:rsid w:val="00235035"/>
    <w:rsid w:val="002351FA"/>
    <w:rsid w:val="002356DB"/>
    <w:rsid w:val="00235CE2"/>
    <w:rsid w:val="00236869"/>
    <w:rsid w:val="00236F2F"/>
    <w:rsid w:val="00237B6F"/>
    <w:rsid w:val="00237CA3"/>
    <w:rsid w:val="00237CD0"/>
    <w:rsid w:val="002406B4"/>
    <w:rsid w:val="0024077D"/>
    <w:rsid w:val="00240A26"/>
    <w:rsid w:val="00241289"/>
    <w:rsid w:val="002412E5"/>
    <w:rsid w:val="002414E9"/>
    <w:rsid w:val="0024175D"/>
    <w:rsid w:val="0024198F"/>
    <w:rsid w:val="0024218D"/>
    <w:rsid w:val="00242AFB"/>
    <w:rsid w:val="00242F17"/>
    <w:rsid w:val="00243549"/>
    <w:rsid w:val="00243E2C"/>
    <w:rsid w:val="002452E3"/>
    <w:rsid w:val="00245657"/>
    <w:rsid w:val="0024593C"/>
    <w:rsid w:val="00246B2D"/>
    <w:rsid w:val="0025016C"/>
    <w:rsid w:val="00250C08"/>
    <w:rsid w:val="00250C33"/>
    <w:rsid w:val="00250D8A"/>
    <w:rsid w:val="00252185"/>
    <w:rsid w:val="002522D1"/>
    <w:rsid w:val="00252896"/>
    <w:rsid w:val="00252CB9"/>
    <w:rsid w:val="0025351B"/>
    <w:rsid w:val="00254130"/>
    <w:rsid w:val="002541F6"/>
    <w:rsid w:val="002545CA"/>
    <w:rsid w:val="002545FD"/>
    <w:rsid w:val="00254AB4"/>
    <w:rsid w:val="00254B2A"/>
    <w:rsid w:val="00255125"/>
    <w:rsid w:val="002551CF"/>
    <w:rsid w:val="002554A9"/>
    <w:rsid w:val="002554C0"/>
    <w:rsid w:val="002558CB"/>
    <w:rsid w:val="0025677F"/>
    <w:rsid w:val="0025682D"/>
    <w:rsid w:val="00256DC3"/>
    <w:rsid w:val="00257B8E"/>
    <w:rsid w:val="0026020D"/>
    <w:rsid w:val="0026033D"/>
    <w:rsid w:val="0026048D"/>
    <w:rsid w:val="00260B02"/>
    <w:rsid w:val="00261076"/>
    <w:rsid w:val="002611BE"/>
    <w:rsid w:val="00261320"/>
    <w:rsid w:val="00261E04"/>
    <w:rsid w:val="0026224F"/>
    <w:rsid w:val="00262BC5"/>
    <w:rsid w:val="002633F6"/>
    <w:rsid w:val="00263DC1"/>
    <w:rsid w:val="00263F7E"/>
    <w:rsid w:val="00264EE8"/>
    <w:rsid w:val="002664FE"/>
    <w:rsid w:val="002667D3"/>
    <w:rsid w:val="00266F8F"/>
    <w:rsid w:val="002673A2"/>
    <w:rsid w:val="0026791B"/>
    <w:rsid w:val="00267A9F"/>
    <w:rsid w:val="00267F5F"/>
    <w:rsid w:val="00270B0F"/>
    <w:rsid w:val="002717C1"/>
    <w:rsid w:val="00273273"/>
    <w:rsid w:val="002733F3"/>
    <w:rsid w:val="002736F5"/>
    <w:rsid w:val="00273CDD"/>
    <w:rsid w:val="00273FC0"/>
    <w:rsid w:val="00274032"/>
    <w:rsid w:val="00274FC3"/>
    <w:rsid w:val="002754D2"/>
    <w:rsid w:val="00276CF3"/>
    <w:rsid w:val="00277143"/>
    <w:rsid w:val="002773C7"/>
    <w:rsid w:val="00277E2F"/>
    <w:rsid w:val="00280E5B"/>
    <w:rsid w:val="0028102F"/>
    <w:rsid w:val="00281454"/>
    <w:rsid w:val="00282769"/>
    <w:rsid w:val="002833DC"/>
    <w:rsid w:val="00283C48"/>
    <w:rsid w:val="00283E06"/>
    <w:rsid w:val="00283E6C"/>
    <w:rsid w:val="00283F75"/>
    <w:rsid w:val="0028476C"/>
    <w:rsid w:val="00284C2E"/>
    <w:rsid w:val="00284DC4"/>
    <w:rsid w:val="00284EE0"/>
    <w:rsid w:val="0028518E"/>
    <w:rsid w:val="002855D6"/>
    <w:rsid w:val="00285791"/>
    <w:rsid w:val="00286225"/>
    <w:rsid w:val="00287229"/>
    <w:rsid w:val="00287584"/>
    <w:rsid w:val="00290E98"/>
    <w:rsid w:val="002912D9"/>
    <w:rsid w:val="00292A75"/>
    <w:rsid w:val="0029420D"/>
    <w:rsid w:val="00294C1D"/>
    <w:rsid w:val="00294F37"/>
    <w:rsid w:val="002953F0"/>
    <w:rsid w:val="00295451"/>
    <w:rsid w:val="002964A1"/>
    <w:rsid w:val="00296A5E"/>
    <w:rsid w:val="00296B1D"/>
    <w:rsid w:val="002970B8"/>
    <w:rsid w:val="00297C0C"/>
    <w:rsid w:val="002A08CC"/>
    <w:rsid w:val="002A0C66"/>
    <w:rsid w:val="002A0D68"/>
    <w:rsid w:val="002A17EC"/>
    <w:rsid w:val="002A1857"/>
    <w:rsid w:val="002A2B91"/>
    <w:rsid w:val="002A2B94"/>
    <w:rsid w:val="002A2FF6"/>
    <w:rsid w:val="002A4118"/>
    <w:rsid w:val="002A4698"/>
    <w:rsid w:val="002A4CEA"/>
    <w:rsid w:val="002A4FB3"/>
    <w:rsid w:val="002A5534"/>
    <w:rsid w:val="002A58AD"/>
    <w:rsid w:val="002A58D9"/>
    <w:rsid w:val="002A658E"/>
    <w:rsid w:val="002A73E8"/>
    <w:rsid w:val="002A7720"/>
    <w:rsid w:val="002A772A"/>
    <w:rsid w:val="002B09EE"/>
    <w:rsid w:val="002B13F7"/>
    <w:rsid w:val="002B1B6F"/>
    <w:rsid w:val="002B2162"/>
    <w:rsid w:val="002B2E37"/>
    <w:rsid w:val="002B3A4F"/>
    <w:rsid w:val="002B3EDB"/>
    <w:rsid w:val="002B40EE"/>
    <w:rsid w:val="002B42BF"/>
    <w:rsid w:val="002B4504"/>
    <w:rsid w:val="002B5115"/>
    <w:rsid w:val="002B5412"/>
    <w:rsid w:val="002B5DCD"/>
    <w:rsid w:val="002B5DDD"/>
    <w:rsid w:val="002B626A"/>
    <w:rsid w:val="002B6BF0"/>
    <w:rsid w:val="002B7879"/>
    <w:rsid w:val="002B7B9B"/>
    <w:rsid w:val="002B7F08"/>
    <w:rsid w:val="002C083C"/>
    <w:rsid w:val="002C0846"/>
    <w:rsid w:val="002C19A3"/>
    <w:rsid w:val="002C1B3A"/>
    <w:rsid w:val="002C1DFB"/>
    <w:rsid w:val="002C2244"/>
    <w:rsid w:val="002C2541"/>
    <w:rsid w:val="002C2D96"/>
    <w:rsid w:val="002C3C82"/>
    <w:rsid w:val="002C4371"/>
    <w:rsid w:val="002C45C7"/>
    <w:rsid w:val="002C4C73"/>
    <w:rsid w:val="002C5216"/>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3397"/>
    <w:rsid w:val="002D4543"/>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E62"/>
    <w:rsid w:val="002E4FAE"/>
    <w:rsid w:val="002E538B"/>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65A"/>
    <w:rsid w:val="002F5785"/>
    <w:rsid w:val="002F58A3"/>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685"/>
    <w:rsid w:val="00306763"/>
    <w:rsid w:val="00306A2A"/>
    <w:rsid w:val="003075B4"/>
    <w:rsid w:val="003108C5"/>
    <w:rsid w:val="00310C65"/>
    <w:rsid w:val="00310F2B"/>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17E1B"/>
    <w:rsid w:val="00320071"/>
    <w:rsid w:val="00321373"/>
    <w:rsid w:val="00321590"/>
    <w:rsid w:val="00321DA9"/>
    <w:rsid w:val="00321FF7"/>
    <w:rsid w:val="0032273D"/>
    <w:rsid w:val="00322794"/>
    <w:rsid w:val="00322B2B"/>
    <w:rsid w:val="003231BD"/>
    <w:rsid w:val="003239BA"/>
    <w:rsid w:val="003257E0"/>
    <w:rsid w:val="003257F8"/>
    <w:rsid w:val="003259BF"/>
    <w:rsid w:val="00325C23"/>
    <w:rsid w:val="0032795E"/>
    <w:rsid w:val="00327C97"/>
    <w:rsid w:val="00330130"/>
    <w:rsid w:val="003301C2"/>
    <w:rsid w:val="003306B1"/>
    <w:rsid w:val="00330FBE"/>
    <w:rsid w:val="00331274"/>
    <w:rsid w:val="00332383"/>
    <w:rsid w:val="0033298B"/>
    <w:rsid w:val="0033375D"/>
    <w:rsid w:val="003340AF"/>
    <w:rsid w:val="00334A02"/>
    <w:rsid w:val="00334A3C"/>
    <w:rsid w:val="00334CAF"/>
    <w:rsid w:val="00334F2A"/>
    <w:rsid w:val="00335B57"/>
    <w:rsid w:val="00336B3C"/>
    <w:rsid w:val="00336CBD"/>
    <w:rsid w:val="00337ABD"/>
    <w:rsid w:val="00337BF7"/>
    <w:rsid w:val="0034334E"/>
    <w:rsid w:val="00343EBC"/>
    <w:rsid w:val="00345A02"/>
    <w:rsid w:val="003462A6"/>
    <w:rsid w:val="0034640E"/>
    <w:rsid w:val="003464A7"/>
    <w:rsid w:val="003467F3"/>
    <w:rsid w:val="0034749E"/>
    <w:rsid w:val="00347A19"/>
    <w:rsid w:val="00347B7D"/>
    <w:rsid w:val="00347C53"/>
    <w:rsid w:val="00347D81"/>
    <w:rsid w:val="003504DB"/>
    <w:rsid w:val="00350B39"/>
    <w:rsid w:val="003510BB"/>
    <w:rsid w:val="00351B6E"/>
    <w:rsid w:val="00352D62"/>
    <w:rsid w:val="003530D4"/>
    <w:rsid w:val="003536AD"/>
    <w:rsid w:val="00353D25"/>
    <w:rsid w:val="003542CE"/>
    <w:rsid w:val="0035438E"/>
    <w:rsid w:val="0035533D"/>
    <w:rsid w:val="00356025"/>
    <w:rsid w:val="0035659D"/>
    <w:rsid w:val="00357A10"/>
    <w:rsid w:val="00357D07"/>
    <w:rsid w:val="00357D26"/>
    <w:rsid w:val="00360A89"/>
    <w:rsid w:val="0036143F"/>
    <w:rsid w:val="00361EAF"/>
    <w:rsid w:val="003625E9"/>
    <w:rsid w:val="00362889"/>
    <w:rsid w:val="00362961"/>
    <w:rsid w:val="00363012"/>
    <w:rsid w:val="00363362"/>
    <w:rsid w:val="00363A45"/>
    <w:rsid w:val="00364E5E"/>
    <w:rsid w:val="0036553B"/>
    <w:rsid w:val="00365F79"/>
    <w:rsid w:val="003665D8"/>
    <w:rsid w:val="0036664E"/>
    <w:rsid w:val="00367067"/>
    <w:rsid w:val="0036742A"/>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317"/>
    <w:rsid w:val="0038144F"/>
    <w:rsid w:val="00381B16"/>
    <w:rsid w:val="003822BB"/>
    <w:rsid w:val="00382760"/>
    <w:rsid w:val="00382E72"/>
    <w:rsid w:val="003830D8"/>
    <w:rsid w:val="003841EC"/>
    <w:rsid w:val="00384336"/>
    <w:rsid w:val="00384AC9"/>
    <w:rsid w:val="00385306"/>
    <w:rsid w:val="00385E81"/>
    <w:rsid w:val="00386251"/>
    <w:rsid w:val="003874DB"/>
    <w:rsid w:val="00387781"/>
    <w:rsid w:val="00387A9C"/>
    <w:rsid w:val="003906BD"/>
    <w:rsid w:val="00390950"/>
    <w:rsid w:val="0039106C"/>
    <w:rsid w:val="00391807"/>
    <w:rsid w:val="00392648"/>
    <w:rsid w:val="00392C44"/>
    <w:rsid w:val="00392CC0"/>
    <w:rsid w:val="0039358E"/>
    <w:rsid w:val="003939B4"/>
    <w:rsid w:val="00393C87"/>
    <w:rsid w:val="00394D30"/>
    <w:rsid w:val="00395BA5"/>
    <w:rsid w:val="00395CB4"/>
    <w:rsid w:val="00396351"/>
    <w:rsid w:val="00397387"/>
    <w:rsid w:val="0039751B"/>
    <w:rsid w:val="0039796B"/>
    <w:rsid w:val="00397BAF"/>
    <w:rsid w:val="003A006B"/>
    <w:rsid w:val="003A02EB"/>
    <w:rsid w:val="003A239F"/>
    <w:rsid w:val="003A36B7"/>
    <w:rsid w:val="003A3A3F"/>
    <w:rsid w:val="003A3D1B"/>
    <w:rsid w:val="003A3DF2"/>
    <w:rsid w:val="003A4583"/>
    <w:rsid w:val="003A470E"/>
    <w:rsid w:val="003A50CF"/>
    <w:rsid w:val="003A52B4"/>
    <w:rsid w:val="003A5B07"/>
    <w:rsid w:val="003A6601"/>
    <w:rsid w:val="003A6E74"/>
    <w:rsid w:val="003A7C72"/>
    <w:rsid w:val="003B07E1"/>
    <w:rsid w:val="003B1420"/>
    <w:rsid w:val="003B1470"/>
    <w:rsid w:val="003B1ED3"/>
    <w:rsid w:val="003B22D7"/>
    <w:rsid w:val="003B2A22"/>
    <w:rsid w:val="003B3A5E"/>
    <w:rsid w:val="003B456F"/>
    <w:rsid w:val="003B4E27"/>
    <w:rsid w:val="003B5478"/>
    <w:rsid w:val="003B6079"/>
    <w:rsid w:val="003B71E2"/>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C97"/>
    <w:rsid w:val="003C4E90"/>
    <w:rsid w:val="003C4FE4"/>
    <w:rsid w:val="003C52FC"/>
    <w:rsid w:val="003C565B"/>
    <w:rsid w:val="003C5B03"/>
    <w:rsid w:val="003C6C93"/>
    <w:rsid w:val="003C7830"/>
    <w:rsid w:val="003C7C3F"/>
    <w:rsid w:val="003C7D02"/>
    <w:rsid w:val="003D0A6C"/>
    <w:rsid w:val="003D1392"/>
    <w:rsid w:val="003D1FAC"/>
    <w:rsid w:val="003D20F2"/>
    <w:rsid w:val="003D33A5"/>
    <w:rsid w:val="003D393F"/>
    <w:rsid w:val="003D4196"/>
    <w:rsid w:val="003D4A66"/>
    <w:rsid w:val="003D4BCA"/>
    <w:rsid w:val="003D6226"/>
    <w:rsid w:val="003D65B9"/>
    <w:rsid w:val="003D71A7"/>
    <w:rsid w:val="003E0964"/>
    <w:rsid w:val="003E140C"/>
    <w:rsid w:val="003E1981"/>
    <w:rsid w:val="003E1EF4"/>
    <w:rsid w:val="003E296F"/>
    <w:rsid w:val="003E2E6E"/>
    <w:rsid w:val="003E2F68"/>
    <w:rsid w:val="003E31E1"/>
    <w:rsid w:val="003E36B4"/>
    <w:rsid w:val="003E383D"/>
    <w:rsid w:val="003E38C6"/>
    <w:rsid w:val="003E45E6"/>
    <w:rsid w:val="003E46C5"/>
    <w:rsid w:val="003E4B21"/>
    <w:rsid w:val="003E4C99"/>
    <w:rsid w:val="003E5691"/>
    <w:rsid w:val="003E576C"/>
    <w:rsid w:val="003E5865"/>
    <w:rsid w:val="003E5DE5"/>
    <w:rsid w:val="003E664F"/>
    <w:rsid w:val="003E78CA"/>
    <w:rsid w:val="003E797B"/>
    <w:rsid w:val="003F197D"/>
    <w:rsid w:val="003F1A11"/>
    <w:rsid w:val="003F1BCE"/>
    <w:rsid w:val="003F1E76"/>
    <w:rsid w:val="003F22B3"/>
    <w:rsid w:val="003F25C7"/>
    <w:rsid w:val="003F2A65"/>
    <w:rsid w:val="003F2DE8"/>
    <w:rsid w:val="003F383A"/>
    <w:rsid w:val="003F4B5A"/>
    <w:rsid w:val="003F4F8A"/>
    <w:rsid w:val="003F50A5"/>
    <w:rsid w:val="003F55E2"/>
    <w:rsid w:val="003F57FF"/>
    <w:rsid w:val="003F5A68"/>
    <w:rsid w:val="003F5B03"/>
    <w:rsid w:val="003F5F47"/>
    <w:rsid w:val="003F66F7"/>
    <w:rsid w:val="003F6983"/>
    <w:rsid w:val="003F7230"/>
    <w:rsid w:val="003F72AF"/>
    <w:rsid w:val="003F75AF"/>
    <w:rsid w:val="004000D5"/>
    <w:rsid w:val="00400172"/>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5A48"/>
    <w:rsid w:val="0040623A"/>
    <w:rsid w:val="004063A0"/>
    <w:rsid w:val="00406943"/>
    <w:rsid w:val="00406F06"/>
    <w:rsid w:val="0040727A"/>
    <w:rsid w:val="0040735E"/>
    <w:rsid w:val="00407700"/>
    <w:rsid w:val="004077EB"/>
    <w:rsid w:val="00407942"/>
    <w:rsid w:val="004100F6"/>
    <w:rsid w:val="00410654"/>
    <w:rsid w:val="00411019"/>
    <w:rsid w:val="004110D5"/>
    <w:rsid w:val="00411159"/>
    <w:rsid w:val="0041265F"/>
    <w:rsid w:val="0041272D"/>
    <w:rsid w:val="004127F2"/>
    <w:rsid w:val="00412B84"/>
    <w:rsid w:val="00413062"/>
    <w:rsid w:val="004150F8"/>
    <w:rsid w:val="00415957"/>
    <w:rsid w:val="004163C4"/>
    <w:rsid w:val="004163E8"/>
    <w:rsid w:val="00416A32"/>
    <w:rsid w:val="00416AF3"/>
    <w:rsid w:val="00416B2F"/>
    <w:rsid w:val="0041730C"/>
    <w:rsid w:val="00417CF6"/>
    <w:rsid w:val="00420EA0"/>
    <w:rsid w:val="00421888"/>
    <w:rsid w:val="00422A12"/>
    <w:rsid w:val="00422D34"/>
    <w:rsid w:val="00423243"/>
    <w:rsid w:val="0042400B"/>
    <w:rsid w:val="00424D01"/>
    <w:rsid w:val="00425658"/>
    <w:rsid w:val="00425D77"/>
    <w:rsid w:val="00426492"/>
    <w:rsid w:val="004264D7"/>
    <w:rsid w:val="00426BE3"/>
    <w:rsid w:val="00427E7B"/>
    <w:rsid w:val="00427EA4"/>
    <w:rsid w:val="00430B68"/>
    <w:rsid w:val="004312AF"/>
    <w:rsid w:val="004313A3"/>
    <w:rsid w:val="004314DF"/>
    <w:rsid w:val="00431761"/>
    <w:rsid w:val="00431E3F"/>
    <w:rsid w:val="00431E5E"/>
    <w:rsid w:val="004337CB"/>
    <w:rsid w:val="00433EDB"/>
    <w:rsid w:val="00434C0F"/>
    <w:rsid w:val="00434F33"/>
    <w:rsid w:val="0043541D"/>
    <w:rsid w:val="00435FBB"/>
    <w:rsid w:val="0043664C"/>
    <w:rsid w:val="004366E7"/>
    <w:rsid w:val="00436EFD"/>
    <w:rsid w:val="00437A1A"/>
    <w:rsid w:val="00437DE6"/>
    <w:rsid w:val="00440177"/>
    <w:rsid w:val="0044079D"/>
    <w:rsid w:val="00441DFA"/>
    <w:rsid w:val="004428B5"/>
    <w:rsid w:val="00442AF2"/>
    <w:rsid w:val="00443903"/>
    <w:rsid w:val="00443AA8"/>
    <w:rsid w:val="00444D1A"/>
    <w:rsid w:val="00445372"/>
    <w:rsid w:val="004453B7"/>
    <w:rsid w:val="004455F1"/>
    <w:rsid w:val="004455F6"/>
    <w:rsid w:val="004468EB"/>
    <w:rsid w:val="00446A46"/>
    <w:rsid w:val="00446AAD"/>
    <w:rsid w:val="00446D7F"/>
    <w:rsid w:val="00447BDD"/>
    <w:rsid w:val="004508FE"/>
    <w:rsid w:val="00450FA1"/>
    <w:rsid w:val="00451021"/>
    <w:rsid w:val="004515F7"/>
    <w:rsid w:val="00452755"/>
    <w:rsid w:val="00452C20"/>
    <w:rsid w:val="00452DCF"/>
    <w:rsid w:val="004531AC"/>
    <w:rsid w:val="00453854"/>
    <w:rsid w:val="00453A14"/>
    <w:rsid w:val="00453A9A"/>
    <w:rsid w:val="004556E7"/>
    <w:rsid w:val="0045595C"/>
    <w:rsid w:val="00455A7D"/>
    <w:rsid w:val="00455EC1"/>
    <w:rsid w:val="0045613E"/>
    <w:rsid w:val="004565A9"/>
    <w:rsid w:val="004566FC"/>
    <w:rsid w:val="0045681E"/>
    <w:rsid w:val="00457B55"/>
    <w:rsid w:val="00457F80"/>
    <w:rsid w:val="0046002E"/>
    <w:rsid w:val="00460101"/>
    <w:rsid w:val="00461014"/>
    <w:rsid w:val="00461017"/>
    <w:rsid w:val="004610E6"/>
    <w:rsid w:val="004613C7"/>
    <w:rsid w:val="00461892"/>
    <w:rsid w:val="0046191A"/>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3D8"/>
    <w:rsid w:val="00470703"/>
    <w:rsid w:val="00471233"/>
    <w:rsid w:val="00472234"/>
    <w:rsid w:val="00472D21"/>
    <w:rsid w:val="00474579"/>
    <w:rsid w:val="004752C7"/>
    <w:rsid w:val="00475442"/>
    <w:rsid w:val="00475B09"/>
    <w:rsid w:val="00475FD8"/>
    <w:rsid w:val="00476A7F"/>
    <w:rsid w:val="0047730B"/>
    <w:rsid w:val="0047730E"/>
    <w:rsid w:val="00477879"/>
    <w:rsid w:val="004814FB"/>
    <w:rsid w:val="004817DF"/>
    <w:rsid w:val="00481829"/>
    <w:rsid w:val="00481D07"/>
    <w:rsid w:val="00483196"/>
    <w:rsid w:val="0048319E"/>
    <w:rsid w:val="00483E58"/>
    <w:rsid w:val="0048481D"/>
    <w:rsid w:val="00484C13"/>
    <w:rsid w:val="0048517A"/>
    <w:rsid w:val="00485674"/>
    <w:rsid w:val="00485799"/>
    <w:rsid w:val="00486F73"/>
    <w:rsid w:val="00487898"/>
    <w:rsid w:val="00487A6E"/>
    <w:rsid w:val="0049016E"/>
    <w:rsid w:val="004905A3"/>
    <w:rsid w:val="00492074"/>
    <w:rsid w:val="00492230"/>
    <w:rsid w:val="00492386"/>
    <w:rsid w:val="00492CC4"/>
    <w:rsid w:val="0049494F"/>
    <w:rsid w:val="00494A58"/>
    <w:rsid w:val="00494FE8"/>
    <w:rsid w:val="00495116"/>
    <w:rsid w:val="0049545B"/>
    <w:rsid w:val="004960CC"/>
    <w:rsid w:val="00496846"/>
    <w:rsid w:val="00497030"/>
    <w:rsid w:val="004979A1"/>
    <w:rsid w:val="004A01F7"/>
    <w:rsid w:val="004A04FD"/>
    <w:rsid w:val="004A0635"/>
    <w:rsid w:val="004A11D9"/>
    <w:rsid w:val="004A176D"/>
    <w:rsid w:val="004A1BC7"/>
    <w:rsid w:val="004A2303"/>
    <w:rsid w:val="004A2551"/>
    <w:rsid w:val="004A2E0F"/>
    <w:rsid w:val="004A3366"/>
    <w:rsid w:val="004A35D9"/>
    <w:rsid w:val="004A3EC4"/>
    <w:rsid w:val="004A4077"/>
    <w:rsid w:val="004A48F3"/>
    <w:rsid w:val="004A5074"/>
    <w:rsid w:val="004A5369"/>
    <w:rsid w:val="004A5A2E"/>
    <w:rsid w:val="004A5D5B"/>
    <w:rsid w:val="004A5D7D"/>
    <w:rsid w:val="004A5FF9"/>
    <w:rsid w:val="004A7EFA"/>
    <w:rsid w:val="004B031E"/>
    <w:rsid w:val="004B0A34"/>
    <w:rsid w:val="004B16A0"/>
    <w:rsid w:val="004B2216"/>
    <w:rsid w:val="004B2C0D"/>
    <w:rsid w:val="004B2D82"/>
    <w:rsid w:val="004B349C"/>
    <w:rsid w:val="004B3563"/>
    <w:rsid w:val="004B428D"/>
    <w:rsid w:val="004B46E5"/>
    <w:rsid w:val="004B4C65"/>
    <w:rsid w:val="004B5345"/>
    <w:rsid w:val="004B5A13"/>
    <w:rsid w:val="004B5D18"/>
    <w:rsid w:val="004B6281"/>
    <w:rsid w:val="004B66E9"/>
    <w:rsid w:val="004B6C03"/>
    <w:rsid w:val="004B711E"/>
    <w:rsid w:val="004B7BC9"/>
    <w:rsid w:val="004C0459"/>
    <w:rsid w:val="004C0E63"/>
    <w:rsid w:val="004C2047"/>
    <w:rsid w:val="004C2A1B"/>
    <w:rsid w:val="004C3449"/>
    <w:rsid w:val="004C3F52"/>
    <w:rsid w:val="004C407F"/>
    <w:rsid w:val="004C40E0"/>
    <w:rsid w:val="004C44F5"/>
    <w:rsid w:val="004C4565"/>
    <w:rsid w:val="004C47D5"/>
    <w:rsid w:val="004C67C0"/>
    <w:rsid w:val="004C7DC5"/>
    <w:rsid w:val="004C7EE7"/>
    <w:rsid w:val="004D0498"/>
    <w:rsid w:val="004D0519"/>
    <w:rsid w:val="004D0817"/>
    <w:rsid w:val="004D1163"/>
    <w:rsid w:val="004D116C"/>
    <w:rsid w:val="004D134D"/>
    <w:rsid w:val="004D1462"/>
    <w:rsid w:val="004D14C7"/>
    <w:rsid w:val="004D157A"/>
    <w:rsid w:val="004D2039"/>
    <w:rsid w:val="004D2342"/>
    <w:rsid w:val="004D280A"/>
    <w:rsid w:val="004D2983"/>
    <w:rsid w:val="004D2A65"/>
    <w:rsid w:val="004D3AAB"/>
    <w:rsid w:val="004D3C7F"/>
    <w:rsid w:val="004D4C88"/>
    <w:rsid w:val="004D5642"/>
    <w:rsid w:val="004D6840"/>
    <w:rsid w:val="004D68DE"/>
    <w:rsid w:val="004D6D31"/>
    <w:rsid w:val="004D6DF0"/>
    <w:rsid w:val="004D7526"/>
    <w:rsid w:val="004D76D5"/>
    <w:rsid w:val="004E2224"/>
    <w:rsid w:val="004E2671"/>
    <w:rsid w:val="004E2756"/>
    <w:rsid w:val="004E31A7"/>
    <w:rsid w:val="004E39EF"/>
    <w:rsid w:val="004E3C0D"/>
    <w:rsid w:val="004E46AE"/>
    <w:rsid w:val="004E46DC"/>
    <w:rsid w:val="004E4B87"/>
    <w:rsid w:val="004E4C9A"/>
    <w:rsid w:val="004E531E"/>
    <w:rsid w:val="004E5FB1"/>
    <w:rsid w:val="004E68C5"/>
    <w:rsid w:val="004E697F"/>
    <w:rsid w:val="004E6C06"/>
    <w:rsid w:val="004E6D90"/>
    <w:rsid w:val="004E6E35"/>
    <w:rsid w:val="004E7ADB"/>
    <w:rsid w:val="004E7DE8"/>
    <w:rsid w:val="004F0554"/>
    <w:rsid w:val="004F0626"/>
    <w:rsid w:val="004F06A9"/>
    <w:rsid w:val="004F17BD"/>
    <w:rsid w:val="004F225A"/>
    <w:rsid w:val="004F2DED"/>
    <w:rsid w:val="004F3685"/>
    <w:rsid w:val="004F3C1E"/>
    <w:rsid w:val="004F404D"/>
    <w:rsid w:val="004F42B5"/>
    <w:rsid w:val="004F5C2E"/>
    <w:rsid w:val="004F5DA8"/>
    <w:rsid w:val="004F5E26"/>
    <w:rsid w:val="004F60F9"/>
    <w:rsid w:val="004F6600"/>
    <w:rsid w:val="004F688A"/>
    <w:rsid w:val="004F6928"/>
    <w:rsid w:val="004F6D6F"/>
    <w:rsid w:val="004F6D96"/>
    <w:rsid w:val="004F757A"/>
    <w:rsid w:val="004F7B5D"/>
    <w:rsid w:val="004F7F15"/>
    <w:rsid w:val="004F7FD8"/>
    <w:rsid w:val="0050154B"/>
    <w:rsid w:val="00501B0E"/>
    <w:rsid w:val="00501C21"/>
    <w:rsid w:val="00501DC4"/>
    <w:rsid w:val="00502274"/>
    <w:rsid w:val="005024A4"/>
    <w:rsid w:val="005024AE"/>
    <w:rsid w:val="005025D3"/>
    <w:rsid w:val="005028B3"/>
    <w:rsid w:val="00502DC7"/>
    <w:rsid w:val="00503D85"/>
    <w:rsid w:val="00503DE0"/>
    <w:rsid w:val="005050EC"/>
    <w:rsid w:val="00505130"/>
    <w:rsid w:val="00505972"/>
    <w:rsid w:val="00506358"/>
    <w:rsid w:val="00506AF4"/>
    <w:rsid w:val="00506E2A"/>
    <w:rsid w:val="00507D53"/>
    <w:rsid w:val="00510397"/>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B9C"/>
    <w:rsid w:val="00520DBE"/>
    <w:rsid w:val="0052102A"/>
    <w:rsid w:val="00521EEA"/>
    <w:rsid w:val="00522FCC"/>
    <w:rsid w:val="00523A19"/>
    <w:rsid w:val="00523C75"/>
    <w:rsid w:val="005258DE"/>
    <w:rsid w:val="005259CD"/>
    <w:rsid w:val="00526044"/>
    <w:rsid w:val="00527229"/>
    <w:rsid w:val="005276F5"/>
    <w:rsid w:val="00530793"/>
    <w:rsid w:val="00530F84"/>
    <w:rsid w:val="0053140E"/>
    <w:rsid w:val="00533129"/>
    <w:rsid w:val="0053325B"/>
    <w:rsid w:val="00533BA0"/>
    <w:rsid w:val="00534095"/>
    <w:rsid w:val="0053420F"/>
    <w:rsid w:val="005347F7"/>
    <w:rsid w:val="0053484F"/>
    <w:rsid w:val="0053508A"/>
    <w:rsid w:val="00535171"/>
    <w:rsid w:val="005357E1"/>
    <w:rsid w:val="00535822"/>
    <w:rsid w:val="00536A95"/>
    <w:rsid w:val="00537542"/>
    <w:rsid w:val="00537C20"/>
    <w:rsid w:val="00541571"/>
    <w:rsid w:val="005418EA"/>
    <w:rsid w:val="00541DF9"/>
    <w:rsid w:val="0054215F"/>
    <w:rsid w:val="005424BC"/>
    <w:rsid w:val="00542646"/>
    <w:rsid w:val="00542702"/>
    <w:rsid w:val="00542862"/>
    <w:rsid w:val="00542DD5"/>
    <w:rsid w:val="00542FA8"/>
    <w:rsid w:val="005431BE"/>
    <w:rsid w:val="0054451F"/>
    <w:rsid w:val="0054464C"/>
    <w:rsid w:val="00544668"/>
    <w:rsid w:val="005450E2"/>
    <w:rsid w:val="005472F1"/>
    <w:rsid w:val="00550361"/>
    <w:rsid w:val="00552A75"/>
    <w:rsid w:val="00552C1A"/>
    <w:rsid w:val="005534BB"/>
    <w:rsid w:val="005537B0"/>
    <w:rsid w:val="00553BFB"/>
    <w:rsid w:val="00553F05"/>
    <w:rsid w:val="005545F3"/>
    <w:rsid w:val="00554728"/>
    <w:rsid w:val="00554C35"/>
    <w:rsid w:val="005553AF"/>
    <w:rsid w:val="0055543E"/>
    <w:rsid w:val="005559FE"/>
    <w:rsid w:val="00555F8C"/>
    <w:rsid w:val="0055622E"/>
    <w:rsid w:val="005568F2"/>
    <w:rsid w:val="00556BCB"/>
    <w:rsid w:val="00556DC9"/>
    <w:rsid w:val="005570AC"/>
    <w:rsid w:val="00557131"/>
    <w:rsid w:val="00557198"/>
    <w:rsid w:val="005571B3"/>
    <w:rsid w:val="0056020B"/>
    <w:rsid w:val="005602E4"/>
    <w:rsid w:val="0056051E"/>
    <w:rsid w:val="005605C1"/>
    <w:rsid w:val="005614DB"/>
    <w:rsid w:val="00561617"/>
    <w:rsid w:val="00561C87"/>
    <w:rsid w:val="00561E45"/>
    <w:rsid w:val="005633D8"/>
    <w:rsid w:val="00563464"/>
    <w:rsid w:val="005643F0"/>
    <w:rsid w:val="00564890"/>
    <w:rsid w:val="00564CB9"/>
    <w:rsid w:val="00564FC2"/>
    <w:rsid w:val="005651E1"/>
    <w:rsid w:val="00565748"/>
    <w:rsid w:val="00565B41"/>
    <w:rsid w:val="0056638E"/>
    <w:rsid w:val="00566487"/>
    <w:rsid w:val="00566B9F"/>
    <w:rsid w:val="00566BC9"/>
    <w:rsid w:val="00567205"/>
    <w:rsid w:val="00567A03"/>
    <w:rsid w:val="00567F88"/>
    <w:rsid w:val="00570D06"/>
    <w:rsid w:val="00571673"/>
    <w:rsid w:val="0057228F"/>
    <w:rsid w:val="005725BE"/>
    <w:rsid w:val="00572C2D"/>
    <w:rsid w:val="005738F2"/>
    <w:rsid w:val="00573AE9"/>
    <w:rsid w:val="00574F3C"/>
    <w:rsid w:val="00576F95"/>
    <w:rsid w:val="005776AE"/>
    <w:rsid w:val="00577AB6"/>
    <w:rsid w:val="00577C4A"/>
    <w:rsid w:val="00581388"/>
    <w:rsid w:val="0058211A"/>
    <w:rsid w:val="00582B8F"/>
    <w:rsid w:val="0058338A"/>
    <w:rsid w:val="00583476"/>
    <w:rsid w:val="00584286"/>
    <w:rsid w:val="0058439A"/>
    <w:rsid w:val="00584476"/>
    <w:rsid w:val="00584D18"/>
    <w:rsid w:val="00584EF8"/>
    <w:rsid w:val="00585001"/>
    <w:rsid w:val="005870DD"/>
    <w:rsid w:val="00587150"/>
    <w:rsid w:val="005879E8"/>
    <w:rsid w:val="00587B56"/>
    <w:rsid w:val="005916D9"/>
    <w:rsid w:val="005920BA"/>
    <w:rsid w:val="00592D17"/>
    <w:rsid w:val="005932B1"/>
    <w:rsid w:val="00593592"/>
    <w:rsid w:val="005938EB"/>
    <w:rsid w:val="00593BEC"/>
    <w:rsid w:val="00593EAA"/>
    <w:rsid w:val="00594338"/>
    <w:rsid w:val="0059454C"/>
    <w:rsid w:val="0059496D"/>
    <w:rsid w:val="00594B8C"/>
    <w:rsid w:val="005950DE"/>
    <w:rsid w:val="00595227"/>
    <w:rsid w:val="00595DD1"/>
    <w:rsid w:val="00596525"/>
    <w:rsid w:val="00596569"/>
    <w:rsid w:val="00596653"/>
    <w:rsid w:val="005968A9"/>
    <w:rsid w:val="005970AB"/>
    <w:rsid w:val="00597519"/>
    <w:rsid w:val="005975FE"/>
    <w:rsid w:val="005976AB"/>
    <w:rsid w:val="00597FC9"/>
    <w:rsid w:val="005A0FE5"/>
    <w:rsid w:val="005A2445"/>
    <w:rsid w:val="005A2455"/>
    <w:rsid w:val="005A2933"/>
    <w:rsid w:val="005A3530"/>
    <w:rsid w:val="005A3B20"/>
    <w:rsid w:val="005A3FD0"/>
    <w:rsid w:val="005A490F"/>
    <w:rsid w:val="005A5D77"/>
    <w:rsid w:val="005A602B"/>
    <w:rsid w:val="005A60EE"/>
    <w:rsid w:val="005A6AE5"/>
    <w:rsid w:val="005A6D1A"/>
    <w:rsid w:val="005A7068"/>
    <w:rsid w:val="005A7329"/>
    <w:rsid w:val="005A7A30"/>
    <w:rsid w:val="005B00A0"/>
    <w:rsid w:val="005B0307"/>
    <w:rsid w:val="005B03DF"/>
    <w:rsid w:val="005B041B"/>
    <w:rsid w:val="005B0A2B"/>
    <w:rsid w:val="005B1CF9"/>
    <w:rsid w:val="005B25ED"/>
    <w:rsid w:val="005B2808"/>
    <w:rsid w:val="005B29CA"/>
    <w:rsid w:val="005B36C6"/>
    <w:rsid w:val="005B38BA"/>
    <w:rsid w:val="005B39FC"/>
    <w:rsid w:val="005B3C4B"/>
    <w:rsid w:val="005B40DC"/>
    <w:rsid w:val="005B4B00"/>
    <w:rsid w:val="005B4DFF"/>
    <w:rsid w:val="005B5156"/>
    <w:rsid w:val="005B5A84"/>
    <w:rsid w:val="005B69E7"/>
    <w:rsid w:val="005B71EA"/>
    <w:rsid w:val="005B744E"/>
    <w:rsid w:val="005B771B"/>
    <w:rsid w:val="005B7B1D"/>
    <w:rsid w:val="005C07C6"/>
    <w:rsid w:val="005C0F5B"/>
    <w:rsid w:val="005C2298"/>
    <w:rsid w:val="005C26CB"/>
    <w:rsid w:val="005C2D9A"/>
    <w:rsid w:val="005C41BF"/>
    <w:rsid w:val="005C42A2"/>
    <w:rsid w:val="005C42CF"/>
    <w:rsid w:val="005C5137"/>
    <w:rsid w:val="005C543C"/>
    <w:rsid w:val="005C5FCB"/>
    <w:rsid w:val="005C6E29"/>
    <w:rsid w:val="005C776A"/>
    <w:rsid w:val="005C778F"/>
    <w:rsid w:val="005C7A53"/>
    <w:rsid w:val="005D0899"/>
    <w:rsid w:val="005D09D9"/>
    <w:rsid w:val="005D0E66"/>
    <w:rsid w:val="005D0FB3"/>
    <w:rsid w:val="005D1ECF"/>
    <w:rsid w:val="005D1ED5"/>
    <w:rsid w:val="005D1FD7"/>
    <w:rsid w:val="005D2340"/>
    <w:rsid w:val="005D23BE"/>
    <w:rsid w:val="005D2669"/>
    <w:rsid w:val="005D34D9"/>
    <w:rsid w:val="005D379A"/>
    <w:rsid w:val="005D3960"/>
    <w:rsid w:val="005D462E"/>
    <w:rsid w:val="005D4926"/>
    <w:rsid w:val="005D5BB7"/>
    <w:rsid w:val="005D6443"/>
    <w:rsid w:val="005D73D0"/>
    <w:rsid w:val="005D75D9"/>
    <w:rsid w:val="005D7922"/>
    <w:rsid w:val="005D7A85"/>
    <w:rsid w:val="005E051B"/>
    <w:rsid w:val="005E0DB0"/>
    <w:rsid w:val="005E0E67"/>
    <w:rsid w:val="005E1410"/>
    <w:rsid w:val="005E2481"/>
    <w:rsid w:val="005E2E4E"/>
    <w:rsid w:val="005E3005"/>
    <w:rsid w:val="005E329F"/>
    <w:rsid w:val="005E32A5"/>
    <w:rsid w:val="005E3707"/>
    <w:rsid w:val="005E39E4"/>
    <w:rsid w:val="005E4E2B"/>
    <w:rsid w:val="005E4F41"/>
    <w:rsid w:val="005E5557"/>
    <w:rsid w:val="005E5690"/>
    <w:rsid w:val="005E607B"/>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68DD"/>
    <w:rsid w:val="005F7E2C"/>
    <w:rsid w:val="00600D04"/>
    <w:rsid w:val="00600F1C"/>
    <w:rsid w:val="0060104D"/>
    <w:rsid w:val="0060130A"/>
    <w:rsid w:val="006021A0"/>
    <w:rsid w:val="00602B35"/>
    <w:rsid w:val="00602B6B"/>
    <w:rsid w:val="00603B57"/>
    <w:rsid w:val="00603BCA"/>
    <w:rsid w:val="00603BD6"/>
    <w:rsid w:val="00603C91"/>
    <w:rsid w:val="006040F4"/>
    <w:rsid w:val="006040FA"/>
    <w:rsid w:val="00604782"/>
    <w:rsid w:val="00604B53"/>
    <w:rsid w:val="0060525A"/>
    <w:rsid w:val="0060531B"/>
    <w:rsid w:val="00605BD6"/>
    <w:rsid w:val="00606AED"/>
    <w:rsid w:val="0060743F"/>
    <w:rsid w:val="00607D56"/>
    <w:rsid w:val="00610641"/>
    <w:rsid w:val="00610AD2"/>
    <w:rsid w:val="00611F5E"/>
    <w:rsid w:val="006124E6"/>
    <w:rsid w:val="006126B3"/>
    <w:rsid w:val="00612A70"/>
    <w:rsid w:val="00612AD9"/>
    <w:rsid w:val="006149A4"/>
    <w:rsid w:val="006151EC"/>
    <w:rsid w:val="00615594"/>
    <w:rsid w:val="00615A63"/>
    <w:rsid w:val="00615B5E"/>
    <w:rsid w:val="00615CE7"/>
    <w:rsid w:val="00616990"/>
    <w:rsid w:val="006169DE"/>
    <w:rsid w:val="00617238"/>
    <w:rsid w:val="00617630"/>
    <w:rsid w:val="0061798B"/>
    <w:rsid w:val="00617A22"/>
    <w:rsid w:val="00621CCD"/>
    <w:rsid w:val="00621F7C"/>
    <w:rsid w:val="00622361"/>
    <w:rsid w:val="00622443"/>
    <w:rsid w:val="0062271A"/>
    <w:rsid w:val="006231C1"/>
    <w:rsid w:val="006233AE"/>
    <w:rsid w:val="00623B0A"/>
    <w:rsid w:val="00624C72"/>
    <w:rsid w:val="00625055"/>
    <w:rsid w:val="00625138"/>
    <w:rsid w:val="00625474"/>
    <w:rsid w:val="00625880"/>
    <w:rsid w:val="00625B27"/>
    <w:rsid w:val="00626906"/>
    <w:rsid w:val="00627DDC"/>
    <w:rsid w:val="00630617"/>
    <w:rsid w:val="006306EA"/>
    <w:rsid w:val="00630AD8"/>
    <w:rsid w:val="00630BA9"/>
    <w:rsid w:val="00631546"/>
    <w:rsid w:val="0063232C"/>
    <w:rsid w:val="00632709"/>
    <w:rsid w:val="0063378A"/>
    <w:rsid w:val="0063454B"/>
    <w:rsid w:val="006346B3"/>
    <w:rsid w:val="0063545F"/>
    <w:rsid w:val="006356EB"/>
    <w:rsid w:val="00636C9B"/>
    <w:rsid w:val="00636ED8"/>
    <w:rsid w:val="00637323"/>
    <w:rsid w:val="0063760E"/>
    <w:rsid w:val="00637748"/>
    <w:rsid w:val="00637860"/>
    <w:rsid w:val="0064050E"/>
    <w:rsid w:val="006405F4"/>
    <w:rsid w:val="006410BD"/>
    <w:rsid w:val="00641AF0"/>
    <w:rsid w:val="00641BA9"/>
    <w:rsid w:val="00641DBA"/>
    <w:rsid w:val="00642672"/>
    <w:rsid w:val="00643684"/>
    <w:rsid w:val="00643BB4"/>
    <w:rsid w:val="00643F95"/>
    <w:rsid w:val="00644452"/>
    <w:rsid w:val="0064457B"/>
    <w:rsid w:val="00644C34"/>
    <w:rsid w:val="0064533B"/>
    <w:rsid w:val="0064577E"/>
    <w:rsid w:val="00645955"/>
    <w:rsid w:val="00645C3A"/>
    <w:rsid w:val="0064674D"/>
    <w:rsid w:val="00646BDF"/>
    <w:rsid w:val="00646EB3"/>
    <w:rsid w:val="00646FEE"/>
    <w:rsid w:val="00647252"/>
    <w:rsid w:val="00647483"/>
    <w:rsid w:val="00647F0F"/>
    <w:rsid w:val="0065029D"/>
    <w:rsid w:val="00650702"/>
    <w:rsid w:val="00650B40"/>
    <w:rsid w:val="00650CDF"/>
    <w:rsid w:val="00650D76"/>
    <w:rsid w:val="00651062"/>
    <w:rsid w:val="00651564"/>
    <w:rsid w:val="00651B40"/>
    <w:rsid w:val="00651E45"/>
    <w:rsid w:val="00651FB2"/>
    <w:rsid w:val="00652AC7"/>
    <w:rsid w:val="006542C5"/>
    <w:rsid w:val="00654669"/>
    <w:rsid w:val="006546F0"/>
    <w:rsid w:val="00654895"/>
    <w:rsid w:val="00655358"/>
    <w:rsid w:val="006567DD"/>
    <w:rsid w:val="006573E5"/>
    <w:rsid w:val="00657B91"/>
    <w:rsid w:val="00657CEE"/>
    <w:rsid w:val="00660C7D"/>
    <w:rsid w:val="00660D5C"/>
    <w:rsid w:val="00660FA9"/>
    <w:rsid w:val="00661B1E"/>
    <w:rsid w:val="00661BB4"/>
    <w:rsid w:val="00662D9A"/>
    <w:rsid w:val="0066306F"/>
    <w:rsid w:val="006633AD"/>
    <w:rsid w:val="0066400A"/>
    <w:rsid w:val="00664921"/>
    <w:rsid w:val="00664C7F"/>
    <w:rsid w:val="00665BF4"/>
    <w:rsid w:val="00666194"/>
    <w:rsid w:val="006661FE"/>
    <w:rsid w:val="00666376"/>
    <w:rsid w:val="00670146"/>
    <w:rsid w:val="00670CE3"/>
    <w:rsid w:val="00670E5A"/>
    <w:rsid w:val="00670EC7"/>
    <w:rsid w:val="00671218"/>
    <w:rsid w:val="006714E4"/>
    <w:rsid w:val="00671DC6"/>
    <w:rsid w:val="00671E7D"/>
    <w:rsid w:val="00673042"/>
    <w:rsid w:val="00673416"/>
    <w:rsid w:val="00674EF1"/>
    <w:rsid w:val="00675CCF"/>
    <w:rsid w:val="00675D69"/>
    <w:rsid w:val="00675F82"/>
    <w:rsid w:val="006761AB"/>
    <w:rsid w:val="0067689E"/>
    <w:rsid w:val="00676F7E"/>
    <w:rsid w:val="00680088"/>
    <w:rsid w:val="006800AB"/>
    <w:rsid w:val="00680CEC"/>
    <w:rsid w:val="00680E5C"/>
    <w:rsid w:val="00680FBB"/>
    <w:rsid w:val="0068134B"/>
    <w:rsid w:val="00681F09"/>
    <w:rsid w:val="006824BA"/>
    <w:rsid w:val="00682572"/>
    <w:rsid w:val="006827E4"/>
    <w:rsid w:val="00682E67"/>
    <w:rsid w:val="00682EB0"/>
    <w:rsid w:val="006831FA"/>
    <w:rsid w:val="006838D1"/>
    <w:rsid w:val="00685383"/>
    <w:rsid w:val="006854A4"/>
    <w:rsid w:val="006864B0"/>
    <w:rsid w:val="00686509"/>
    <w:rsid w:val="0068682F"/>
    <w:rsid w:val="006876F2"/>
    <w:rsid w:val="00687ECB"/>
    <w:rsid w:val="00690396"/>
    <w:rsid w:val="006905D6"/>
    <w:rsid w:val="0069109D"/>
    <w:rsid w:val="00692653"/>
    <w:rsid w:val="00692768"/>
    <w:rsid w:val="006929D9"/>
    <w:rsid w:val="00692D95"/>
    <w:rsid w:val="00692E8C"/>
    <w:rsid w:val="006934E5"/>
    <w:rsid w:val="006941A5"/>
    <w:rsid w:val="00694955"/>
    <w:rsid w:val="00695322"/>
    <w:rsid w:val="006953BD"/>
    <w:rsid w:val="00696193"/>
    <w:rsid w:val="006965AD"/>
    <w:rsid w:val="00696668"/>
    <w:rsid w:val="00696DE6"/>
    <w:rsid w:val="0069733D"/>
    <w:rsid w:val="00697ADB"/>
    <w:rsid w:val="00697B34"/>
    <w:rsid w:val="00697BF5"/>
    <w:rsid w:val="006A059D"/>
    <w:rsid w:val="006A09FB"/>
    <w:rsid w:val="006A0A4C"/>
    <w:rsid w:val="006A0E09"/>
    <w:rsid w:val="006A1340"/>
    <w:rsid w:val="006A1F9B"/>
    <w:rsid w:val="006A2128"/>
    <w:rsid w:val="006A2185"/>
    <w:rsid w:val="006A291E"/>
    <w:rsid w:val="006A2979"/>
    <w:rsid w:val="006A39F6"/>
    <w:rsid w:val="006A4710"/>
    <w:rsid w:val="006A473F"/>
    <w:rsid w:val="006A48B4"/>
    <w:rsid w:val="006A539F"/>
    <w:rsid w:val="006A58EB"/>
    <w:rsid w:val="006A5B04"/>
    <w:rsid w:val="006A6828"/>
    <w:rsid w:val="006A6877"/>
    <w:rsid w:val="006A707A"/>
    <w:rsid w:val="006B09B0"/>
    <w:rsid w:val="006B2E8D"/>
    <w:rsid w:val="006B2EB8"/>
    <w:rsid w:val="006B38EE"/>
    <w:rsid w:val="006B4494"/>
    <w:rsid w:val="006B5A9D"/>
    <w:rsid w:val="006B5B17"/>
    <w:rsid w:val="006B69F8"/>
    <w:rsid w:val="006B76BA"/>
    <w:rsid w:val="006B7E8C"/>
    <w:rsid w:val="006C022C"/>
    <w:rsid w:val="006C0235"/>
    <w:rsid w:val="006C049E"/>
    <w:rsid w:val="006C10F2"/>
    <w:rsid w:val="006C11D1"/>
    <w:rsid w:val="006C19F5"/>
    <w:rsid w:val="006C1DBA"/>
    <w:rsid w:val="006C213B"/>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B32"/>
    <w:rsid w:val="006D5F1D"/>
    <w:rsid w:val="006D6775"/>
    <w:rsid w:val="006D7A1E"/>
    <w:rsid w:val="006D7E94"/>
    <w:rsid w:val="006D7FA4"/>
    <w:rsid w:val="006E0233"/>
    <w:rsid w:val="006E0899"/>
    <w:rsid w:val="006E0C35"/>
    <w:rsid w:val="006E1035"/>
    <w:rsid w:val="006E1126"/>
    <w:rsid w:val="006E17A8"/>
    <w:rsid w:val="006E1AD9"/>
    <w:rsid w:val="006E247C"/>
    <w:rsid w:val="006E27C6"/>
    <w:rsid w:val="006E2954"/>
    <w:rsid w:val="006E353B"/>
    <w:rsid w:val="006E3C8E"/>
    <w:rsid w:val="006E4318"/>
    <w:rsid w:val="006E4504"/>
    <w:rsid w:val="006E509D"/>
    <w:rsid w:val="006E52CE"/>
    <w:rsid w:val="006E59F6"/>
    <w:rsid w:val="006E5D25"/>
    <w:rsid w:val="006E6001"/>
    <w:rsid w:val="006E60EF"/>
    <w:rsid w:val="006E6426"/>
    <w:rsid w:val="006E6609"/>
    <w:rsid w:val="006E6916"/>
    <w:rsid w:val="006E6A6C"/>
    <w:rsid w:val="006E730D"/>
    <w:rsid w:val="006F0E5F"/>
    <w:rsid w:val="006F0E88"/>
    <w:rsid w:val="006F1504"/>
    <w:rsid w:val="006F1EA9"/>
    <w:rsid w:val="006F2217"/>
    <w:rsid w:val="006F382C"/>
    <w:rsid w:val="006F4ACA"/>
    <w:rsid w:val="006F4CA6"/>
    <w:rsid w:val="006F5480"/>
    <w:rsid w:val="006F56D4"/>
    <w:rsid w:val="006F585D"/>
    <w:rsid w:val="006F59ED"/>
    <w:rsid w:val="006F5C3F"/>
    <w:rsid w:val="006F6A55"/>
    <w:rsid w:val="006F7396"/>
    <w:rsid w:val="006F7B1D"/>
    <w:rsid w:val="006F7C26"/>
    <w:rsid w:val="006F7FD4"/>
    <w:rsid w:val="006F7FE8"/>
    <w:rsid w:val="00701412"/>
    <w:rsid w:val="0070154E"/>
    <w:rsid w:val="00701E61"/>
    <w:rsid w:val="00701FB2"/>
    <w:rsid w:val="00702978"/>
    <w:rsid w:val="00704082"/>
    <w:rsid w:val="00704188"/>
    <w:rsid w:val="0070469D"/>
    <w:rsid w:val="007048AF"/>
    <w:rsid w:val="007051C3"/>
    <w:rsid w:val="007059DA"/>
    <w:rsid w:val="00705B84"/>
    <w:rsid w:val="007066FE"/>
    <w:rsid w:val="007077B2"/>
    <w:rsid w:val="00707847"/>
    <w:rsid w:val="00707A42"/>
    <w:rsid w:val="00707AA7"/>
    <w:rsid w:val="00707E3F"/>
    <w:rsid w:val="00711208"/>
    <w:rsid w:val="00712E39"/>
    <w:rsid w:val="00713F87"/>
    <w:rsid w:val="0071475B"/>
    <w:rsid w:val="00714847"/>
    <w:rsid w:val="0071557B"/>
    <w:rsid w:val="00716B4E"/>
    <w:rsid w:val="007172F3"/>
    <w:rsid w:val="007175A1"/>
    <w:rsid w:val="007175CF"/>
    <w:rsid w:val="00720540"/>
    <w:rsid w:val="00720950"/>
    <w:rsid w:val="007217A9"/>
    <w:rsid w:val="00721ED8"/>
    <w:rsid w:val="007223F0"/>
    <w:rsid w:val="00722F8D"/>
    <w:rsid w:val="007233D6"/>
    <w:rsid w:val="00724217"/>
    <w:rsid w:val="00724226"/>
    <w:rsid w:val="007243BC"/>
    <w:rsid w:val="00724680"/>
    <w:rsid w:val="00724A04"/>
    <w:rsid w:val="00725241"/>
    <w:rsid w:val="007258BE"/>
    <w:rsid w:val="00725E92"/>
    <w:rsid w:val="00725F8E"/>
    <w:rsid w:val="00726249"/>
    <w:rsid w:val="00726356"/>
    <w:rsid w:val="0072641F"/>
    <w:rsid w:val="00727337"/>
    <w:rsid w:val="0072754A"/>
    <w:rsid w:val="00727AE8"/>
    <w:rsid w:val="00727E9B"/>
    <w:rsid w:val="00730CB0"/>
    <w:rsid w:val="00731F11"/>
    <w:rsid w:val="007327E1"/>
    <w:rsid w:val="00732F98"/>
    <w:rsid w:val="007331A6"/>
    <w:rsid w:val="00733885"/>
    <w:rsid w:val="007343B8"/>
    <w:rsid w:val="0073460F"/>
    <w:rsid w:val="007358F1"/>
    <w:rsid w:val="00737A8B"/>
    <w:rsid w:val="00740128"/>
    <w:rsid w:val="00740150"/>
    <w:rsid w:val="00740505"/>
    <w:rsid w:val="00741914"/>
    <w:rsid w:val="00741EBF"/>
    <w:rsid w:val="00741F21"/>
    <w:rsid w:val="0074271E"/>
    <w:rsid w:val="00742CEC"/>
    <w:rsid w:val="00742FA3"/>
    <w:rsid w:val="007434BC"/>
    <w:rsid w:val="00744113"/>
    <w:rsid w:val="00744815"/>
    <w:rsid w:val="00744B09"/>
    <w:rsid w:val="00744CD4"/>
    <w:rsid w:val="00745C9B"/>
    <w:rsid w:val="00746BF9"/>
    <w:rsid w:val="00746F68"/>
    <w:rsid w:val="007471B0"/>
    <w:rsid w:val="007504B4"/>
    <w:rsid w:val="00750B80"/>
    <w:rsid w:val="00750F22"/>
    <w:rsid w:val="00751171"/>
    <w:rsid w:val="00752388"/>
    <w:rsid w:val="007526D3"/>
    <w:rsid w:val="0075393E"/>
    <w:rsid w:val="00753D15"/>
    <w:rsid w:val="007548DC"/>
    <w:rsid w:val="00755262"/>
    <w:rsid w:val="00756E96"/>
    <w:rsid w:val="00757AB9"/>
    <w:rsid w:val="00757EF3"/>
    <w:rsid w:val="007611D2"/>
    <w:rsid w:val="00761A26"/>
    <w:rsid w:val="00762ABB"/>
    <w:rsid w:val="007636FD"/>
    <w:rsid w:val="0076378F"/>
    <w:rsid w:val="00763825"/>
    <w:rsid w:val="00764465"/>
    <w:rsid w:val="00764B5F"/>
    <w:rsid w:val="00764E00"/>
    <w:rsid w:val="007655FC"/>
    <w:rsid w:val="007657EB"/>
    <w:rsid w:val="007659C1"/>
    <w:rsid w:val="00766F1A"/>
    <w:rsid w:val="00766F8A"/>
    <w:rsid w:val="00767C2B"/>
    <w:rsid w:val="00770A73"/>
    <w:rsid w:val="00770C10"/>
    <w:rsid w:val="0077162C"/>
    <w:rsid w:val="007717CF"/>
    <w:rsid w:val="00771920"/>
    <w:rsid w:val="0077217B"/>
    <w:rsid w:val="007724C0"/>
    <w:rsid w:val="00772531"/>
    <w:rsid w:val="0077284C"/>
    <w:rsid w:val="00774847"/>
    <w:rsid w:val="00775537"/>
    <w:rsid w:val="00776444"/>
    <w:rsid w:val="007770F6"/>
    <w:rsid w:val="00777AB6"/>
    <w:rsid w:val="00777F5C"/>
    <w:rsid w:val="0078079D"/>
    <w:rsid w:val="0078091F"/>
    <w:rsid w:val="00780977"/>
    <w:rsid w:val="00780D35"/>
    <w:rsid w:val="0078103C"/>
    <w:rsid w:val="0078145E"/>
    <w:rsid w:val="007816AA"/>
    <w:rsid w:val="00782319"/>
    <w:rsid w:val="00782C8F"/>
    <w:rsid w:val="007836E6"/>
    <w:rsid w:val="007844EF"/>
    <w:rsid w:val="00784530"/>
    <w:rsid w:val="00784B82"/>
    <w:rsid w:val="00785362"/>
    <w:rsid w:val="00785965"/>
    <w:rsid w:val="00785C0E"/>
    <w:rsid w:val="00785C4C"/>
    <w:rsid w:val="007862FA"/>
    <w:rsid w:val="00786405"/>
    <w:rsid w:val="00786DFC"/>
    <w:rsid w:val="00787227"/>
    <w:rsid w:val="00787EAD"/>
    <w:rsid w:val="007902A9"/>
    <w:rsid w:val="00790576"/>
    <w:rsid w:val="00791079"/>
    <w:rsid w:val="00792201"/>
    <w:rsid w:val="00793224"/>
    <w:rsid w:val="00794FFD"/>
    <w:rsid w:val="00795C52"/>
    <w:rsid w:val="00795E96"/>
    <w:rsid w:val="00796152"/>
    <w:rsid w:val="00796BF1"/>
    <w:rsid w:val="00797CAA"/>
    <w:rsid w:val="00797D2E"/>
    <w:rsid w:val="007A02F0"/>
    <w:rsid w:val="007A0A10"/>
    <w:rsid w:val="007A1271"/>
    <w:rsid w:val="007A1826"/>
    <w:rsid w:val="007A27B0"/>
    <w:rsid w:val="007A322B"/>
    <w:rsid w:val="007A3650"/>
    <w:rsid w:val="007A403F"/>
    <w:rsid w:val="007A4976"/>
    <w:rsid w:val="007A53AC"/>
    <w:rsid w:val="007A56FE"/>
    <w:rsid w:val="007A63EE"/>
    <w:rsid w:val="007A64A7"/>
    <w:rsid w:val="007B0103"/>
    <w:rsid w:val="007B0511"/>
    <w:rsid w:val="007B0629"/>
    <w:rsid w:val="007B0C32"/>
    <w:rsid w:val="007B1E94"/>
    <w:rsid w:val="007B210B"/>
    <w:rsid w:val="007B2A43"/>
    <w:rsid w:val="007B6604"/>
    <w:rsid w:val="007B6A95"/>
    <w:rsid w:val="007B6BA4"/>
    <w:rsid w:val="007B6E43"/>
    <w:rsid w:val="007B7AFA"/>
    <w:rsid w:val="007B7B7F"/>
    <w:rsid w:val="007B7F45"/>
    <w:rsid w:val="007C014B"/>
    <w:rsid w:val="007C04E7"/>
    <w:rsid w:val="007C0AE5"/>
    <w:rsid w:val="007C0B66"/>
    <w:rsid w:val="007C122F"/>
    <w:rsid w:val="007C1278"/>
    <w:rsid w:val="007C1527"/>
    <w:rsid w:val="007C1CA1"/>
    <w:rsid w:val="007C2F38"/>
    <w:rsid w:val="007C3591"/>
    <w:rsid w:val="007C39A5"/>
    <w:rsid w:val="007C3FB5"/>
    <w:rsid w:val="007C427C"/>
    <w:rsid w:val="007C5028"/>
    <w:rsid w:val="007C555C"/>
    <w:rsid w:val="007C5659"/>
    <w:rsid w:val="007C6648"/>
    <w:rsid w:val="007C719B"/>
    <w:rsid w:val="007D0628"/>
    <w:rsid w:val="007D0F4A"/>
    <w:rsid w:val="007D1469"/>
    <w:rsid w:val="007D17AC"/>
    <w:rsid w:val="007D3014"/>
    <w:rsid w:val="007D3A9C"/>
    <w:rsid w:val="007D3C6D"/>
    <w:rsid w:val="007D3E45"/>
    <w:rsid w:val="007D4C58"/>
    <w:rsid w:val="007D5008"/>
    <w:rsid w:val="007D5A16"/>
    <w:rsid w:val="007D5C88"/>
    <w:rsid w:val="007D68F5"/>
    <w:rsid w:val="007D6D7F"/>
    <w:rsid w:val="007D6D92"/>
    <w:rsid w:val="007D732F"/>
    <w:rsid w:val="007D792D"/>
    <w:rsid w:val="007E01CF"/>
    <w:rsid w:val="007E021F"/>
    <w:rsid w:val="007E02D3"/>
    <w:rsid w:val="007E03BF"/>
    <w:rsid w:val="007E0C39"/>
    <w:rsid w:val="007E0CC0"/>
    <w:rsid w:val="007E13E7"/>
    <w:rsid w:val="007E207D"/>
    <w:rsid w:val="007E25B1"/>
    <w:rsid w:val="007E2980"/>
    <w:rsid w:val="007E2E1B"/>
    <w:rsid w:val="007E3E66"/>
    <w:rsid w:val="007E458C"/>
    <w:rsid w:val="007E471C"/>
    <w:rsid w:val="007E491A"/>
    <w:rsid w:val="007E4C5E"/>
    <w:rsid w:val="007E4DC1"/>
    <w:rsid w:val="007E5386"/>
    <w:rsid w:val="007E5780"/>
    <w:rsid w:val="007F13BB"/>
    <w:rsid w:val="007F16E4"/>
    <w:rsid w:val="007F1EBD"/>
    <w:rsid w:val="007F2E1E"/>
    <w:rsid w:val="007F2ED8"/>
    <w:rsid w:val="007F30B3"/>
    <w:rsid w:val="007F35DF"/>
    <w:rsid w:val="007F370C"/>
    <w:rsid w:val="007F3DC5"/>
    <w:rsid w:val="007F4729"/>
    <w:rsid w:val="007F4A31"/>
    <w:rsid w:val="007F56A0"/>
    <w:rsid w:val="007F6BBD"/>
    <w:rsid w:val="007F7162"/>
    <w:rsid w:val="007F71AA"/>
    <w:rsid w:val="007F774A"/>
    <w:rsid w:val="008000BE"/>
    <w:rsid w:val="0080045E"/>
    <w:rsid w:val="008005B5"/>
    <w:rsid w:val="00800663"/>
    <w:rsid w:val="0080069F"/>
    <w:rsid w:val="008008CC"/>
    <w:rsid w:val="00800C70"/>
    <w:rsid w:val="008016F3"/>
    <w:rsid w:val="00801DCF"/>
    <w:rsid w:val="0080289E"/>
    <w:rsid w:val="008028FD"/>
    <w:rsid w:val="008029A2"/>
    <w:rsid w:val="00802A0B"/>
    <w:rsid w:val="00802B30"/>
    <w:rsid w:val="00802B74"/>
    <w:rsid w:val="00802E81"/>
    <w:rsid w:val="008056D1"/>
    <w:rsid w:val="0080590A"/>
    <w:rsid w:val="0080609A"/>
    <w:rsid w:val="008070E4"/>
    <w:rsid w:val="0080714F"/>
    <w:rsid w:val="008071E5"/>
    <w:rsid w:val="00807267"/>
    <w:rsid w:val="00807CE5"/>
    <w:rsid w:val="00807DD4"/>
    <w:rsid w:val="00810D3F"/>
    <w:rsid w:val="0081140B"/>
    <w:rsid w:val="0081196C"/>
    <w:rsid w:val="00811E91"/>
    <w:rsid w:val="008125BE"/>
    <w:rsid w:val="00813355"/>
    <w:rsid w:val="00813ABC"/>
    <w:rsid w:val="00813D75"/>
    <w:rsid w:val="00814199"/>
    <w:rsid w:val="00815405"/>
    <w:rsid w:val="008154EF"/>
    <w:rsid w:val="00815C28"/>
    <w:rsid w:val="00816655"/>
    <w:rsid w:val="00820034"/>
    <w:rsid w:val="0082159D"/>
    <w:rsid w:val="00821D05"/>
    <w:rsid w:val="00822192"/>
    <w:rsid w:val="008224C8"/>
    <w:rsid w:val="00822CD2"/>
    <w:rsid w:val="00822DBF"/>
    <w:rsid w:val="00822FE1"/>
    <w:rsid w:val="008237C8"/>
    <w:rsid w:val="008237EA"/>
    <w:rsid w:val="008238A5"/>
    <w:rsid w:val="00823B30"/>
    <w:rsid w:val="00823EE6"/>
    <w:rsid w:val="008240D7"/>
    <w:rsid w:val="008241A9"/>
    <w:rsid w:val="0082437F"/>
    <w:rsid w:val="0082467C"/>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6829"/>
    <w:rsid w:val="0083712C"/>
    <w:rsid w:val="00840858"/>
    <w:rsid w:val="00840A45"/>
    <w:rsid w:val="00841928"/>
    <w:rsid w:val="00841A73"/>
    <w:rsid w:val="00841DF8"/>
    <w:rsid w:val="008429F6"/>
    <w:rsid w:val="00842D8B"/>
    <w:rsid w:val="008432A9"/>
    <w:rsid w:val="008433DD"/>
    <w:rsid w:val="00843A73"/>
    <w:rsid w:val="00843F6D"/>
    <w:rsid w:val="00844300"/>
    <w:rsid w:val="0084454A"/>
    <w:rsid w:val="008446D6"/>
    <w:rsid w:val="00844E20"/>
    <w:rsid w:val="00845469"/>
    <w:rsid w:val="00845A19"/>
    <w:rsid w:val="00846033"/>
    <w:rsid w:val="0084710E"/>
    <w:rsid w:val="0084714F"/>
    <w:rsid w:val="008474C9"/>
    <w:rsid w:val="0085055E"/>
    <w:rsid w:val="00850FD2"/>
    <w:rsid w:val="00851625"/>
    <w:rsid w:val="00851793"/>
    <w:rsid w:val="008522E2"/>
    <w:rsid w:val="00852BB7"/>
    <w:rsid w:val="00852E16"/>
    <w:rsid w:val="008534EF"/>
    <w:rsid w:val="008537D1"/>
    <w:rsid w:val="008539F0"/>
    <w:rsid w:val="008540FF"/>
    <w:rsid w:val="008544FE"/>
    <w:rsid w:val="00854507"/>
    <w:rsid w:val="008546F2"/>
    <w:rsid w:val="00854D59"/>
    <w:rsid w:val="00855E08"/>
    <w:rsid w:val="008561CE"/>
    <w:rsid w:val="00856C0B"/>
    <w:rsid w:val="00856E68"/>
    <w:rsid w:val="00857306"/>
    <w:rsid w:val="0085767B"/>
    <w:rsid w:val="00857B94"/>
    <w:rsid w:val="00860780"/>
    <w:rsid w:val="00860B2E"/>
    <w:rsid w:val="00860F96"/>
    <w:rsid w:val="00861EA9"/>
    <w:rsid w:val="008621C2"/>
    <w:rsid w:val="00862410"/>
    <w:rsid w:val="008625E9"/>
    <w:rsid w:val="008628CC"/>
    <w:rsid w:val="00862BAE"/>
    <w:rsid w:val="00862C6E"/>
    <w:rsid w:val="00863E1C"/>
    <w:rsid w:val="00863F15"/>
    <w:rsid w:val="00864403"/>
    <w:rsid w:val="00865A38"/>
    <w:rsid w:val="00866C0A"/>
    <w:rsid w:val="008702F8"/>
    <w:rsid w:val="008704EA"/>
    <w:rsid w:val="008708D3"/>
    <w:rsid w:val="00870905"/>
    <w:rsid w:val="00870F46"/>
    <w:rsid w:val="00871797"/>
    <w:rsid w:val="00871CFE"/>
    <w:rsid w:val="0087208E"/>
    <w:rsid w:val="008721C3"/>
    <w:rsid w:val="008733D9"/>
    <w:rsid w:val="00873794"/>
    <w:rsid w:val="0087452B"/>
    <w:rsid w:val="0087461D"/>
    <w:rsid w:val="00874745"/>
    <w:rsid w:val="008747D5"/>
    <w:rsid w:val="00874830"/>
    <w:rsid w:val="008757AF"/>
    <w:rsid w:val="008762B0"/>
    <w:rsid w:val="00876C58"/>
    <w:rsid w:val="00876D4D"/>
    <w:rsid w:val="00877510"/>
    <w:rsid w:val="00877EE6"/>
    <w:rsid w:val="008803AE"/>
    <w:rsid w:val="0088177A"/>
    <w:rsid w:val="00881841"/>
    <w:rsid w:val="00881B21"/>
    <w:rsid w:val="00882C06"/>
    <w:rsid w:val="00883220"/>
    <w:rsid w:val="00883CAD"/>
    <w:rsid w:val="00883F1D"/>
    <w:rsid w:val="008842EF"/>
    <w:rsid w:val="008844BD"/>
    <w:rsid w:val="00884DB1"/>
    <w:rsid w:val="0088535B"/>
    <w:rsid w:val="008859FF"/>
    <w:rsid w:val="00885C4D"/>
    <w:rsid w:val="00885DE5"/>
    <w:rsid w:val="008911E2"/>
    <w:rsid w:val="008918C1"/>
    <w:rsid w:val="00891E4E"/>
    <w:rsid w:val="00892B0F"/>
    <w:rsid w:val="00892E9A"/>
    <w:rsid w:val="008931AF"/>
    <w:rsid w:val="00893E1D"/>
    <w:rsid w:val="008940D8"/>
    <w:rsid w:val="008943E5"/>
    <w:rsid w:val="00894665"/>
    <w:rsid w:val="00895885"/>
    <w:rsid w:val="00896670"/>
    <w:rsid w:val="0089667E"/>
    <w:rsid w:val="0089689A"/>
    <w:rsid w:val="00897263"/>
    <w:rsid w:val="00897847"/>
    <w:rsid w:val="008979DD"/>
    <w:rsid w:val="00897C3E"/>
    <w:rsid w:val="008A07B1"/>
    <w:rsid w:val="008A0E70"/>
    <w:rsid w:val="008A167D"/>
    <w:rsid w:val="008A1E9B"/>
    <w:rsid w:val="008A218F"/>
    <w:rsid w:val="008A2BDC"/>
    <w:rsid w:val="008A3AAD"/>
    <w:rsid w:val="008A4638"/>
    <w:rsid w:val="008A4D52"/>
    <w:rsid w:val="008A53AA"/>
    <w:rsid w:val="008A5971"/>
    <w:rsid w:val="008A5B9F"/>
    <w:rsid w:val="008A6465"/>
    <w:rsid w:val="008A73AB"/>
    <w:rsid w:val="008A74DA"/>
    <w:rsid w:val="008A7B5B"/>
    <w:rsid w:val="008A7FB4"/>
    <w:rsid w:val="008A7FD3"/>
    <w:rsid w:val="008B0475"/>
    <w:rsid w:val="008B0948"/>
    <w:rsid w:val="008B09D9"/>
    <w:rsid w:val="008B0CA5"/>
    <w:rsid w:val="008B1AD4"/>
    <w:rsid w:val="008B2746"/>
    <w:rsid w:val="008B32BA"/>
    <w:rsid w:val="008B34D1"/>
    <w:rsid w:val="008B4F1F"/>
    <w:rsid w:val="008B5845"/>
    <w:rsid w:val="008B63B8"/>
    <w:rsid w:val="008B63F8"/>
    <w:rsid w:val="008B7008"/>
    <w:rsid w:val="008B7DDD"/>
    <w:rsid w:val="008C0549"/>
    <w:rsid w:val="008C0A87"/>
    <w:rsid w:val="008C0E99"/>
    <w:rsid w:val="008C1094"/>
    <w:rsid w:val="008C168C"/>
    <w:rsid w:val="008C19F6"/>
    <w:rsid w:val="008C1D95"/>
    <w:rsid w:val="008C2083"/>
    <w:rsid w:val="008C2507"/>
    <w:rsid w:val="008C253D"/>
    <w:rsid w:val="008C3347"/>
    <w:rsid w:val="008C38DD"/>
    <w:rsid w:val="008C3BEE"/>
    <w:rsid w:val="008C4931"/>
    <w:rsid w:val="008C4B74"/>
    <w:rsid w:val="008C56CB"/>
    <w:rsid w:val="008C5C18"/>
    <w:rsid w:val="008C6356"/>
    <w:rsid w:val="008C6682"/>
    <w:rsid w:val="008C78DE"/>
    <w:rsid w:val="008C7EAE"/>
    <w:rsid w:val="008D09DD"/>
    <w:rsid w:val="008D122B"/>
    <w:rsid w:val="008D19CA"/>
    <w:rsid w:val="008D1BE4"/>
    <w:rsid w:val="008D1C1A"/>
    <w:rsid w:val="008D2EC2"/>
    <w:rsid w:val="008D33C0"/>
    <w:rsid w:val="008D3953"/>
    <w:rsid w:val="008D4144"/>
    <w:rsid w:val="008D4556"/>
    <w:rsid w:val="008D5215"/>
    <w:rsid w:val="008D56BA"/>
    <w:rsid w:val="008D5E33"/>
    <w:rsid w:val="008D61B3"/>
    <w:rsid w:val="008D629A"/>
    <w:rsid w:val="008D6C53"/>
    <w:rsid w:val="008D710D"/>
    <w:rsid w:val="008D7ED7"/>
    <w:rsid w:val="008D7F52"/>
    <w:rsid w:val="008D7FE8"/>
    <w:rsid w:val="008E075D"/>
    <w:rsid w:val="008E0D70"/>
    <w:rsid w:val="008E28FB"/>
    <w:rsid w:val="008E2EE3"/>
    <w:rsid w:val="008E306C"/>
    <w:rsid w:val="008E3720"/>
    <w:rsid w:val="008E4099"/>
    <w:rsid w:val="008E4654"/>
    <w:rsid w:val="008E558B"/>
    <w:rsid w:val="008E57DC"/>
    <w:rsid w:val="008E5F26"/>
    <w:rsid w:val="008E7BA0"/>
    <w:rsid w:val="008E7EAC"/>
    <w:rsid w:val="008F00AD"/>
    <w:rsid w:val="008F0515"/>
    <w:rsid w:val="008F16FF"/>
    <w:rsid w:val="008F19A1"/>
    <w:rsid w:val="008F1BC9"/>
    <w:rsid w:val="008F273F"/>
    <w:rsid w:val="008F2978"/>
    <w:rsid w:val="008F2E65"/>
    <w:rsid w:val="008F3258"/>
    <w:rsid w:val="008F32CB"/>
    <w:rsid w:val="008F43E0"/>
    <w:rsid w:val="008F459B"/>
    <w:rsid w:val="008F49D2"/>
    <w:rsid w:val="008F5B74"/>
    <w:rsid w:val="008F5C6A"/>
    <w:rsid w:val="008F5F5B"/>
    <w:rsid w:val="008F5FE2"/>
    <w:rsid w:val="008F6163"/>
    <w:rsid w:val="008F6923"/>
    <w:rsid w:val="008F6F54"/>
    <w:rsid w:val="008F7B3F"/>
    <w:rsid w:val="008F7DAE"/>
    <w:rsid w:val="008F7DEA"/>
    <w:rsid w:val="009008B3"/>
    <w:rsid w:val="009011C5"/>
    <w:rsid w:val="00901DC2"/>
    <w:rsid w:val="009022C6"/>
    <w:rsid w:val="009034A8"/>
    <w:rsid w:val="00903C59"/>
    <w:rsid w:val="00903EED"/>
    <w:rsid w:val="00903F16"/>
    <w:rsid w:val="00905D8A"/>
    <w:rsid w:val="0090621A"/>
    <w:rsid w:val="009074F1"/>
    <w:rsid w:val="00910EDE"/>
    <w:rsid w:val="0091101F"/>
    <w:rsid w:val="0091147F"/>
    <w:rsid w:val="00911ADF"/>
    <w:rsid w:val="00911D26"/>
    <w:rsid w:val="00911EE8"/>
    <w:rsid w:val="00912A3F"/>
    <w:rsid w:val="00912A6B"/>
    <w:rsid w:val="00912ED6"/>
    <w:rsid w:val="0091337B"/>
    <w:rsid w:val="009134D2"/>
    <w:rsid w:val="00913689"/>
    <w:rsid w:val="00914307"/>
    <w:rsid w:val="00914974"/>
    <w:rsid w:val="00916D90"/>
    <w:rsid w:val="0091722D"/>
    <w:rsid w:val="009177FF"/>
    <w:rsid w:val="0091791E"/>
    <w:rsid w:val="0092067E"/>
    <w:rsid w:val="0092068A"/>
    <w:rsid w:val="00920FF1"/>
    <w:rsid w:val="0092112F"/>
    <w:rsid w:val="009217BF"/>
    <w:rsid w:val="00921867"/>
    <w:rsid w:val="00921D87"/>
    <w:rsid w:val="00923BD5"/>
    <w:rsid w:val="00923C48"/>
    <w:rsid w:val="009265F8"/>
    <w:rsid w:val="00927B47"/>
    <w:rsid w:val="00931744"/>
    <w:rsid w:val="009325CE"/>
    <w:rsid w:val="00932BD5"/>
    <w:rsid w:val="009336CA"/>
    <w:rsid w:val="00933B60"/>
    <w:rsid w:val="00933C2F"/>
    <w:rsid w:val="00935167"/>
    <w:rsid w:val="00935806"/>
    <w:rsid w:val="00935EF5"/>
    <w:rsid w:val="00937A3A"/>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5B64"/>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3FD1"/>
    <w:rsid w:val="009542B2"/>
    <w:rsid w:val="0095438D"/>
    <w:rsid w:val="00954451"/>
    <w:rsid w:val="009545F7"/>
    <w:rsid w:val="00954922"/>
    <w:rsid w:val="00954AFE"/>
    <w:rsid w:val="00954E62"/>
    <w:rsid w:val="00955652"/>
    <w:rsid w:val="00955788"/>
    <w:rsid w:val="0095697F"/>
    <w:rsid w:val="00956D2B"/>
    <w:rsid w:val="0095727D"/>
    <w:rsid w:val="009575DD"/>
    <w:rsid w:val="00957D9F"/>
    <w:rsid w:val="00957F97"/>
    <w:rsid w:val="00960A20"/>
    <w:rsid w:val="00961474"/>
    <w:rsid w:val="00961627"/>
    <w:rsid w:val="00961B3A"/>
    <w:rsid w:val="00961D07"/>
    <w:rsid w:val="009620BE"/>
    <w:rsid w:val="0096283C"/>
    <w:rsid w:val="00963C80"/>
    <w:rsid w:val="00963CCF"/>
    <w:rsid w:val="00964E09"/>
    <w:rsid w:val="0096536C"/>
    <w:rsid w:val="00965843"/>
    <w:rsid w:val="0096626C"/>
    <w:rsid w:val="00966723"/>
    <w:rsid w:val="00967325"/>
    <w:rsid w:val="00967C24"/>
    <w:rsid w:val="0097054E"/>
    <w:rsid w:val="00970EF7"/>
    <w:rsid w:val="00970FA0"/>
    <w:rsid w:val="00971006"/>
    <w:rsid w:val="00971595"/>
    <w:rsid w:val="00971906"/>
    <w:rsid w:val="0097288C"/>
    <w:rsid w:val="00973147"/>
    <w:rsid w:val="009738D2"/>
    <w:rsid w:val="00974D98"/>
    <w:rsid w:val="00974DC6"/>
    <w:rsid w:val="0097561D"/>
    <w:rsid w:val="00975ED8"/>
    <w:rsid w:val="00976614"/>
    <w:rsid w:val="00976958"/>
    <w:rsid w:val="00976F0A"/>
    <w:rsid w:val="00977303"/>
    <w:rsid w:val="009777B8"/>
    <w:rsid w:val="0098094E"/>
    <w:rsid w:val="00980EBF"/>
    <w:rsid w:val="00980F74"/>
    <w:rsid w:val="00983055"/>
    <w:rsid w:val="0098377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1F37"/>
    <w:rsid w:val="009932B5"/>
    <w:rsid w:val="00993B11"/>
    <w:rsid w:val="00993E8C"/>
    <w:rsid w:val="00993FB4"/>
    <w:rsid w:val="00995292"/>
    <w:rsid w:val="009952E8"/>
    <w:rsid w:val="00995C2A"/>
    <w:rsid w:val="00995DC6"/>
    <w:rsid w:val="00995E5A"/>
    <w:rsid w:val="00996432"/>
    <w:rsid w:val="009967B2"/>
    <w:rsid w:val="00996A7C"/>
    <w:rsid w:val="009972A7"/>
    <w:rsid w:val="0099753F"/>
    <w:rsid w:val="00997E51"/>
    <w:rsid w:val="00997FDB"/>
    <w:rsid w:val="009A08A6"/>
    <w:rsid w:val="009A096C"/>
    <w:rsid w:val="009A0CFD"/>
    <w:rsid w:val="009A1883"/>
    <w:rsid w:val="009A195E"/>
    <w:rsid w:val="009A1AC0"/>
    <w:rsid w:val="009A2664"/>
    <w:rsid w:val="009A36CE"/>
    <w:rsid w:val="009A421A"/>
    <w:rsid w:val="009A442F"/>
    <w:rsid w:val="009A4603"/>
    <w:rsid w:val="009A475F"/>
    <w:rsid w:val="009A4D2D"/>
    <w:rsid w:val="009A5D28"/>
    <w:rsid w:val="009A65C4"/>
    <w:rsid w:val="009A6681"/>
    <w:rsid w:val="009A6892"/>
    <w:rsid w:val="009A7090"/>
    <w:rsid w:val="009A75E8"/>
    <w:rsid w:val="009A77CB"/>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6B9"/>
    <w:rsid w:val="009B7362"/>
    <w:rsid w:val="009B7A5F"/>
    <w:rsid w:val="009C0E80"/>
    <w:rsid w:val="009C1AC8"/>
    <w:rsid w:val="009C29A6"/>
    <w:rsid w:val="009C2A0F"/>
    <w:rsid w:val="009C2CAA"/>
    <w:rsid w:val="009C2FC1"/>
    <w:rsid w:val="009C376E"/>
    <w:rsid w:val="009C3975"/>
    <w:rsid w:val="009C39AB"/>
    <w:rsid w:val="009C3D92"/>
    <w:rsid w:val="009C478E"/>
    <w:rsid w:val="009C4D03"/>
    <w:rsid w:val="009C52A5"/>
    <w:rsid w:val="009C5391"/>
    <w:rsid w:val="009C5745"/>
    <w:rsid w:val="009C599D"/>
    <w:rsid w:val="009C69F0"/>
    <w:rsid w:val="009C7269"/>
    <w:rsid w:val="009D0078"/>
    <w:rsid w:val="009D0161"/>
    <w:rsid w:val="009D1AA9"/>
    <w:rsid w:val="009D27BF"/>
    <w:rsid w:val="009D2BAD"/>
    <w:rsid w:val="009D3641"/>
    <w:rsid w:val="009D4D69"/>
    <w:rsid w:val="009D4F56"/>
    <w:rsid w:val="009D5291"/>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9A9"/>
    <w:rsid w:val="009E5A3B"/>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307"/>
    <w:rsid w:val="00A00400"/>
    <w:rsid w:val="00A005BB"/>
    <w:rsid w:val="00A00953"/>
    <w:rsid w:val="00A00DE6"/>
    <w:rsid w:val="00A01638"/>
    <w:rsid w:val="00A0222A"/>
    <w:rsid w:val="00A02BF6"/>
    <w:rsid w:val="00A0357C"/>
    <w:rsid w:val="00A03DE2"/>
    <w:rsid w:val="00A03F69"/>
    <w:rsid w:val="00A05CD2"/>
    <w:rsid w:val="00A05D49"/>
    <w:rsid w:val="00A07AE1"/>
    <w:rsid w:val="00A10491"/>
    <w:rsid w:val="00A106AC"/>
    <w:rsid w:val="00A10B0F"/>
    <w:rsid w:val="00A1135E"/>
    <w:rsid w:val="00A11634"/>
    <w:rsid w:val="00A124D6"/>
    <w:rsid w:val="00A12752"/>
    <w:rsid w:val="00A13233"/>
    <w:rsid w:val="00A13D22"/>
    <w:rsid w:val="00A14613"/>
    <w:rsid w:val="00A1476F"/>
    <w:rsid w:val="00A166AF"/>
    <w:rsid w:val="00A16AC7"/>
    <w:rsid w:val="00A20385"/>
    <w:rsid w:val="00A2095E"/>
    <w:rsid w:val="00A209D9"/>
    <w:rsid w:val="00A20EA3"/>
    <w:rsid w:val="00A20FE7"/>
    <w:rsid w:val="00A217AF"/>
    <w:rsid w:val="00A21F2C"/>
    <w:rsid w:val="00A22685"/>
    <w:rsid w:val="00A227DA"/>
    <w:rsid w:val="00A228C2"/>
    <w:rsid w:val="00A237C7"/>
    <w:rsid w:val="00A24305"/>
    <w:rsid w:val="00A245BF"/>
    <w:rsid w:val="00A24C76"/>
    <w:rsid w:val="00A24CA7"/>
    <w:rsid w:val="00A2504D"/>
    <w:rsid w:val="00A2572A"/>
    <w:rsid w:val="00A25BFD"/>
    <w:rsid w:val="00A26BA2"/>
    <w:rsid w:val="00A27612"/>
    <w:rsid w:val="00A27A5F"/>
    <w:rsid w:val="00A3002C"/>
    <w:rsid w:val="00A30403"/>
    <w:rsid w:val="00A311CD"/>
    <w:rsid w:val="00A312C9"/>
    <w:rsid w:val="00A33CF3"/>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9CF"/>
    <w:rsid w:val="00A45F99"/>
    <w:rsid w:val="00A46B9A"/>
    <w:rsid w:val="00A46D68"/>
    <w:rsid w:val="00A473A1"/>
    <w:rsid w:val="00A47A60"/>
    <w:rsid w:val="00A504A0"/>
    <w:rsid w:val="00A5104C"/>
    <w:rsid w:val="00A51297"/>
    <w:rsid w:val="00A51CE1"/>
    <w:rsid w:val="00A51F57"/>
    <w:rsid w:val="00A523B2"/>
    <w:rsid w:val="00A5317D"/>
    <w:rsid w:val="00A53C8C"/>
    <w:rsid w:val="00A53DBD"/>
    <w:rsid w:val="00A546D0"/>
    <w:rsid w:val="00A548DF"/>
    <w:rsid w:val="00A549A2"/>
    <w:rsid w:val="00A54D21"/>
    <w:rsid w:val="00A550AC"/>
    <w:rsid w:val="00A55581"/>
    <w:rsid w:val="00A556FB"/>
    <w:rsid w:val="00A55A47"/>
    <w:rsid w:val="00A55E8D"/>
    <w:rsid w:val="00A56C70"/>
    <w:rsid w:val="00A56F36"/>
    <w:rsid w:val="00A57766"/>
    <w:rsid w:val="00A57D62"/>
    <w:rsid w:val="00A57D9B"/>
    <w:rsid w:val="00A60195"/>
    <w:rsid w:val="00A604A1"/>
    <w:rsid w:val="00A60C11"/>
    <w:rsid w:val="00A61AB2"/>
    <w:rsid w:val="00A61B63"/>
    <w:rsid w:val="00A62F33"/>
    <w:rsid w:val="00A62F96"/>
    <w:rsid w:val="00A63205"/>
    <w:rsid w:val="00A63579"/>
    <w:rsid w:val="00A63B13"/>
    <w:rsid w:val="00A63EF1"/>
    <w:rsid w:val="00A64073"/>
    <w:rsid w:val="00A6523E"/>
    <w:rsid w:val="00A65AF2"/>
    <w:rsid w:val="00A67760"/>
    <w:rsid w:val="00A67B2F"/>
    <w:rsid w:val="00A7153A"/>
    <w:rsid w:val="00A71797"/>
    <w:rsid w:val="00A718C6"/>
    <w:rsid w:val="00A71C62"/>
    <w:rsid w:val="00A7267F"/>
    <w:rsid w:val="00A73AD6"/>
    <w:rsid w:val="00A741D2"/>
    <w:rsid w:val="00A743A3"/>
    <w:rsid w:val="00A75713"/>
    <w:rsid w:val="00A75B54"/>
    <w:rsid w:val="00A75F06"/>
    <w:rsid w:val="00A75F9A"/>
    <w:rsid w:val="00A7691F"/>
    <w:rsid w:val="00A76F88"/>
    <w:rsid w:val="00A77BB3"/>
    <w:rsid w:val="00A77F87"/>
    <w:rsid w:val="00A80221"/>
    <w:rsid w:val="00A8089A"/>
    <w:rsid w:val="00A81F3F"/>
    <w:rsid w:val="00A821E1"/>
    <w:rsid w:val="00A825CE"/>
    <w:rsid w:val="00A82D5C"/>
    <w:rsid w:val="00A82F83"/>
    <w:rsid w:val="00A8302B"/>
    <w:rsid w:val="00A83200"/>
    <w:rsid w:val="00A834C0"/>
    <w:rsid w:val="00A83954"/>
    <w:rsid w:val="00A83ACE"/>
    <w:rsid w:val="00A8418C"/>
    <w:rsid w:val="00A84C2D"/>
    <w:rsid w:val="00A84DE4"/>
    <w:rsid w:val="00A85AD2"/>
    <w:rsid w:val="00A860FB"/>
    <w:rsid w:val="00A869BC"/>
    <w:rsid w:val="00A86D9D"/>
    <w:rsid w:val="00A87D1D"/>
    <w:rsid w:val="00A87EFB"/>
    <w:rsid w:val="00A905D5"/>
    <w:rsid w:val="00A91090"/>
    <w:rsid w:val="00A919E8"/>
    <w:rsid w:val="00A923AD"/>
    <w:rsid w:val="00A92649"/>
    <w:rsid w:val="00A92732"/>
    <w:rsid w:val="00A927F7"/>
    <w:rsid w:val="00A92D38"/>
    <w:rsid w:val="00A92E54"/>
    <w:rsid w:val="00A933E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235"/>
    <w:rsid w:val="00AA353E"/>
    <w:rsid w:val="00AA371C"/>
    <w:rsid w:val="00AA4F34"/>
    <w:rsid w:val="00AA5746"/>
    <w:rsid w:val="00AA5EC2"/>
    <w:rsid w:val="00AA6776"/>
    <w:rsid w:val="00AA6C49"/>
    <w:rsid w:val="00AA6CF1"/>
    <w:rsid w:val="00AB01B6"/>
    <w:rsid w:val="00AB08BC"/>
    <w:rsid w:val="00AB0D0D"/>
    <w:rsid w:val="00AB132A"/>
    <w:rsid w:val="00AB1419"/>
    <w:rsid w:val="00AB205D"/>
    <w:rsid w:val="00AB271D"/>
    <w:rsid w:val="00AB343C"/>
    <w:rsid w:val="00AB3C5A"/>
    <w:rsid w:val="00AB3D4C"/>
    <w:rsid w:val="00AB4158"/>
    <w:rsid w:val="00AB4409"/>
    <w:rsid w:val="00AB4E6A"/>
    <w:rsid w:val="00AB51AE"/>
    <w:rsid w:val="00AB5221"/>
    <w:rsid w:val="00AB5D33"/>
    <w:rsid w:val="00AB6087"/>
    <w:rsid w:val="00AB61AE"/>
    <w:rsid w:val="00AB6319"/>
    <w:rsid w:val="00AB6679"/>
    <w:rsid w:val="00AB66A2"/>
    <w:rsid w:val="00AB69B7"/>
    <w:rsid w:val="00AB76C0"/>
    <w:rsid w:val="00AB7FE9"/>
    <w:rsid w:val="00AC0065"/>
    <w:rsid w:val="00AC0413"/>
    <w:rsid w:val="00AC1A15"/>
    <w:rsid w:val="00AC1C99"/>
    <w:rsid w:val="00AC217E"/>
    <w:rsid w:val="00AC28E9"/>
    <w:rsid w:val="00AC2D62"/>
    <w:rsid w:val="00AC2FDE"/>
    <w:rsid w:val="00AC30AB"/>
    <w:rsid w:val="00AC40A4"/>
    <w:rsid w:val="00AC46FB"/>
    <w:rsid w:val="00AC4D0E"/>
    <w:rsid w:val="00AC4F42"/>
    <w:rsid w:val="00AC540A"/>
    <w:rsid w:val="00AC5EFA"/>
    <w:rsid w:val="00AC6A7C"/>
    <w:rsid w:val="00AC6B2D"/>
    <w:rsid w:val="00AC6DC4"/>
    <w:rsid w:val="00AD1745"/>
    <w:rsid w:val="00AD18FB"/>
    <w:rsid w:val="00AD19F6"/>
    <w:rsid w:val="00AD1E39"/>
    <w:rsid w:val="00AD23B5"/>
    <w:rsid w:val="00AD2AF9"/>
    <w:rsid w:val="00AD2D64"/>
    <w:rsid w:val="00AD2DD2"/>
    <w:rsid w:val="00AD3106"/>
    <w:rsid w:val="00AD3B38"/>
    <w:rsid w:val="00AD3B42"/>
    <w:rsid w:val="00AD45F1"/>
    <w:rsid w:val="00AD4712"/>
    <w:rsid w:val="00AD55FC"/>
    <w:rsid w:val="00AD60E9"/>
    <w:rsid w:val="00AD6186"/>
    <w:rsid w:val="00AD735D"/>
    <w:rsid w:val="00AE004C"/>
    <w:rsid w:val="00AE00A1"/>
    <w:rsid w:val="00AE0241"/>
    <w:rsid w:val="00AE02C9"/>
    <w:rsid w:val="00AE077A"/>
    <w:rsid w:val="00AE07E5"/>
    <w:rsid w:val="00AE0A1F"/>
    <w:rsid w:val="00AE2912"/>
    <w:rsid w:val="00AE3126"/>
    <w:rsid w:val="00AE4643"/>
    <w:rsid w:val="00AE4A62"/>
    <w:rsid w:val="00AE58AA"/>
    <w:rsid w:val="00AE5B81"/>
    <w:rsid w:val="00AE5C3E"/>
    <w:rsid w:val="00AE5FBB"/>
    <w:rsid w:val="00AE5FC3"/>
    <w:rsid w:val="00AE66F2"/>
    <w:rsid w:val="00AE672A"/>
    <w:rsid w:val="00AE7643"/>
    <w:rsid w:val="00AE77C7"/>
    <w:rsid w:val="00AE7D1A"/>
    <w:rsid w:val="00AF0B65"/>
    <w:rsid w:val="00AF0C14"/>
    <w:rsid w:val="00AF0F6F"/>
    <w:rsid w:val="00AF191B"/>
    <w:rsid w:val="00AF1977"/>
    <w:rsid w:val="00AF1A23"/>
    <w:rsid w:val="00AF22B0"/>
    <w:rsid w:val="00AF2371"/>
    <w:rsid w:val="00AF2479"/>
    <w:rsid w:val="00AF294A"/>
    <w:rsid w:val="00AF31AB"/>
    <w:rsid w:val="00AF3AE1"/>
    <w:rsid w:val="00AF4B53"/>
    <w:rsid w:val="00AF4D2D"/>
    <w:rsid w:val="00AF5627"/>
    <w:rsid w:val="00AF5734"/>
    <w:rsid w:val="00AF5B20"/>
    <w:rsid w:val="00AF5B21"/>
    <w:rsid w:val="00AF5B75"/>
    <w:rsid w:val="00AF605E"/>
    <w:rsid w:val="00AF664C"/>
    <w:rsid w:val="00AF7425"/>
    <w:rsid w:val="00AF7BAB"/>
    <w:rsid w:val="00AF7D23"/>
    <w:rsid w:val="00AF7D87"/>
    <w:rsid w:val="00B001EE"/>
    <w:rsid w:val="00B00304"/>
    <w:rsid w:val="00B007A6"/>
    <w:rsid w:val="00B007F7"/>
    <w:rsid w:val="00B00E97"/>
    <w:rsid w:val="00B010F9"/>
    <w:rsid w:val="00B01264"/>
    <w:rsid w:val="00B01DD4"/>
    <w:rsid w:val="00B01E96"/>
    <w:rsid w:val="00B03828"/>
    <w:rsid w:val="00B03D59"/>
    <w:rsid w:val="00B03E2D"/>
    <w:rsid w:val="00B050CA"/>
    <w:rsid w:val="00B0553D"/>
    <w:rsid w:val="00B05AE3"/>
    <w:rsid w:val="00B05B88"/>
    <w:rsid w:val="00B05DC7"/>
    <w:rsid w:val="00B065F3"/>
    <w:rsid w:val="00B066BB"/>
    <w:rsid w:val="00B0739C"/>
    <w:rsid w:val="00B07AB6"/>
    <w:rsid w:val="00B11556"/>
    <w:rsid w:val="00B11F9C"/>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2279"/>
    <w:rsid w:val="00B22F7C"/>
    <w:rsid w:val="00B23634"/>
    <w:rsid w:val="00B24751"/>
    <w:rsid w:val="00B2488E"/>
    <w:rsid w:val="00B24909"/>
    <w:rsid w:val="00B24BE3"/>
    <w:rsid w:val="00B25106"/>
    <w:rsid w:val="00B2527A"/>
    <w:rsid w:val="00B2547D"/>
    <w:rsid w:val="00B26B68"/>
    <w:rsid w:val="00B312AA"/>
    <w:rsid w:val="00B31621"/>
    <w:rsid w:val="00B3191E"/>
    <w:rsid w:val="00B31D70"/>
    <w:rsid w:val="00B328C3"/>
    <w:rsid w:val="00B3321D"/>
    <w:rsid w:val="00B33A07"/>
    <w:rsid w:val="00B33B27"/>
    <w:rsid w:val="00B33EFA"/>
    <w:rsid w:val="00B3438D"/>
    <w:rsid w:val="00B3465D"/>
    <w:rsid w:val="00B34740"/>
    <w:rsid w:val="00B3486D"/>
    <w:rsid w:val="00B35131"/>
    <w:rsid w:val="00B3541C"/>
    <w:rsid w:val="00B3696D"/>
    <w:rsid w:val="00B37097"/>
    <w:rsid w:val="00B373B7"/>
    <w:rsid w:val="00B3785E"/>
    <w:rsid w:val="00B37FFC"/>
    <w:rsid w:val="00B40020"/>
    <w:rsid w:val="00B41689"/>
    <w:rsid w:val="00B42638"/>
    <w:rsid w:val="00B42937"/>
    <w:rsid w:val="00B42AD4"/>
    <w:rsid w:val="00B44D40"/>
    <w:rsid w:val="00B4508B"/>
    <w:rsid w:val="00B453B1"/>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9DF"/>
    <w:rsid w:val="00B54B23"/>
    <w:rsid w:val="00B54E6E"/>
    <w:rsid w:val="00B55A76"/>
    <w:rsid w:val="00B6015C"/>
    <w:rsid w:val="00B60ACD"/>
    <w:rsid w:val="00B61232"/>
    <w:rsid w:val="00B61943"/>
    <w:rsid w:val="00B629C2"/>
    <w:rsid w:val="00B62E74"/>
    <w:rsid w:val="00B6332B"/>
    <w:rsid w:val="00B637BD"/>
    <w:rsid w:val="00B637F4"/>
    <w:rsid w:val="00B647E8"/>
    <w:rsid w:val="00B6484F"/>
    <w:rsid w:val="00B6485E"/>
    <w:rsid w:val="00B648FB"/>
    <w:rsid w:val="00B654F3"/>
    <w:rsid w:val="00B65805"/>
    <w:rsid w:val="00B65A52"/>
    <w:rsid w:val="00B66038"/>
    <w:rsid w:val="00B66E0D"/>
    <w:rsid w:val="00B675A5"/>
    <w:rsid w:val="00B70782"/>
    <w:rsid w:val="00B70A66"/>
    <w:rsid w:val="00B70A74"/>
    <w:rsid w:val="00B70EE0"/>
    <w:rsid w:val="00B717BD"/>
    <w:rsid w:val="00B73102"/>
    <w:rsid w:val="00B7361D"/>
    <w:rsid w:val="00B736FA"/>
    <w:rsid w:val="00B7393E"/>
    <w:rsid w:val="00B74440"/>
    <w:rsid w:val="00B74C89"/>
    <w:rsid w:val="00B75359"/>
    <w:rsid w:val="00B75A9E"/>
    <w:rsid w:val="00B75C11"/>
    <w:rsid w:val="00B760B9"/>
    <w:rsid w:val="00B76C21"/>
    <w:rsid w:val="00B8018C"/>
    <w:rsid w:val="00B804B9"/>
    <w:rsid w:val="00B80D4C"/>
    <w:rsid w:val="00B810F0"/>
    <w:rsid w:val="00B8529A"/>
    <w:rsid w:val="00B85304"/>
    <w:rsid w:val="00B85526"/>
    <w:rsid w:val="00B8567B"/>
    <w:rsid w:val="00B85D02"/>
    <w:rsid w:val="00B86071"/>
    <w:rsid w:val="00B8677B"/>
    <w:rsid w:val="00B869D8"/>
    <w:rsid w:val="00B86EC8"/>
    <w:rsid w:val="00B87613"/>
    <w:rsid w:val="00B87AB1"/>
    <w:rsid w:val="00B91584"/>
    <w:rsid w:val="00B92FA2"/>
    <w:rsid w:val="00B93782"/>
    <w:rsid w:val="00B94549"/>
    <w:rsid w:val="00B9455F"/>
    <w:rsid w:val="00B945DA"/>
    <w:rsid w:val="00B950F6"/>
    <w:rsid w:val="00B95386"/>
    <w:rsid w:val="00B95A90"/>
    <w:rsid w:val="00B95EDC"/>
    <w:rsid w:val="00B967D1"/>
    <w:rsid w:val="00B96BA7"/>
    <w:rsid w:val="00B97049"/>
    <w:rsid w:val="00B97A74"/>
    <w:rsid w:val="00BA156D"/>
    <w:rsid w:val="00BA15DC"/>
    <w:rsid w:val="00BA1AAB"/>
    <w:rsid w:val="00BA1EA5"/>
    <w:rsid w:val="00BA21C5"/>
    <w:rsid w:val="00BA25ED"/>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812"/>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7B7"/>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6F72"/>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D7CD3"/>
    <w:rsid w:val="00BD7E94"/>
    <w:rsid w:val="00BE031D"/>
    <w:rsid w:val="00BE1BF6"/>
    <w:rsid w:val="00BE2BF1"/>
    <w:rsid w:val="00BE2D71"/>
    <w:rsid w:val="00BE31C6"/>
    <w:rsid w:val="00BE31F9"/>
    <w:rsid w:val="00BE4125"/>
    <w:rsid w:val="00BE4178"/>
    <w:rsid w:val="00BE456B"/>
    <w:rsid w:val="00BE47C2"/>
    <w:rsid w:val="00BE5178"/>
    <w:rsid w:val="00BE5840"/>
    <w:rsid w:val="00BE6302"/>
    <w:rsid w:val="00BE6523"/>
    <w:rsid w:val="00BE68D2"/>
    <w:rsid w:val="00BE7C5B"/>
    <w:rsid w:val="00BE7CD9"/>
    <w:rsid w:val="00BE7DEE"/>
    <w:rsid w:val="00BE7FCD"/>
    <w:rsid w:val="00BF0AC0"/>
    <w:rsid w:val="00BF0B90"/>
    <w:rsid w:val="00BF0FB4"/>
    <w:rsid w:val="00BF145A"/>
    <w:rsid w:val="00BF1591"/>
    <w:rsid w:val="00BF1D1B"/>
    <w:rsid w:val="00BF1E98"/>
    <w:rsid w:val="00BF2101"/>
    <w:rsid w:val="00BF270B"/>
    <w:rsid w:val="00BF2AE2"/>
    <w:rsid w:val="00BF2C86"/>
    <w:rsid w:val="00BF34B4"/>
    <w:rsid w:val="00BF362D"/>
    <w:rsid w:val="00BF4F62"/>
    <w:rsid w:val="00BF540A"/>
    <w:rsid w:val="00BF544B"/>
    <w:rsid w:val="00BF58A2"/>
    <w:rsid w:val="00BF599D"/>
    <w:rsid w:val="00BF5D3D"/>
    <w:rsid w:val="00BF6980"/>
    <w:rsid w:val="00BF7A75"/>
    <w:rsid w:val="00BF7F64"/>
    <w:rsid w:val="00C00127"/>
    <w:rsid w:val="00C01462"/>
    <w:rsid w:val="00C019C7"/>
    <w:rsid w:val="00C02149"/>
    <w:rsid w:val="00C023B9"/>
    <w:rsid w:val="00C027C0"/>
    <w:rsid w:val="00C02C51"/>
    <w:rsid w:val="00C02E9D"/>
    <w:rsid w:val="00C031A2"/>
    <w:rsid w:val="00C0356A"/>
    <w:rsid w:val="00C03CA0"/>
    <w:rsid w:val="00C042F3"/>
    <w:rsid w:val="00C05BF3"/>
    <w:rsid w:val="00C05D72"/>
    <w:rsid w:val="00C060D1"/>
    <w:rsid w:val="00C06CD4"/>
    <w:rsid w:val="00C07275"/>
    <w:rsid w:val="00C072F3"/>
    <w:rsid w:val="00C07469"/>
    <w:rsid w:val="00C0748B"/>
    <w:rsid w:val="00C07FA6"/>
    <w:rsid w:val="00C1008E"/>
    <w:rsid w:val="00C104C9"/>
    <w:rsid w:val="00C10593"/>
    <w:rsid w:val="00C10614"/>
    <w:rsid w:val="00C112F9"/>
    <w:rsid w:val="00C11DF2"/>
    <w:rsid w:val="00C12284"/>
    <w:rsid w:val="00C14195"/>
    <w:rsid w:val="00C1445B"/>
    <w:rsid w:val="00C14657"/>
    <w:rsid w:val="00C14E52"/>
    <w:rsid w:val="00C14E6E"/>
    <w:rsid w:val="00C1578A"/>
    <w:rsid w:val="00C2004E"/>
    <w:rsid w:val="00C200FC"/>
    <w:rsid w:val="00C204CD"/>
    <w:rsid w:val="00C204F6"/>
    <w:rsid w:val="00C20A38"/>
    <w:rsid w:val="00C20DA6"/>
    <w:rsid w:val="00C2345C"/>
    <w:rsid w:val="00C237E7"/>
    <w:rsid w:val="00C248AC"/>
    <w:rsid w:val="00C24C00"/>
    <w:rsid w:val="00C24C6C"/>
    <w:rsid w:val="00C24EC9"/>
    <w:rsid w:val="00C25541"/>
    <w:rsid w:val="00C25AA4"/>
    <w:rsid w:val="00C25CDF"/>
    <w:rsid w:val="00C27011"/>
    <w:rsid w:val="00C270D0"/>
    <w:rsid w:val="00C276B2"/>
    <w:rsid w:val="00C30799"/>
    <w:rsid w:val="00C30C60"/>
    <w:rsid w:val="00C3100A"/>
    <w:rsid w:val="00C32500"/>
    <w:rsid w:val="00C32E11"/>
    <w:rsid w:val="00C33FFB"/>
    <w:rsid w:val="00C3413F"/>
    <w:rsid w:val="00C345AC"/>
    <w:rsid w:val="00C34B7F"/>
    <w:rsid w:val="00C36066"/>
    <w:rsid w:val="00C36D90"/>
    <w:rsid w:val="00C36F9C"/>
    <w:rsid w:val="00C3700C"/>
    <w:rsid w:val="00C37019"/>
    <w:rsid w:val="00C3709F"/>
    <w:rsid w:val="00C37205"/>
    <w:rsid w:val="00C3740B"/>
    <w:rsid w:val="00C37A74"/>
    <w:rsid w:val="00C40243"/>
    <w:rsid w:val="00C40303"/>
    <w:rsid w:val="00C412F5"/>
    <w:rsid w:val="00C41459"/>
    <w:rsid w:val="00C4195E"/>
    <w:rsid w:val="00C41B74"/>
    <w:rsid w:val="00C42985"/>
    <w:rsid w:val="00C42F21"/>
    <w:rsid w:val="00C43486"/>
    <w:rsid w:val="00C436BA"/>
    <w:rsid w:val="00C43BA2"/>
    <w:rsid w:val="00C4447B"/>
    <w:rsid w:val="00C44565"/>
    <w:rsid w:val="00C4563A"/>
    <w:rsid w:val="00C45D6B"/>
    <w:rsid w:val="00C45EE7"/>
    <w:rsid w:val="00C46331"/>
    <w:rsid w:val="00C4665D"/>
    <w:rsid w:val="00C46876"/>
    <w:rsid w:val="00C47C10"/>
    <w:rsid w:val="00C504FA"/>
    <w:rsid w:val="00C50974"/>
    <w:rsid w:val="00C50DB0"/>
    <w:rsid w:val="00C5158E"/>
    <w:rsid w:val="00C52535"/>
    <w:rsid w:val="00C52AF6"/>
    <w:rsid w:val="00C52F46"/>
    <w:rsid w:val="00C52FAB"/>
    <w:rsid w:val="00C5316D"/>
    <w:rsid w:val="00C540BA"/>
    <w:rsid w:val="00C542A6"/>
    <w:rsid w:val="00C543EA"/>
    <w:rsid w:val="00C55740"/>
    <w:rsid w:val="00C55816"/>
    <w:rsid w:val="00C561BD"/>
    <w:rsid w:val="00C56A5F"/>
    <w:rsid w:val="00C5765A"/>
    <w:rsid w:val="00C57735"/>
    <w:rsid w:val="00C60B60"/>
    <w:rsid w:val="00C61364"/>
    <w:rsid w:val="00C61FE1"/>
    <w:rsid w:val="00C62299"/>
    <w:rsid w:val="00C62870"/>
    <w:rsid w:val="00C631CC"/>
    <w:rsid w:val="00C63A22"/>
    <w:rsid w:val="00C64389"/>
    <w:rsid w:val="00C64DDC"/>
    <w:rsid w:val="00C6599B"/>
    <w:rsid w:val="00C659B7"/>
    <w:rsid w:val="00C659F8"/>
    <w:rsid w:val="00C65E19"/>
    <w:rsid w:val="00C65E56"/>
    <w:rsid w:val="00C65FE5"/>
    <w:rsid w:val="00C66A15"/>
    <w:rsid w:val="00C66DA9"/>
    <w:rsid w:val="00C703B3"/>
    <w:rsid w:val="00C70422"/>
    <w:rsid w:val="00C7080D"/>
    <w:rsid w:val="00C71A61"/>
    <w:rsid w:val="00C728FC"/>
    <w:rsid w:val="00C72C8F"/>
    <w:rsid w:val="00C7367F"/>
    <w:rsid w:val="00C73948"/>
    <w:rsid w:val="00C75713"/>
    <w:rsid w:val="00C757C4"/>
    <w:rsid w:val="00C75807"/>
    <w:rsid w:val="00C75DC7"/>
    <w:rsid w:val="00C761D8"/>
    <w:rsid w:val="00C76F73"/>
    <w:rsid w:val="00C7717F"/>
    <w:rsid w:val="00C77CA3"/>
    <w:rsid w:val="00C77FA7"/>
    <w:rsid w:val="00C80001"/>
    <w:rsid w:val="00C803DD"/>
    <w:rsid w:val="00C8115D"/>
    <w:rsid w:val="00C817A6"/>
    <w:rsid w:val="00C819A2"/>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87384"/>
    <w:rsid w:val="00C9049D"/>
    <w:rsid w:val="00C9146E"/>
    <w:rsid w:val="00C918AA"/>
    <w:rsid w:val="00C92E29"/>
    <w:rsid w:val="00C92E67"/>
    <w:rsid w:val="00C93B13"/>
    <w:rsid w:val="00C95829"/>
    <w:rsid w:val="00C95977"/>
    <w:rsid w:val="00C96E2B"/>
    <w:rsid w:val="00C974B6"/>
    <w:rsid w:val="00C97974"/>
    <w:rsid w:val="00CA0182"/>
    <w:rsid w:val="00CA018F"/>
    <w:rsid w:val="00CA0B8B"/>
    <w:rsid w:val="00CA0FA0"/>
    <w:rsid w:val="00CA1682"/>
    <w:rsid w:val="00CA1C0D"/>
    <w:rsid w:val="00CA2FE9"/>
    <w:rsid w:val="00CA3319"/>
    <w:rsid w:val="00CA3BFC"/>
    <w:rsid w:val="00CA4063"/>
    <w:rsid w:val="00CA4ACD"/>
    <w:rsid w:val="00CA6258"/>
    <w:rsid w:val="00CA729E"/>
    <w:rsid w:val="00CA73F8"/>
    <w:rsid w:val="00CA74E1"/>
    <w:rsid w:val="00CA7E01"/>
    <w:rsid w:val="00CB0396"/>
    <w:rsid w:val="00CB03F1"/>
    <w:rsid w:val="00CB05AB"/>
    <w:rsid w:val="00CB0637"/>
    <w:rsid w:val="00CB10A1"/>
    <w:rsid w:val="00CB1F90"/>
    <w:rsid w:val="00CB21DC"/>
    <w:rsid w:val="00CB2F98"/>
    <w:rsid w:val="00CB327D"/>
    <w:rsid w:val="00CB4752"/>
    <w:rsid w:val="00CB5002"/>
    <w:rsid w:val="00CB54C6"/>
    <w:rsid w:val="00CB5551"/>
    <w:rsid w:val="00CB61C9"/>
    <w:rsid w:val="00CB63CB"/>
    <w:rsid w:val="00CB6885"/>
    <w:rsid w:val="00CB72A4"/>
    <w:rsid w:val="00CB7E18"/>
    <w:rsid w:val="00CC00A7"/>
    <w:rsid w:val="00CC00E8"/>
    <w:rsid w:val="00CC012E"/>
    <w:rsid w:val="00CC019A"/>
    <w:rsid w:val="00CC01B1"/>
    <w:rsid w:val="00CC07F4"/>
    <w:rsid w:val="00CC092F"/>
    <w:rsid w:val="00CC0E7E"/>
    <w:rsid w:val="00CC0EAF"/>
    <w:rsid w:val="00CC12D8"/>
    <w:rsid w:val="00CC1FF3"/>
    <w:rsid w:val="00CC20C1"/>
    <w:rsid w:val="00CC26CF"/>
    <w:rsid w:val="00CC2BEA"/>
    <w:rsid w:val="00CC34A2"/>
    <w:rsid w:val="00CC3B24"/>
    <w:rsid w:val="00CC47CE"/>
    <w:rsid w:val="00CC5323"/>
    <w:rsid w:val="00CC571C"/>
    <w:rsid w:val="00CC574F"/>
    <w:rsid w:val="00CC6021"/>
    <w:rsid w:val="00CC6540"/>
    <w:rsid w:val="00CC6E2B"/>
    <w:rsid w:val="00CC7017"/>
    <w:rsid w:val="00CC7531"/>
    <w:rsid w:val="00CC7B7E"/>
    <w:rsid w:val="00CD0710"/>
    <w:rsid w:val="00CD0816"/>
    <w:rsid w:val="00CD0A63"/>
    <w:rsid w:val="00CD1234"/>
    <w:rsid w:val="00CD1276"/>
    <w:rsid w:val="00CD1702"/>
    <w:rsid w:val="00CD196F"/>
    <w:rsid w:val="00CD2451"/>
    <w:rsid w:val="00CD2740"/>
    <w:rsid w:val="00CD2887"/>
    <w:rsid w:val="00CD3165"/>
    <w:rsid w:val="00CD3864"/>
    <w:rsid w:val="00CD43E4"/>
    <w:rsid w:val="00CD479A"/>
    <w:rsid w:val="00CD4D6B"/>
    <w:rsid w:val="00CD5FB0"/>
    <w:rsid w:val="00CD6295"/>
    <w:rsid w:val="00CD6F26"/>
    <w:rsid w:val="00CD71F4"/>
    <w:rsid w:val="00CD7AD3"/>
    <w:rsid w:val="00CD7B98"/>
    <w:rsid w:val="00CD7E87"/>
    <w:rsid w:val="00CE1622"/>
    <w:rsid w:val="00CE18A4"/>
    <w:rsid w:val="00CE1DCB"/>
    <w:rsid w:val="00CE317B"/>
    <w:rsid w:val="00CE3780"/>
    <w:rsid w:val="00CE3A58"/>
    <w:rsid w:val="00CE3E2E"/>
    <w:rsid w:val="00CE3F4F"/>
    <w:rsid w:val="00CE4993"/>
    <w:rsid w:val="00CE4FDC"/>
    <w:rsid w:val="00CE5C3C"/>
    <w:rsid w:val="00CE6961"/>
    <w:rsid w:val="00CE77F8"/>
    <w:rsid w:val="00CF0736"/>
    <w:rsid w:val="00CF0FAB"/>
    <w:rsid w:val="00CF138F"/>
    <w:rsid w:val="00CF1882"/>
    <w:rsid w:val="00CF279B"/>
    <w:rsid w:val="00CF2B2F"/>
    <w:rsid w:val="00CF2E2A"/>
    <w:rsid w:val="00CF318B"/>
    <w:rsid w:val="00CF3383"/>
    <w:rsid w:val="00CF3447"/>
    <w:rsid w:val="00CF3A39"/>
    <w:rsid w:val="00CF3E79"/>
    <w:rsid w:val="00CF3EBF"/>
    <w:rsid w:val="00CF446F"/>
    <w:rsid w:val="00CF71FD"/>
    <w:rsid w:val="00D014AE"/>
    <w:rsid w:val="00D02388"/>
    <w:rsid w:val="00D02BDF"/>
    <w:rsid w:val="00D03516"/>
    <w:rsid w:val="00D044D3"/>
    <w:rsid w:val="00D04A37"/>
    <w:rsid w:val="00D05A03"/>
    <w:rsid w:val="00D05BDC"/>
    <w:rsid w:val="00D0651D"/>
    <w:rsid w:val="00D0698C"/>
    <w:rsid w:val="00D07474"/>
    <w:rsid w:val="00D07B15"/>
    <w:rsid w:val="00D07DF2"/>
    <w:rsid w:val="00D07FBB"/>
    <w:rsid w:val="00D10830"/>
    <w:rsid w:val="00D10CEC"/>
    <w:rsid w:val="00D117B9"/>
    <w:rsid w:val="00D11B53"/>
    <w:rsid w:val="00D11D68"/>
    <w:rsid w:val="00D12644"/>
    <w:rsid w:val="00D12795"/>
    <w:rsid w:val="00D128B1"/>
    <w:rsid w:val="00D12B08"/>
    <w:rsid w:val="00D12C2D"/>
    <w:rsid w:val="00D13768"/>
    <w:rsid w:val="00D143B3"/>
    <w:rsid w:val="00D145DC"/>
    <w:rsid w:val="00D1489B"/>
    <w:rsid w:val="00D14F0C"/>
    <w:rsid w:val="00D154D9"/>
    <w:rsid w:val="00D163F5"/>
    <w:rsid w:val="00D16674"/>
    <w:rsid w:val="00D16B0F"/>
    <w:rsid w:val="00D16B2E"/>
    <w:rsid w:val="00D20879"/>
    <w:rsid w:val="00D208C5"/>
    <w:rsid w:val="00D2130E"/>
    <w:rsid w:val="00D21DED"/>
    <w:rsid w:val="00D225F7"/>
    <w:rsid w:val="00D22A57"/>
    <w:rsid w:val="00D22BA4"/>
    <w:rsid w:val="00D22FD3"/>
    <w:rsid w:val="00D24DC4"/>
    <w:rsid w:val="00D252CA"/>
    <w:rsid w:val="00D25773"/>
    <w:rsid w:val="00D257FF"/>
    <w:rsid w:val="00D259CD"/>
    <w:rsid w:val="00D264ED"/>
    <w:rsid w:val="00D2681B"/>
    <w:rsid w:val="00D26D29"/>
    <w:rsid w:val="00D2781A"/>
    <w:rsid w:val="00D30981"/>
    <w:rsid w:val="00D309F1"/>
    <w:rsid w:val="00D31674"/>
    <w:rsid w:val="00D31F7F"/>
    <w:rsid w:val="00D323B7"/>
    <w:rsid w:val="00D32C6C"/>
    <w:rsid w:val="00D33E54"/>
    <w:rsid w:val="00D341CD"/>
    <w:rsid w:val="00D343B3"/>
    <w:rsid w:val="00D349E0"/>
    <w:rsid w:val="00D34A10"/>
    <w:rsid w:val="00D359F1"/>
    <w:rsid w:val="00D35FA1"/>
    <w:rsid w:val="00D3784D"/>
    <w:rsid w:val="00D37BC1"/>
    <w:rsid w:val="00D37EEA"/>
    <w:rsid w:val="00D41C09"/>
    <w:rsid w:val="00D422D0"/>
    <w:rsid w:val="00D424E6"/>
    <w:rsid w:val="00D426D7"/>
    <w:rsid w:val="00D42B68"/>
    <w:rsid w:val="00D435B3"/>
    <w:rsid w:val="00D44595"/>
    <w:rsid w:val="00D44AA8"/>
    <w:rsid w:val="00D453B0"/>
    <w:rsid w:val="00D46C8F"/>
    <w:rsid w:val="00D47B6C"/>
    <w:rsid w:val="00D47D7C"/>
    <w:rsid w:val="00D502DF"/>
    <w:rsid w:val="00D51553"/>
    <w:rsid w:val="00D51CB2"/>
    <w:rsid w:val="00D52154"/>
    <w:rsid w:val="00D52369"/>
    <w:rsid w:val="00D52A61"/>
    <w:rsid w:val="00D52DE5"/>
    <w:rsid w:val="00D53010"/>
    <w:rsid w:val="00D53787"/>
    <w:rsid w:val="00D5380A"/>
    <w:rsid w:val="00D53A9F"/>
    <w:rsid w:val="00D54ADF"/>
    <w:rsid w:val="00D54C9F"/>
    <w:rsid w:val="00D551EC"/>
    <w:rsid w:val="00D5554F"/>
    <w:rsid w:val="00D55654"/>
    <w:rsid w:val="00D55EB9"/>
    <w:rsid w:val="00D56719"/>
    <w:rsid w:val="00D56CDF"/>
    <w:rsid w:val="00D573C6"/>
    <w:rsid w:val="00D5792E"/>
    <w:rsid w:val="00D57972"/>
    <w:rsid w:val="00D57BB1"/>
    <w:rsid w:val="00D57D10"/>
    <w:rsid w:val="00D60234"/>
    <w:rsid w:val="00D6039E"/>
    <w:rsid w:val="00D60AC0"/>
    <w:rsid w:val="00D61352"/>
    <w:rsid w:val="00D61489"/>
    <w:rsid w:val="00D618BD"/>
    <w:rsid w:val="00D61C8B"/>
    <w:rsid w:val="00D63051"/>
    <w:rsid w:val="00D637CD"/>
    <w:rsid w:val="00D6392F"/>
    <w:rsid w:val="00D63B2B"/>
    <w:rsid w:val="00D63BA5"/>
    <w:rsid w:val="00D63F60"/>
    <w:rsid w:val="00D64639"/>
    <w:rsid w:val="00D64877"/>
    <w:rsid w:val="00D64956"/>
    <w:rsid w:val="00D64CF4"/>
    <w:rsid w:val="00D65CE2"/>
    <w:rsid w:val="00D6607E"/>
    <w:rsid w:val="00D66462"/>
    <w:rsid w:val="00D66DC2"/>
    <w:rsid w:val="00D6767B"/>
    <w:rsid w:val="00D6780A"/>
    <w:rsid w:val="00D67BBD"/>
    <w:rsid w:val="00D70FDA"/>
    <w:rsid w:val="00D716D5"/>
    <w:rsid w:val="00D718E9"/>
    <w:rsid w:val="00D71F03"/>
    <w:rsid w:val="00D731B6"/>
    <w:rsid w:val="00D7364D"/>
    <w:rsid w:val="00D736CD"/>
    <w:rsid w:val="00D741C8"/>
    <w:rsid w:val="00D74744"/>
    <w:rsid w:val="00D74BA2"/>
    <w:rsid w:val="00D74F32"/>
    <w:rsid w:val="00D7511D"/>
    <w:rsid w:val="00D75325"/>
    <w:rsid w:val="00D75978"/>
    <w:rsid w:val="00D75A68"/>
    <w:rsid w:val="00D768F9"/>
    <w:rsid w:val="00D76DF7"/>
    <w:rsid w:val="00D80F68"/>
    <w:rsid w:val="00D82244"/>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588"/>
    <w:rsid w:val="00D94822"/>
    <w:rsid w:val="00D950BC"/>
    <w:rsid w:val="00D953B7"/>
    <w:rsid w:val="00D95BCB"/>
    <w:rsid w:val="00D95C11"/>
    <w:rsid w:val="00D96D1F"/>
    <w:rsid w:val="00D97AD2"/>
    <w:rsid w:val="00DA0B56"/>
    <w:rsid w:val="00DA1289"/>
    <w:rsid w:val="00DA17AC"/>
    <w:rsid w:val="00DA2BC8"/>
    <w:rsid w:val="00DA2D75"/>
    <w:rsid w:val="00DA60DB"/>
    <w:rsid w:val="00DA6133"/>
    <w:rsid w:val="00DA6C79"/>
    <w:rsid w:val="00DA6D06"/>
    <w:rsid w:val="00DA7296"/>
    <w:rsid w:val="00DB00C4"/>
    <w:rsid w:val="00DB01BA"/>
    <w:rsid w:val="00DB0EA9"/>
    <w:rsid w:val="00DB0FE5"/>
    <w:rsid w:val="00DB1F30"/>
    <w:rsid w:val="00DB26E5"/>
    <w:rsid w:val="00DB27D5"/>
    <w:rsid w:val="00DB344D"/>
    <w:rsid w:val="00DB38F4"/>
    <w:rsid w:val="00DB3ADC"/>
    <w:rsid w:val="00DB45A4"/>
    <w:rsid w:val="00DB4B8F"/>
    <w:rsid w:val="00DB4E2D"/>
    <w:rsid w:val="00DB4FB6"/>
    <w:rsid w:val="00DB5757"/>
    <w:rsid w:val="00DB5A63"/>
    <w:rsid w:val="00DB5AD4"/>
    <w:rsid w:val="00DB5E41"/>
    <w:rsid w:val="00DB5FF6"/>
    <w:rsid w:val="00DB6B1D"/>
    <w:rsid w:val="00DB74D6"/>
    <w:rsid w:val="00DC0D53"/>
    <w:rsid w:val="00DC161F"/>
    <w:rsid w:val="00DC1680"/>
    <w:rsid w:val="00DC16D6"/>
    <w:rsid w:val="00DC1A7E"/>
    <w:rsid w:val="00DC1B4B"/>
    <w:rsid w:val="00DC2765"/>
    <w:rsid w:val="00DC35F5"/>
    <w:rsid w:val="00DC4352"/>
    <w:rsid w:val="00DC445A"/>
    <w:rsid w:val="00DC4B04"/>
    <w:rsid w:val="00DC4BBE"/>
    <w:rsid w:val="00DC6193"/>
    <w:rsid w:val="00DC662B"/>
    <w:rsid w:val="00DC6A68"/>
    <w:rsid w:val="00DC7020"/>
    <w:rsid w:val="00DC7D2D"/>
    <w:rsid w:val="00DD0012"/>
    <w:rsid w:val="00DD13AB"/>
    <w:rsid w:val="00DD1646"/>
    <w:rsid w:val="00DD2E2F"/>
    <w:rsid w:val="00DD303A"/>
    <w:rsid w:val="00DD3527"/>
    <w:rsid w:val="00DD39F1"/>
    <w:rsid w:val="00DD3CAB"/>
    <w:rsid w:val="00DD3F33"/>
    <w:rsid w:val="00DD457C"/>
    <w:rsid w:val="00DD4983"/>
    <w:rsid w:val="00DD4D2D"/>
    <w:rsid w:val="00DD5199"/>
    <w:rsid w:val="00DD5A3A"/>
    <w:rsid w:val="00DD5A48"/>
    <w:rsid w:val="00DD61A0"/>
    <w:rsid w:val="00DD7554"/>
    <w:rsid w:val="00DD7CE7"/>
    <w:rsid w:val="00DE0CCC"/>
    <w:rsid w:val="00DE1306"/>
    <w:rsid w:val="00DE1479"/>
    <w:rsid w:val="00DE45FC"/>
    <w:rsid w:val="00DE46D0"/>
    <w:rsid w:val="00DE47D6"/>
    <w:rsid w:val="00DE484C"/>
    <w:rsid w:val="00DE4FFF"/>
    <w:rsid w:val="00DE5F29"/>
    <w:rsid w:val="00DE629F"/>
    <w:rsid w:val="00DE6581"/>
    <w:rsid w:val="00DE6702"/>
    <w:rsid w:val="00DE6C99"/>
    <w:rsid w:val="00DF072C"/>
    <w:rsid w:val="00DF0F82"/>
    <w:rsid w:val="00DF12D1"/>
    <w:rsid w:val="00DF172D"/>
    <w:rsid w:val="00DF1C91"/>
    <w:rsid w:val="00DF21C5"/>
    <w:rsid w:val="00DF278B"/>
    <w:rsid w:val="00DF3FB6"/>
    <w:rsid w:val="00DF42F9"/>
    <w:rsid w:val="00DF44C4"/>
    <w:rsid w:val="00DF4A03"/>
    <w:rsid w:val="00DF52B9"/>
    <w:rsid w:val="00DF54D8"/>
    <w:rsid w:val="00DF5653"/>
    <w:rsid w:val="00DF6530"/>
    <w:rsid w:val="00DF6920"/>
    <w:rsid w:val="00DF6926"/>
    <w:rsid w:val="00DF782D"/>
    <w:rsid w:val="00E00271"/>
    <w:rsid w:val="00E00482"/>
    <w:rsid w:val="00E00726"/>
    <w:rsid w:val="00E013C3"/>
    <w:rsid w:val="00E0171A"/>
    <w:rsid w:val="00E01BC9"/>
    <w:rsid w:val="00E02007"/>
    <w:rsid w:val="00E03995"/>
    <w:rsid w:val="00E03E8F"/>
    <w:rsid w:val="00E04629"/>
    <w:rsid w:val="00E0474D"/>
    <w:rsid w:val="00E0494B"/>
    <w:rsid w:val="00E049D4"/>
    <w:rsid w:val="00E04BF8"/>
    <w:rsid w:val="00E051A3"/>
    <w:rsid w:val="00E07338"/>
    <w:rsid w:val="00E07BAA"/>
    <w:rsid w:val="00E108B5"/>
    <w:rsid w:val="00E10B3F"/>
    <w:rsid w:val="00E113C4"/>
    <w:rsid w:val="00E12081"/>
    <w:rsid w:val="00E126BB"/>
    <w:rsid w:val="00E12F28"/>
    <w:rsid w:val="00E138BC"/>
    <w:rsid w:val="00E138DA"/>
    <w:rsid w:val="00E1416B"/>
    <w:rsid w:val="00E142C7"/>
    <w:rsid w:val="00E14922"/>
    <w:rsid w:val="00E151AE"/>
    <w:rsid w:val="00E16C0A"/>
    <w:rsid w:val="00E17A66"/>
    <w:rsid w:val="00E17F7C"/>
    <w:rsid w:val="00E201EB"/>
    <w:rsid w:val="00E20E63"/>
    <w:rsid w:val="00E2117F"/>
    <w:rsid w:val="00E22191"/>
    <w:rsid w:val="00E227E6"/>
    <w:rsid w:val="00E22A79"/>
    <w:rsid w:val="00E22C3E"/>
    <w:rsid w:val="00E22EC5"/>
    <w:rsid w:val="00E2399D"/>
    <w:rsid w:val="00E249AE"/>
    <w:rsid w:val="00E252C8"/>
    <w:rsid w:val="00E25F97"/>
    <w:rsid w:val="00E26D38"/>
    <w:rsid w:val="00E278E4"/>
    <w:rsid w:val="00E31070"/>
    <w:rsid w:val="00E3109E"/>
    <w:rsid w:val="00E31122"/>
    <w:rsid w:val="00E3197A"/>
    <w:rsid w:val="00E32605"/>
    <w:rsid w:val="00E32BC6"/>
    <w:rsid w:val="00E332CB"/>
    <w:rsid w:val="00E3399E"/>
    <w:rsid w:val="00E34454"/>
    <w:rsid w:val="00E3461F"/>
    <w:rsid w:val="00E346FE"/>
    <w:rsid w:val="00E34B73"/>
    <w:rsid w:val="00E34FAC"/>
    <w:rsid w:val="00E34FC6"/>
    <w:rsid w:val="00E3514E"/>
    <w:rsid w:val="00E35B0F"/>
    <w:rsid w:val="00E35BE5"/>
    <w:rsid w:val="00E35C59"/>
    <w:rsid w:val="00E35FDF"/>
    <w:rsid w:val="00E361A3"/>
    <w:rsid w:val="00E366F8"/>
    <w:rsid w:val="00E367A2"/>
    <w:rsid w:val="00E36A60"/>
    <w:rsid w:val="00E36F12"/>
    <w:rsid w:val="00E36F88"/>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26A"/>
    <w:rsid w:val="00E47949"/>
    <w:rsid w:val="00E50E8E"/>
    <w:rsid w:val="00E52409"/>
    <w:rsid w:val="00E531D1"/>
    <w:rsid w:val="00E53260"/>
    <w:rsid w:val="00E53E2B"/>
    <w:rsid w:val="00E54236"/>
    <w:rsid w:val="00E54738"/>
    <w:rsid w:val="00E5509B"/>
    <w:rsid w:val="00E55B0A"/>
    <w:rsid w:val="00E56417"/>
    <w:rsid w:val="00E57986"/>
    <w:rsid w:val="00E57CC1"/>
    <w:rsid w:val="00E6053A"/>
    <w:rsid w:val="00E60F2F"/>
    <w:rsid w:val="00E61186"/>
    <w:rsid w:val="00E62210"/>
    <w:rsid w:val="00E6231C"/>
    <w:rsid w:val="00E62AEB"/>
    <w:rsid w:val="00E62B75"/>
    <w:rsid w:val="00E63EAE"/>
    <w:rsid w:val="00E63F26"/>
    <w:rsid w:val="00E6459A"/>
    <w:rsid w:val="00E6481D"/>
    <w:rsid w:val="00E65190"/>
    <w:rsid w:val="00E65B73"/>
    <w:rsid w:val="00E65FE4"/>
    <w:rsid w:val="00E6609F"/>
    <w:rsid w:val="00E6665F"/>
    <w:rsid w:val="00E667E4"/>
    <w:rsid w:val="00E66B37"/>
    <w:rsid w:val="00E66D74"/>
    <w:rsid w:val="00E66DA7"/>
    <w:rsid w:val="00E67249"/>
    <w:rsid w:val="00E67D7F"/>
    <w:rsid w:val="00E67EC2"/>
    <w:rsid w:val="00E70550"/>
    <w:rsid w:val="00E7061A"/>
    <w:rsid w:val="00E7070D"/>
    <w:rsid w:val="00E70DAC"/>
    <w:rsid w:val="00E70EB0"/>
    <w:rsid w:val="00E70F0A"/>
    <w:rsid w:val="00E712AF"/>
    <w:rsid w:val="00E7288D"/>
    <w:rsid w:val="00E72CB5"/>
    <w:rsid w:val="00E72E60"/>
    <w:rsid w:val="00E731F3"/>
    <w:rsid w:val="00E73C21"/>
    <w:rsid w:val="00E75CC4"/>
    <w:rsid w:val="00E76643"/>
    <w:rsid w:val="00E76992"/>
    <w:rsid w:val="00E77C2C"/>
    <w:rsid w:val="00E800B4"/>
    <w:rsid w:val="00E8041A"/>
    <w:rsid w:val="00E80659"/>
    <w:rsid w:val="00E806D9"/>
    <w:rsid w:val="00E80BC8"/>
    <w:rsid w:val="00E80E45"/>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1DDD"/>
    <w:rsid w:val="00E92CD8"/>
    <w:rsid w:val="00E948ED"/>
    <w:rsid w:val="00E95D65"/>
    <w:rsid w:val="00E95DD2"/>
    <w:rsid w:val="00E95EB2"/>
    <w:rsid w:val="00E974B1"/>
    <w:rsid w:val="00E97B3B"/>
    <w:rsid w:val="00EA0603"/>
    <w:rsid w:val="00EA0822"/>
    <w:rsid w:val="00EA1027"/>
    <w:rsid w:val="00EA1C1C"/>
    <w:rsid w:val="00EA2AAE"/>
    <w:rsid w:val="00EA2D20"/>
    <w:rsid w:val="00EA400A"/>
    <w:rsid w:val="00EA41FA"/>
    <w:rsid w:val="00EA579D"/>
    <w:rsid w:val="00EA7AA0"/>
    <w:rsid w:val="00EA7FF3"/>
    <w:rsid w:val="00EB0D86"/>
    <w:rsid w:val="00EB0FEC"/>
    <w:rsid w:val="00EB1BB4"/>
    <w:rsid w:val="00EB2856"/>
    <w:rsid w:val="00EB2987"/>
    <w:rsid w:val="00EB2B16"/>
    <w:rsid w:val="00EB2F43"/>
    <w:rsid w:val="00EB36BD"/>
    <w:rsid w:val="00EB3BDB"/>
    <w:rsid w:val="00EB4280"/>
    <w:rsid w:val="00EB4E62"/>
    <w:rsid w:val="00EB605F"/>
    <w:rsid w:val="00EB6477"/>
    <w:rsid w:val="00EB679A"/>
    <w:rsid w:val="00EB79A2"/>
    <w:rsid w:val="00EB7B88"/>
    <w:rsid w:val="00EC1069"/>
    <w:rsid w:val="00EC128A"/>
    <w:rsid w:val="00EC29E7"/>
    <w:rsid w:val="00EC2A0B"/>
    <w:rsid w:val="00EC2F80"/>
    <w:rsid w:val="00EC401C"/>
    <w:rsid w:val="00EC511A"/>
    <w:rsid w:val="00EC5ABC"/>
    <w:rsid w:val="00EC5C23"/>
    <w:rsid w:val="00EC6075"/>
    <w:rsid w:val="00EC687A"/>
    <w:rsid w:val="00EC796D"/>
    <w:rsid w:val="00ED00C3"/>
    <w:rsid w:val="00ED01AD"/>
    <w:rsid w:val="00ED021C"/>
    <w:rsid w:val="00ED0268"/>
    <w:rsid w:val="00ED057C"/>
    <w:rsid w:val="00ED0A11"/>
    <w:rsid w:val="00ED0AAC"/>
    <w:rsid w:val="00ED27AF"/>
    <w:rsid w:val="00ED27C3"/>
    <w:rsid w:val="00ED2A1A"/>
    <w:rsid w:val="00ED3577"/>
    <w:rsid w:val="00ED3EB5"/>
    <w:rsid w:val="00ED4579"/>
    <w:rsid w:val="00ED4D9C"/>
    <w:rsid w:val="00ED5547"/>
    <w:rsid w:val="00ED6525"/>
    <w:rsid w:val="00ED673A"/>
    <w:rsid w:val="00ED6CCE"/>
    <w:rsid w:val="00ED6F45"/>
    <w:rsid w:val="00ED7212"/>
    <w:rsid w:val="00ED7C0F"/>
    <w:rsid w:val="00ED7F13"/>
    <w:rsid w:val="00EE0CA6"/>
    <w:rsid w:val="00EE14D8"/>
    <w:rsid w:val="00EE19FF"/>
    <w:rsid w:val="00EE2C1F"/>
    <w:rsid w:val="00EE2E0F"/>
    <w:rsid w:val="00EE3B3A"/>
    <w:rsid w:val="00EE3C62"/>
    <w:rsid w:val="00EE41FE"/>
    <w:rsid w:val="00EE455B"/>
    <w:rsid w:val="00EE58B8"/>
    <w:rsid w:val="00EE5F55"/>
    <w:rsid w:val="00EE60B0"/>
    <w:rsid w:val="00EE6B7E"/>
    <w:rsid w:val="00EE6FFE"/>
    <w:rsid w:val="00EE7C1C"/>
    <w:rsid w:val="00EF08C5"/>
    <w:rsid w:val="00EF0AB3"/>
    <w:rsid w:val="00EF0BC4"/>
    <w:rsid w:val="00EF0C40"/>
    <w:rsid w:val="00EF0DEC"/>
    <w:rsid w:val="00EF12B4"/>
    <w:rsid w:val="00EF155D"/>
    <w:rsid w:val="00EF16B2"/>
    <w:rsid w:val="00EF21EF"/>
    <w:rsid w:val="00EF3762"/>
    <w:rsid w:val="00EF3A8C"/>
    <w:rsid w:val="00EF483A"/>
    <w:rsid w:val="00EF5A5E"/>
    <w:rsid w:val="00EF6207"/>
    <w:rsid w:val="00EF6473"/>
    <w:rsid w:val="00EF68CB"/>
    <w:rsid w:val="00EF713D"/>
    <w:rsid w:val="00EF76BE"/>
    <w:rsid w:val="00F00290"/>
    <w:rsid w:val="00F00CDC"/>
    <w:rsid w:val="00F01090"/>
    <w:rsid w:val="00F01639"/>
    <w:rsid w:val="00F01B41"/>
    <w:rsid w:val="00F0245A"/>
    <w:rsid w:val="00F026F6"/>
    <w:rsid w:val="00F03415"/>
    <w:rsid w:val="00F03638"/>
    <w:rsid w:val="00F03BCA"/>
    <w:rsid w:val="00F04E91"/>
    <w:rsid w:val="00F054CB"/>
    <w:rsid w:val="00F056CD"/>
    <w:rsid w:val="00F059B4"/>
    <w:rsid w:val="00F0641C"/>
    <w:rsid w:val="00F07064"/>
    <w:rsid w:val="00F07326"/>
    <w:rsid w:val="00F07C5C"/>
    <w:rsid w:val="00F07D09"/>
    <w:rsid w:val="00F07D5B"/>
    <w:rsid w:val="00F07EFE"/>
    <w:rsid w:val="00F1050B"/>
    <w:rsid w:val="00F118A0"/>
    <w:rsid w:val="00F11926"/>
    <w:rsid w:val="00F11F55"/>
    <w:rsid w:val="00F12F85"/>
    <w:rsid w:val="00F12FCC"/>
    <w:rsid w:val="00F1327E"/>
    <w:rsid w:val="00F13624"/>
    <w:rsid w:val="00F14350"/>
    <w:rsid w:val="00F147B2"/>
    <w:rsid w:val="00F14944"/>
    <w:rsid w:val="00F14AA0"/>
    <w:rsid w:val="00F15120"/>
    <w:rsid w:val="00F16542"/>
    <w:rsid w:val="00F17760"/>
    <w:rsid w:val="00F17B5E"/>
    <w:rsid w:val="00F17BC9"/>
    <w:rsid w:val="00F20232"/>
    <w:rsid w:val="00F2109F"/>
    <w:rsid w:val="00F21101"/>
    <w:rsid w:val="00F21A58"/>
    <w:rsid w:val="00F21C0D"/>
    <w:rsid w:val="00F21D30"/>
    <w:rsid w:val="00F21E10"/>
    <w:rsid w:val="00F245B6"/>
    <w:rsid w:val="00F25F43"/>
    <w:rsid w:val="00F26092"/>
    <w:rsid w:val="00F30D29"/>
    <w:rsid w:val="00F313B1"/>
    <w:rsid w:val="00F31B02"/>
    <w:rsid w:val="00F32757"/>
    <w:rsid w:val="00F33271"/>
    <w:rsid w:val="00F33FB4"/>
    <w:rsid w:val="00F34212"/>
    <w:rsid w:val="00F346BC"/>
    <w:rsid w:val="00F3493A"/>
    <w:rsid w:val="00F350D3"/>
    <w:rsid w:val="00F35F04"/>
    <w:rsid w:val="00F36CA5"/>
    <w:rsid w:val="00F36ED3"/>
    <w:rsid w:val="00F3700E"/>
    <w:rsid w:val="00F40DF4"/>
    <w:rsid w:val="00F416F9"/>
    <w:rsid w:val="00F43484"/>
    <w:rsid w:val="00F436EF"/>
    <w:rsid w:val="00F43908"/>
    <w:rsid w:val="00F43A1E"/>
    <w:rsid w:val="00F43D5F"/>
    <w:rsid w:val="00F442AD"/>
    <w:rsid w:val="00F44E3D"/>
    <w:rsid w:val="00F45468"/>
    <w:rsid w:val="00F45701"/>
    <w:rsid w:val="00F46347"/>
    <w:rsid w:val="00F46744"/>
    <w:rsid w:val="00F46897"/>
    <w:rsid w:val="00F47B5D"/>
    <w:rsid w:val="00F50619"/>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57FBD"/>
    <w:rsid w:val="00F6045C"/>
    <w:rsid w:val="00F605C3"/>
    <w:rsid w:val="00F605D8"/>
    <w:rsid w:val="00F60976"/>
    <w:rsid w:val="00F61ACB"/>
    <w:rsid w:val="00F61D07"/>
    <w:rsid w:val="00F620B2"/>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EFF"/>
    <w:rsid w:val="00F729FF"/>
    <w:rsid w:val="00F73CE1"/>
    <w:rsid w:val="00F73E4A"/>
    <w:rsid w:val="00F742C5"/>
    <w:rsid w:val="00F74BD7"/>
    <w:rsid w:val="00F74DF5"/>
    <w:rsid w:val="00F754F0"/>
    <w:rsid w:val="00F75F8C"/>
    <w:rsid w:val="00F76044"/>
    <w:rsid w:val="00F7611E"/>
    <w:rsid w:val="00F7656F"/>
    <w:rsid w:val="00F76728"/>
    <w:rsid w:val="00F80435"/>
    <w:rsid w:val="00F80A73"/>
    <w:rsid w:val="00F81935"/>
    <w:rsid w:val="00F81DAD"/>
    <w:rsid w:val="00F81F0E"/>
    <w:rsid w:val="00F822BF"/>
    <w:rsid w:val="00F8286B"/>
    <w:rsid w:val="00F829C0"/>
    <w:rsid w:val="00F82FB0"/>
    <w:rsid w:val="00F83395"/>
    <w:rsid w:val="00F84425"/>
    <w:rsid w:val="00F84954"/>
    <w:rsid w:val="00F84C87"/>
    <w:rsid w:val="00F84EF9"/>
    <w:rsid w:val="00F84F2C"/>
    <w:rsid w:val="00F8696F"/>
    <w:rsid w:val="00F874F1"/>
    <w:rsid w:val="00F87BFE"/>
    <w:rsid w:val="00F90541"/>
    <w:rsid w:val="00F90E96"/>
    <w:rsid w:val="00F91320"/>
    <w:rsid w:val="00F919A9"/>
    <w:rsid w:val="00F91FAF"/>
    <w:rsid w:val="00F929AA"/>
    <w:rsid w:val="00F92F33"/>
    <w:rsid w:val="00F935BA"/>
    <w:rsid w:val="00F937AA"/>
    <w:rsid w:val="00F93C04"/>
    <w:rsid w:val="00F93FF6"/>
    <w:rsid w:val="00F94929"/>
    <w:rsid w:val="00F94B5E"/>
    <w:rsid w:val="00F95909"/>
    <w:rsid w:val="00F959FB"/>
    <w:rsid w:val="00F96250"/>
    <w:rsid w:val="00F96A01"/>
    <w:rsid w:val="00F96B80"/>
    <w:rsid w:val="00F979FD"/>
    <w:rsid w:val="00FA17DF"/>
    <w:rsid w:val="00FA1DA9"/>
    <w:rsid w:val="00FA1E49"/>
    <w:rsid w:val="00FA24AD"/>
    <w:rsid w:val="00FA292F"/>
    <w:rsid w:val="00FA3045"/>
    <w:rsid w:val="00FA3D18"/>
    <w:rsid w:val="00FA48D4"/>
    <w:rsid w:val="00FA5554"/>
    <w:rsid w:val="00FA5998"/>
    <w:rsid w:val="00FA60A0"/>
    <w:rsid w:val="00FA6273"/>
    <w:rsid w:val="00FA65A5"/>
    <w:rsid w:val="00FA7E6A"/>
    <w:rsid w:val="00FB049C"/>
    <w:rsid w:val="00FB162A"/>
    <w:rsid w:val="00FB2858"/>
    <w:rsid w:val="00FB2E5C"/>
    <w:rsid w:val="00FB2FCA"/>
    <w:rsid w:val="00FB3290"/>
    <w:rsid w:val="00FB32C1"/>
    <w:rsid w:val="00FB4235"/>
    <w:rsid w:val="00FB44F4"/>
    <w:rsid w:val="00FB460B"/>
    <w:rsid w:val="00FB6151"/>
    <w:rsid w:val="00FB6FA0"/>
    <w:rsid w:val="00FB74F2"/>
    <w:rsid w:val="00FB78EA"/>
    <w:rsid w:val="00FB7E3F"/>
    <w:rsid w:val="00FC1054"/>
    <w:rsid w:val="00FC12B5"/>
    <w:rsid w:val="00FC1658"/>
    <w:rsid w:val="00FC16DF"/>
    <w:rsid w:val="00FC2187"/>
    <w:rsid w:val="00FC2E33"/>
    <w:rsid w:val="00FC385E"/>
    <w:rsid w:val="00FC43C0"/>
    <w:rsid w:val="00FC5106"/>
    <w:rsid w:val="00FC5299"/>
    <w:rsid w:val="00FC58FF"/>
    <w:rsid w:val="00FC6F21"/>
    <w:rsid w:val="00FC6F4E"/>
    <w:rsid w:val="00FC7AAB"/>
    <w:rsid w:val="00FC7E71"/>
    <w:rsid w:val="00FC7EF3"/>
    <w:rsid w:val="00FD1650"/>
    <w:rsid w:val="00FD1D75"/>
    <w:rsid w:val="00FD1EA9"/>
    <w:rsid w:val="00FD2234"/>
    <w:rsid w:val="00FD2F61"/>
    <w:rsid w:val="00FD52FA"/>
    <w:rsid w:val="00FD616E"/>
    <w:rsid w:val="00FD63E4"/>
    <w:rsid w:val="00FD7A7A"/>
    <w:rsid w:val="00FE0067"/>
    <w:rsid w:val="00FE079B"/>
    <w:rsid w:val="00FE0DFB"/>
    <w:rsid w:val="00FE1193"/>
    <w:rsid w:val="00FE15DD"/>
    <w:rsid w:val="00FE30FF"/>
    <w:rsid w:val="00FE46A6"/>
    <w:rsid w:val="00FE4975"/>
    <w:rsid w:val="00FE4B63"/>
    <w:rsid w:val="00FE4DDF"/>
    <w:rsid w:val="00FE5ABC"/>
    <w:rsid w:val="00FE5FE6"/>
    <w:rsid w:val="00FE6A4B"/>
    <w:rsid w:val="00FE759B"/>
    <w:rsid w:val="00FE7F57"/>
    <w:rsid w:val="00FF0EAA"/>
    <w:rsid w:val="00FF0F6E"/>
    <w:rsid w:val="00FF1578"/>
    <w:rsid w:val="00FF1634"/>
    <w:rsid w:val="00FF261A"/>
    <w:rsid w:val="00FF29B5"/>
    <w:rsid w:val="00FF3A97"/>
    <w:rsid w:val="00FF4130"/>
    <w:rsid w:val="00FF4470"/>
    <w:rsid w:val="00FF479A"/>
    <w:rsid w:val="00FF57A3"/>
    <w:rsid w:val="00FF5B78"/>
    <w:rsid w:val="00FF5C14"/>
    <w:rsid w:val="00FF5CF2"/>
    <w:rsid w:val="00FF60DF"/>
    <w:rsid w:val="00FF7529"/>
    <w:rsid w:val="00FF790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8E2EE3"/>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E2EE3"/>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E2EE3"/>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E2EE3"/>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E2EE3"/>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E2EE3"/>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E2EE3"/>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E2EE3"/>
    <w:pPr>
      <w:spacing w:after="0"/>
      <w:ind w:left="1920"/>
      <w:jc w:val="left"/>
    </w:pPr>
    <w:rPr>
      <w:rFonts w:asciiTheme="minorHAnsi" w:hAnsiTheme="minorHAnsi" w:cstheme="minorHAnsi"/>
      <w:sz w:val="20"/>
      <w:szCs w:val="20"/>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styleId="PlainTable3">
    <w:name w:val="Plain Table 3"/>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styleId="UnresolvedMention">
    <w:name w:val="Unresolved Mention"/>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18070628">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49BD833-67CF-1345-ADCE-6CEB20AD0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19</Pages>
  <Words>37262</Words>
  <Characters>223577</Characters>
  <Application>Microsoft Office Word</Application>
  <DocSecurity>0</DocSecurity>
  <Lines>3387</Lines>
  <Paragraphs>976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210</cp:revision>
  <cp:lastPrinted>2019-05-07T16:27:00Z</cp:lastPrinted>
  <dcterms:created xsi:type="dcterms:W3CDTF">2019-05-08T23:30:00Z</dcterms:created>
  <dcterms:modified xsi:type="dcterms:W3CDTF">2019-05-09T20:58:00Z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