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23C54501" w14:textId="77777777" w:rsidR="00E142BB"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1F4FF5E" w14:textId="6A514D5C" w:rsidR="00E142BB" w:rsidRDefault="00204188">
          <w:pPr>
            <w:pStyle w:val="TOC2"/>
            <w:tabs>
              <w:tab w:val="right" w:leader="dot" w:pos="9010"/>
            </w:tabs>
            <w:rPr>
              <w:rFonts w:eastAsiaTheme="minorEastAsia" w:cstheme="minorBidi"/>
              <w:b w:val="0"/>
              <w:bCs w:val="0"/>
              <w:noProof/>
              <w:sz w:val="24"/>
              <w:szCs w:val="24"/>
            </w:rPr>
          </w:pPr>
          <w:hyperlink w:anchor="_Toc6171723" w:history="1">
            <w:r w:rsidR="00E142BB" w:rsidRPr="00C62511">
              <w:rPr>
                <w:rStyle w:val="Hyperlink"/>
                <w:noProof/>
              </w:rPr>
              <w:t>List of figures</w:t>
            </w:r>
            <w:r w:rsidR="00E142BB">
              <w:rPr>
                <w:noProof/>
                <w:webHidden/>
              </w:rPr>
              <w:tab/>
            </w:r>
            <w:r w:rsidR="00E142BB">
              <w:rPr>
                <w:noProof/>
                <w:webHidden/>
              </w:rPr>
              <w:fldChar w:fldCharType="begin"/>
            </w:r>
            <w:r w:rsidR="00E142BB">
              <w:rPr>
                <w:noProof/>
                <w:webHidden/>
              </w:rPr>
              <w:instrText xml:space="preserve"> PAGEREF _Toc6171723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EF5A858" w14:textId="47289ECC" w:rsidR="00E142BB" w:rsidRDefault="00204188">
          <w:pPr>
            <w:pStyle w:val="TOC2"/>
            <w:tabs>
              <w:tab w:val="right" w:leader="dot" w:pos="9010"/>
            </w:tabs>
            <w:rPr>
              <w:rFonts w:eastAsiaTheme="minorEastAsia" w:cstheme="minorBidi"/>
              <w:b w:val="0"/>
              <w:bCs w:val="0"/>
              <w:noProof/>
              <w:sz w:val="24"/>
              <w:szCs w:val="24"/>
            </w:rPr>
          </w:pPr>
          <w:hyperlink w:anchor="_Toc6171724" w:history="1">
            <w:r w:rsidR="00E142BB" w:rsidRPr="00C62511">
              <w:rPr>
                <w:rStyle w:val="Hyperlink"/>
                <w:noProof/>
              </w:rPr>
              <w:t>List of tables</w:t>
            </w:r>
            <w:r w:rsidR="00E142BB">
              <w:rPr>
                <w:noProof/>
                <w:webHidden/>
              </w:rPr>
              <w:tab/>
            </w:r>
            <w:r w:rsidR="00E142BB">
              <w:rPr>
                <w:noProof/>
                <w:webHidden/>
              </w:rPr>
              <w:fldChar w:fldCharType="begin"/>
            </w:r>
            <w:r w:rsidR="00E142BB">
              <w:rPr>
                <w:noProof/>
                <w:webHidden/>
              </w:rPr>
              <w:instrText xml:space="preserve"> PAGEREF _Toc6171724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014800BA" w14:textId="0DA70596" w:rsidR="00E142BB" w:rsidRDefault="00204188">
          <w:pPr>
            <w:pStyle w:val="TOC2"/>
            <w:tabs>
              <w:tab w:val="right" w:leader="dot" w:pos="9010"/>
            </w:tabs>
            <w:rPr>
              <w:rFonts w:eastAsiaTheme="minorEastAsia" w:cstheme="minorBidi"/>
              <w:b w:val="0"/>
              <w:bCs w:val="0"/>
              <w:noProof/>
              <w:sz w:val="24"/>
              <w:szCs w:val="24"/>
            </w:rPr>
          </w:pPr>
          <w:hyperlink w:anchor="_Toc6171725" w:history="1">
            <w:r w:rsidR="00E142BB" w:rsidRPr="00C62511">
              <w:rPr>
                <w:rStyle w:val="Hyperlink"/>
                <w:noProof/>
              </w:rPr>
              <w:t>List of equations</w:t>
            </w:r>
            <w:r w:rsidR="00E142BB">
              <w:rPr>
                <w:noProof/>
                <w:webHidden/>
              </w:rPr>
              <w:tab/>
            </w:r>
            <w:r w:rsidR="00E142BB">
              <w:rPr>
                <w:noProof/>
                <w:webHidden/>
              </w:rPr>
              <w:fldChar w:fldCharType="begin"/>
            </w:r>
            <w:r w:rsidR="00E142BB">
              <w:rPr>
                <w:noProof/>
                <w:webHidden/>
              </w:rPr>
              <w:instrText xml:space="preserve"> PAGEREF _Toc6171725 \h </w:instrText>
            </w:r>
            <w:r w:rsidR="00E142BB">
              <w:rPr>
                <w:noProof/>
                <w:webHidden/>
              </w:rPr>
            </w:r>
            <w:r w:rsidR="00E142BB">
              <w:rPr>
                <w:noProof/>
                <w:webHidden/>
              </w:rPr>
              <w:fldChar w:fldCharType="separate"/>
            </w:r>
            <w:r w:rsidR="00E142BB">
              <w:rPr>
                <w:noProof/>
                <w:webHidden/>
              </w:rPr>
              <w:t>1</w:t>
            </w:r>
            <w:r w:rsidR="00E142BB">
              <w:rPr>
                <w:noProof/>
                <w:webHidden/>
              </w:rPr>
              <w:fldChar w:fldCharType="end"/>
            </w:r>
          </w:hyperlink>
        </w:p>
        <w:p w14:paraId="4250A15C" w14:textId="07FA78CE" w:rsidR="00E142BB" w:rsidRDefault="00204188">
          <w:pPr>
            <w:pStyle w:val="TOC1"/>
            <w:rPr>
              <w:rFonts w:eastAsiaTheme="minorEastAsia" w:cstheme="minorBidi"/>
              <w:b w:val="0"/>
              <w:bCs w:val="0"/>
              <w:noProof/>
            </w:rPr>
          </w:pPr>
          <w:hyperlink w:anchor="_Toc6171726" w:history="1">
            <w:r w:rsidR="00E142BB" w:rsidRPr="00C62511">
              <w:rPr>
                <w:rStyle w:val="Hyperlink"/>
                <w:noProof/>
              </w:rPr>
              <w:t>1. Anomalous temperature and injury mortality in the USA: age-, sex- and state-specific impacts</w:t>
            </w:r>
            <w:r w:rsidR="00E142BB">
              <w:rPr>
                <w:noProof/>
                <w:webHidden/>
              </w:rPr>
              <w:tab/>
            </w:r>
            <w:r w:rsidR="00E142BB">
              <w:rPr>
                <w:noProof/>
                <w:webHidden/>
              </w:rPr>
              <w:fldChar w:fldCharType="begin"/>
            </w:r>
            <w:r w:rsidR="00E142BB">
              <w:rPr>
                <w:noProof/>
                <w:webHidden/>
              </w:rPr>
              <w:instrText xml:space="preserve"> PAGEREF _Toc6171726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2A4B0C55" w14:textId="23152EA8" w:rsidR="00E142BB" w:rsidRDefault="00204188">
          <w:pPr>
            <w:pStyle w:val="TOC2"/>
            <w:tabs>
              <w:tab w:val="right" w:leader="dot" w:pos="9010"/>
            </w:tabs>
            <w:rPr>
              <w:rFonts w:eastAsiaTheme="minorEastAsia" w:cstheme="minorBidi"/>
              <w:b w:val="0"/>
              <w:bCs w:val="0"/>
              <w:noProof/>
              <w:sz w:val="24"/>
              <w:szCs w:val="24"/>
            </w:rPr>
          </w:pPr>
          <w:hyperlink w:anchor="_Toc6171727" w:history="1">
            <w:r w:rsidR="00E142BB" w:rsidRPr="00C62511">
              <w:rPr>
                <w:rStyle w:val="Hyperlink"/>
                <w:noProof/>
              </w:rPr>
              <w:t>Overview</w:t>
            </w:r>
            <w:r w:rsidR="00E142BB">
              <w:rPr>
                <w:noProof/>
                <w:webHidden/>
              </w:rPr>
              <w:tab/>
            </w:r>
            <w:r w:rsidR="00E142BB">
              <w:rPr>
                <w:noProof/>
                <w:webHidden/>
              </w:rPr>
              <w:fldChar w:fldCharType="begin"/>
            </w:r>
            <w:r w:rsidR="00E142BB">
              <w:rPr>
                <w:noProof/>
                <w:webHidden/>
              </w:rPr>
              <w:instrText xml:space="preserve"> PAGEREF _Toc6171727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1C24E9E1" w14:textId="6012482F" w:rsidR="00E142BB" w:rsidRDefault="00204188">
          <w:pPr>
            <w:pStyle w:val="TOC2"/>
            <w:tabs>
              <w:tab w:val="right" w:leader="dot" w:pos="9010"/>
            </w:tabs>
            <w:rPr>
              <w:rFonts w:eastAsiaTheme="minorEastAsia" w:cstheme="minorBidi"/>
              <w:b w:val="0"/>
              <w:bCs w:val="0"/>
              <w:noProof/>
              <w:sz w:val="24"/>
              <w:szCs w:val="24"/>
            </w:rPr>
          </w:pPr>
          <w:hyperlink w:anchor="_Toc6171728" w:history="1">
            <w:r w:rsidR="00E142BB" w:rsidRPr="00C62511">
              <w:rPr>
                <w:rStyle w:val="Hyperlink"/>
                <w:noProof/>
              </w:rPr>
              <w:t>Introduction</w:t>
            </w:r>
            <w:r w:rsidR="00E142BB">
              <w:rPr>
                <w:noProof/>
                <w:webHidden/>
              </w:rPr>
              <w:tab/>
            </w:r>
            <w:r w:rsidR="00E142BB">
              <w:rPr>
                <w:noProof/>
                <w:webHidden/>
              </w:rPr>
              <w:fldChar w:fldCharType="begin"/>
            </w:r>
            <w:r w:rsidR="00E142BB">
              <w:rPr>
                <w:noProof/>
                <w:webHidden/>
              </w:rPr>
              <w:instrText xml:space="preserve"> PAGEREF _Toc6171728 \h </w:instrText>
            </w:r>
            <w:r w:rsidR="00E142BB">
              <w:rPr>
                <w:noProof/>
                <w:webHidden/>
              </w:rPr>
            </w:r>
            <w:r w:rsidR="00E142BB">
              <w:rPr>
                <w:noProof/>
                <w:webHidden/>
              </w:rPr>
              <w:fldChar w:fldCharType="separate"/>
            </w:r>
            <w:r w:rsidR="00E142BB">
              <w:rPr>
                <w:noProof/>
                <w:webHidden/>
              </w:rPr>
              <w:t>2</w:t>
            </w:r>
            <w:r w:rsidR="00E142BB">
              <w:rPr>
                <w:noProof/>
                <w:webHidden/>
              </w:rPr>
              <w:fldChar w:fldCharType="end"/>
            </w:r>
          </w:hyperlink>
        </w:p>
        <w:p w14:paraId="4F2D1DC7" w14:textId="6588B3F1" w:rsidR="00E142BB" w:rsidRDefault="00204188">
          <w:pPr>
            <w:pStyle w:val="TOC2"/>
            <w:tabs>
              <w:tab w:val="right" w:leader="dot" w:pos="9010"/>
            </w:tabs>
            <w:rPr>
              <w:rFonts w:eastAsiaTheme="minorEastAsia" w:cstheme="minorBidi"/>
              <w:b w:val="0"/>
              <w:bCs w:val="0"/>
              <w:noProof/>
              <w:sz w:val="24"/>
              <w:szCs w:val="24"/>
            </w:rPr>
          </w:pPr>
          <w:hyperlink w:anchor="_Toc6171729" w:history="1">
            <w:r w:rsidR="00E142BB" w:rsidRPr="00C62511">
              <w:rPr>
                <w:rStyle w:val="Hyperlink"/>
                <w:noProof/>
              </w:rPr>
              <w:t>Data</w:t>
            </w:r>
            <w:r w:rsidR="00E142BB">
              <w:rPr>
                <w:noProof/>
                <w:webHidden/>
              </w:rPr>
              <w:tab/>
            </w:r>
            <w:r w:rsidR="00E142BB">
              <w:rPr>
                <w:noProof/>
                <w:webHidden/>
              </w:rPr>
              <w:fldChar w:fldCharType="begin"/>
            </w:r>
            <w:r w:rsidR="00E142BB">
              <w:rPr>
                <w:noProof/>
                <w:webHidden/>
              </w:rPr>
              <w:instrText xml:space="preserve"> PAGEREF _Toc6171729 \h </w:instrText>
            </w:r>
            <w:r w:rsidR="00E142BB">
              <w:rPr>
                <w:noProof/>
                <w:webHidden/>
              </w:rPr>
            </w:r>
            <w:r w:rsidR="00E142BB">
              <w:rPr>
                <w:noProof/>
                <w:webHidden/>
              </w:rPr>
              <w:fldChar w:fldCharType="separate"/>
            </w:r>
            <w:r w:rsidR="00E142BB">
              <w:rPr>
                <w:noProof/>
                <w:webHidden/>
              </w:rPr>
              <w:t>3</w:t>
            </w:r>
            <w:r w:rsidR="00E142BB">
              <w:rPr>
                <w:noProof/>
                <w:webHidden/>
              </w:rPr>
              <w:fldChar w:fldCharType="end"/>
            </w:r>
          </w:hyperlink>
        </w:p>
        <w:p w14:paraId="10DC283F" w14:textId="691BCA6D" w:rsidR="00E142BB" w:rsidRDefault="00204188">
          <w:pPr>
            <w:pStyle w:val="TOC2"/>
            <w:tabs>
              <w:tab w:val="right" w:leader="dot" w:pos="9010"/>
            </w:tabs>
            <w:rPr>
              <w:rFonts w:eastAsiaTheme="minorEastAsia" w:cstheme="minorBidi"/>
              <w:b w:val="0"/>
              <w:bCs w:val="0"/>
              <w:noProof/>
              <w:sz w:val="24"/>
              <w:szCs w:val="24"/>
            </w:rPr>
          </w:pPr>
          <w:hyperlink w:anchor="_Toc6171730" w:history="1">
            <w:r w:rsidR="00E142BB" w:rsidRPr="00C62511">
              <w:rPr>
                <w:rStyle w:val="Hyperlink"/>
                <w:noProof/>
              </w:rPr>
              <w:t>Statistical methods</w:t>
            </w:r>
            <w:r w:rsidR="00E142BB">
              <w:rPr>
                <w:noProof/>
                <w:webHidden/>
              </w:rPr>
              <w:tab/>
            </w:r>
            <w:r w:rsidR="00E142BB">
              <w:rPr>
                <w:noProof/>
                <w:webHidden/>
              </w:rPr>
              <w:fldChar w:fldCharType="begin"/>
            </w:r>
            <w:r w:rsidR="00E142BB">
              <w:rPr>
                <w:noProof/>
                <w:webHidden/>
              </w:rPr>
              <w:instrText xml:space="preserve"> PAGEREF _Toc6171730 \h </w:instrText>
            </w:r>
            <w:r w:rsidR="00E142BB">
              <w:rPr>
                <w:noProof/>
                <w:webHidden/>
              </w:rPr>
            </w:r>
            <w:r w:rsidR="00E142BB">
              <w:rPr>
                <w:noProof/>
                <w:webHidden/>
              </w:rPr>
              <w:fldChar w:fldCharType="separate"/>
            </w:r>
            <w:r w:rsidR="00E142BB">
              <w:rPr>
                <w:noProof/>
                <w:webHidden/>
              </w:rPr>
              <w:t>5</w:t>
            </w:r>
            <w:r w:rsidR="00E142BB">
              <w:rPr>
                <w:noProof/>
                <w:webHidden/>
              </w:rPr>
              <w:fldChar w:fldCharType="end"/>
            </w:r>
          </w:hyperlink>
        </w:p>
        <w:p w14:paraId="6900C144" w14:textId="5C893050" w:rsidR="00E142BB" w:rsidRDefault="00204188">
          <w:pPr>
            <w:pStyle w:val="TOC2"/>
            <w:tabs>
              <w:tab w:val="right" w:leader="dot" w:pos="9010"/>
            </w:tabs>
            <w:rPr>
              <w:rFonts w:eastAsiaTheme="minorEastAsia" w:cstheme="minorBidi"/>
              <w:b w:val="0"/>
              <w:bCs w:val="0"/>
              <w:noProof/>
              <w:sz w:val="24"/>
              <w:szCs w:val="24"/>
            </w:rPr>
          </w:pPr>
          <w:hyperlink w:anchor="_Toc6171731" w:history="1">
            <w:r w:rsidR="00E142BB" w:rsidRPr="00C62511">
              <w:rPr>
                <w:rStyle w:val="Hyperlink"/>
                <w:noProof/>
              </w:rPr>
              <w:t>Results</w:t>
            </w:r>
            <w:r w:rsidR="00E142BB">
              <w:rPr>
                <w:noProof/>
                <w:webHidden/>
              </w:rPr>
              <w:tab/>
            </w:r>
            <w:r w:rsidR="00E142BB">
              <w:rPr>
                <w:noProof/>
                <w:webHidden/>
              </w:rPr>
              <w:fldChar w:fldCharType="begin"/>
            </w:r>
            <w:r w:rsidR="00E142BB">
              <w:rPr>
                <w:noProof/>
                <w:webHidden/>
              </w:rPr>
              <w:instrText xml:space="preserve"> PAGEREF _Toc6171731 \h </w:instrText>
            </w:r>
            <w:r w:rsidR="00E142BB">
              <w:rPr>
                <w:noProof/>
                <w:webHidden/>
              </w:rPr>
            </w:r>
            <w:r w:rsidR="00E142BB">
              <w:rPr>
                <w:noProof/>
                <w:webHidden/>
              </w:rPr>
              <w:fldChar w:fldCharType="separate"/>
            </w:r>
            <w:r w:rsidR="00E142BB">
              <w:rPr>
                <w:noProof/>
                <w:webHidden/>
              </w:rPr>
              <w:t>9</w:t>
            </w:r>
            <w:r w:rsidR="00E142BB">
              <w:rPr>
                <w:noProof/>
                <w:webHidden/>
              </w:rPr>
              <w:fldChar w:fldCharType="end"/>
            </w:r>
          </w:hyperlink>
        </w:p>
        <w:p w14:paraId="5D033960" w14:textId="0B6090F5" w:rsidR="00E142BB" w:rsidRDefault="00204188">
          <w:pPr>
            <w:pStyle w:val="TOC2"/>
            <w:tabs>
              <w:tab w:val="right" w:leader="dot" w:pos="9010"/>
            </w:tabs>
            <w:rPr>
              <w:rFonts w:eastAsiaTheme="minorEastAsia" w:cstheme="minorBidi"/>
              <w:b w:val="0"/>
              <w:bCs w:val="0"/>
              <w:noProof/>
              <w:sz w:val="24"/>
              <w:szCs w:val="24"/>
            </w:rPr>
          </w:pPr>
          <w:hyperlink w:anchor="_Toc6171732" w:history="1">
            <w:r w:rsidR="00E142BB" w:rsidRPr="00C62511">
              <w:rPr>
                <w:rStyle w:val="Hyperlink"/>
                <w:noProof/>
              </w:rPr>
              <w:t>Discussion</w:t>
            </w:r>
            <w:r w:rsidR="00E142BB">
              <w:rPr>
                <w:noProof/>
                <w:webHidden/>
              </w:rPr>
              <w:tab/>
            </w:r>
            <w:r w:rsidR="00E142BB">
              <w:rPr>
                <w:noProof/>
                <w:webHidden/>
              </w:rPr>
              <w:fldChar w:fldCharType="begin"/>
            </w:r>
            <w:r w:rsidR="00E142BB">
              <w:rPr>
                <w:noProof/>
                <w:webHidden/>
              </w:rPr>
              <w:instrText xml:space="preserve"> PAGEREF _Toc6171732 \h </w:instrText>
            </w:r>
            <w:r w:rsidR="00E142BB">
              <w:rPr>
                <w:noProof/>
                <w:webHidden/>
              </w:rPr>
            </w:r>
            <w:r w:rsidR="00E142BB">
              <w:rPr>
                <w:noProof/>
                <w:webHidden/>
              </w:rPr>
              <w:fldChar w:fldCharType="separate"/>
            </w:r>
            <w:r w:rsidR="00E142BB">
              <w:rPr>
                <w:noProof/>
                <w:webHidden/>
              </w:rPr>
              <w:t>11</w:t>
            </w:r>
            <w:r w:rsidR="00E142BB">
              <w:rPr>
                <w:noProof/>
                <w:webHidden/>
              </w:rPr>
              <w:fldChar w:fldCharType="end"/>
            </w:r>
          </w:hyperlink>
        </w:p>
        <w:p w14:paraId="5FBCF263" w14:textId="378012DD" w:rsidR="00E142BB" w:rsidRDefault="00204188">
          <w:pPr>
            <w:pStyle w:val="TOC2"/>
            <w:tabs>
              <w:tab w:val="right" w:leader="dot" w:pos="9010"/>
            </w:tabs>
            <w:rPr>
              <w:rFonts w:eastAsiaTheme="minorEastAsia" w:cstheme="minorBidi"/>
              <w:b w:val="0"/>
              <w:bCs w:val="0"/>
              <w:noProof/>
              <w:sz w:val="24"/>
              <w:szCs w:val="24"/>
            </w:rPr>
          </w:pPr>
          <w:hyperlink w:anchor="_Toc6171733" w:history="1">
            <w:r w:rsidR="00E142BB" w:rsidRPr="00C62511">
              <w:rPr>
                <w:rStyle w:val="Hyperlink"/>
                <w:noProof/>
              </w:rPr>
              <w:t>References</w:t>
            </w:r>
            <w:r w:rsidR="00E142BB">
              <w:rPr>
                <w:noProof/>
                <w:webHidden/>
              </w:rPr>
              <w:tab/>
            </w:r>
            <w:r w:rsidR="00E142BB">
              <w:rPr>
                <w:noProof/>
                <w:webHidden/>
              </w:rPr>
              <w:fldChar w:fldCharType="begin"/>
            </w:r>
            <w:r w:rsidR="00E142BB">
              <w:rPr>
                <w:noProof/>
                <w:webHidden/>
              </w:rPr>
              <w:instrText xml:space="preserve"> PAGEREF _Toc6171733 \h </w:instrText>
            </w:r>
            <w:r w:rsidR="00E142BB">
              <w:rPr>
                <w:noProof/>
                <w:webHidden/>
              </w:rPr>
            </w:r>
            <w:r w:rsidR="00E142BB">
              <w:rPr>
                <w:noProof/>
                <w:webHidden/>
              </w:rPr>
              <w:fldChar w:fldCharType="separate"/>
            </w:r>
            <w:r w:rsidR="00E142BB">
              <w:rPr>
                <w:noProof/>
                <w:webHidden/>
              </w:rPr>
              <w:t>14</w:t>
            </w:r>
            <w:r w:rsidR="00E142BB">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0" w:name="_Toc6171723"/>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1" w:name="_Toc6171724"/>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171725"/>
      <w:r>
        <w:t>List of equations</w:t>
      </w:r>
      <w:bookmarkEnd w:id="2"/>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p>
    <w:p w14:paraId="661D8067" w14:textId="1539F6F4" w:rsidR="004B4DC1" w:rsidRDefault="004B4DC1" w:rsidP="004B4DC1">
      <w:pPr>
        <w:pStyle w:val="Heading1"/>
      </w:pPr>
      <w:bookmarkStart w:id="3" w:name="_Toc6171726"/>
      <w:bookmarkStart w:id="4" w:name="_Toc6045006"/>
      <w:r>
        <w:lastRenderedPageBreak/>
        <w:t>1. A</w:t>
      </w:r>
      <w:r w:rsidRPr="00636C9B">
        <w:t xml:space="preserve">nomalous temperature </w:t>
      </w:r>
      <w:r>
        <w:t>and</w:t>
      </w:r>
      <w:r w:rsidRPr="00636C9B">
        <w:t xml:space="preserve"> injury mortality in the USA</w:t>
      </w:r>
      <w:r>
        <w:t>: age-, sex- and state-specific impacts</w:t>
      </w:r>
      <w:bookmarkEnd w:id="3"/>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6171727"/>
      <w:r w:rsidRPr="00127064">
        <w:t>Overview</w:t>
      </w:r>
      <w:bookmarkEnd w:id="4"/>
      <w:bookmarkEnd w:id="5"/>
    </w:p>
    <w:p w14:paraId="646EA9F8" w14:textId="7BE67A5A" w:rsidR="00B971FF" w:rsidRDefault="00161129" w:rsidP="00113E25">
      <w:pPr>
        <w:spacing w:line="480" w:lineRule="auto"/>
        <w:ind w:firstLine="720"/>
        <w:jc w:val="both"/>
        <w:rPr>
          <w:rFonts w:cs="Calibri"/>
          <w:sz w:val="24"/>
          <w:szCs w:val="24"/>
        </w:rPr>
      </w:pPr>
      <w:bookmarkStart w:id="6"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United States and formulated a Bayesian spatio-temporal model to estimate how deviations from the long-term norm of mean monthly temperature (anomalous temperatures) affect deaths from different injuries by age groups and sex. We found that a 1°C anomalously warm year would be associated with an estimated 941 (95% credible interval 831, 1053) additional injury deaths. 87% of deaths in males would be concentrated in adolescent to middle ages. These excess deaths would comprise of increases in drowning, transport injuries, assault and intentional self-harm offset partly by an overall decline in falls in older ages. The findings demonstrate the need for targeted public health interventions against injuries during periods of anomalously high temperatures, especially as these episodes increase with global climate change.</w:t>
      </w:r>
      <w:bookmarkStart w:id="7" w:name="_Toc6045013"/>
      <w:bookmarkEnd w:id="6"/>
    </w:p>
    <w:p w14:paraId="53F0D6FD" w14:textId="273BD1D1" w:rsidR="00BE6C9E" w:rsidRPr="00BE6C9E" w:rsidRDefault="00BE6C9E" w:rsidP="00BE6C9E">
      <w:pPr>
        <w:spacing w:line="480" w:lineRule="auto"/>
        <w:ind w:firstLine="720"/>
        <w:jc w:val="both"/>
        <w:rPr>
          <w:sz w:val="24"/>
          <w:szCs w:val="24"/>
        </w:rPr>
      </w:pPr>
      <w:r>
        <w:rPr>
          <w:sz w:val="24"/>
          <w:szCs w:val="24"/>
        </w:rPr>
        <w:t xml:space="preserve">This chapter is based on </w:t>
      </w:r>
      <w:r>
        <w:rPr>
          <w:sz w:val="24"/>
          <w:szCs w:val="24"/>
        </w:rPr>
        <w:t>work which is currently under review</w:t>
      </w:r>
      <w:r>
        <w:rPr>
          <w:sz w:val="24"/>
          <w:szCs w:val="24"/>
        </w:rPr>
        <w:t xml:space="preserve"> </w:t>
      </w:r>
      <w:r>
        <w:rPr>
          <w:sz w:val="24"/>
          <w:szCs w:val="24"/>
        </w:rPr>
        <w:t>in Nature Climate Change</w:t>
      </w:r>
      <w:r>
        <w:rPr>
          <w:sz w:val="24"/>
          <w:szCs w:val="24"/>
        </w:rPr>
        <w:t>.</w:t>
      </w:r>
      <w:bookmarkStart w:id="8" w:name="_GoBack"/>
      <w:bookmarkEnd w:id="8"/>
    </w:p>
    <w:p w14:paraId="2C8ED6BF" w14:textId="49C97810" w:rsidR="000377CB" w:rsidRPr="000377CB" w:rsidRDefault="000377CB" w:rsidP="000377CB">
      <w:pPr>
        <w:pStyle w:val="Heading2"/>
        <w:rPr>
          <w:rFonts w:ascii="Calibri" w:hAnsi="Calibri"/>
        </w:rPr>
      </w:pPr>
      <w:bookmarkStart w:id="9" w:name="_Toc6171728"/>
      <w:r>
        <w:t>Introduction</w:t>
      </w:r>
      <w:bookmarkEnd w:id="9"/>
    </w:p>
    <w:p w14:paraId="573AC6C2" w14:textId="3F1F7F7B" w:rsidR="00B971FF" w:rsidRDefault="00B971FF" w:rsidP="00E06158">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potential health impacts of anthropogenic climate change are one of the key drivers for efforts to mitigate greenhouse gas emissions and for pursuing adaptation measures. Current assessments of the health effects of climate change largely focus on </w:t>
      </w:r>
      <w:r w:rsidRPr="000377CB">
        <w:rPr>
          <w:rFonts w:cs="Calibri"/>
          <w:color w:val="000000" w:themeColor="text1"/>
          <w:sz w:val="24"/>
          <w:szCs w:val="24"/>
        </w:rPr>
        <w:lastRenderedPageBreak/>
        <w:t>parasitic and infectious diseases, and cardiorespiratory and other chronic diseases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2018)","previouslyFormattedCitation":"&lt;sup&gt;2–7&lt;/sup&gt;"},"properties":{"noteIndex":0},"schema":"https://github.com/citation-style-language/schema/raw/master/csl-citation.json"}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(Gasparrini et al., 2017; Haines &amp; Ebi, 2019; Huang et al., 2011; McMichael, Woodruff, &amp; Hales, 2006; Smith et al., 2015; Watts et al., 2018)</w:t>
      </w:r>
      <w:r w:rsidRPr="000377CB">
        <w:rPr>
          <w:rFonts w:cs="Calibri"/>
          <w:color w:val="000000" w:themeColor="text1"/>
          <w:sz w:val="24"/>
          <w:szCs w:val="24"/>
        </w:rPr>
        <w:fldChar w:fldCharType="end"/>
      </w:r>
      <w:r w:rsidR="00412C47">
        <w:rPr>
          <w:rFonts w:cs="Calibri"/>
          <w:color w:val="000000" w:themeColor="text1"/>
          <w:sz w:val="24"/>
          <w:szCs w:val="24"/>
        </w:rPr>
        <w:t>.</w:t>
      </w:r>
      <w:r w:rsidRPr="000377CB">
        <w:rPr>
          <w:rFonts w:cs="Calibri"/>
          <w:color w:val="000000" w:themeColor="text1"/>
          <w:sz w:val="24"/>
          <w:szCs w:val="24"/>
        </w:rPr>
        <w:t xml:space="preserve"> Less research has been conducted on injuries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(Burke et al., 2018; Orru &amp; Åström, 2017; Rey et al., 2007)</w:t>
      </w:r>
      <w:r w:rsidRPr="000377CB">
        <w:rPr>
          <w:rFonts w:cs="Calibri"/>
          <w:color w:val="000000" w:themeColor="text1"/>
          <w:sz w:val="24"/>
          <w:szCs w:val="24"/>
        </w:rPr>
        <w:fldChar w:fldCharType="end"/>
      </w:r>
      <w:r w:rsidR="00B16BB3">
        <w:rPr>
          <w:rFonts w:cs="Calibri"/>
          <w:sz w:val="24"/>
          <w:szCs w:val="24"/>
        </w:rPr>
        <w:t xml:space="preserve">, </w:t>
      </w:r>
      <w:r w:rsidRPr="000377CB">
        <w:rPr>
          <w:rFonts w:cs="Calibri"/>
          <w:color w:val="000000" w:themeColor="text1"/>
          <w:sz w:val="24"/>
          <w:szCs w:val="24"/>
        </w:rPr>
        <w:t>especially in a consistent way across injury types and demographic subgroups of the population, even though death rates from injuries vary seasonally</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(Parks, Bennett, Foreman, Toumi, &amp; Ezzati, 2018; Rau, 2004)</w:t>
      </w:r>
      <w:r w:rsidRPr="000377CB">
        <w:rPr>
          <w:rFonts w:cs="Calibri"/>
          <w:color w:val="000000" w:themeColor="text1"/>
          <w:sz w:val="24"/>
          <w:szCs w:val="24"/>
        </w:rPr>
        <w:fldChar w:fldCharType="end"/>
      </w:r>
      <w:r w:rsidR="00CE59B7">
        <w:rPr>
          <w:rFonts w:cs="Calibri"/>
          <w:color w:val="000000" w:themeColor="text1"/>
          <w:sz w:val="24"/>
          <w:szCs w:val="24"/>
        </w:rPr>
        <w:t>,</w:t>
      </w:r>
      <w:r w:rsidRPr="000377CB">
        <w:rPr>
          <w:rFonts w:cs="Calibri"/>
          <w:color w:val="000000" w:themeColor="text1"/>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7FABEA47" w:rsidR="00E06158" w:rsidRPr="000377CB" w:rsidRDefault="00281101" w:rsidP="00281101">
      <w:pPr>
        <w:pStyle w:val="Heading2"/>
        <w:rPr>
          <w:rFonts w:ascii="Calibri" w:hAnsi="Calibri"/>
        </w:rPr>
      </w:pPr>
      <w:bookmarkStart w:id="10" w:name="_Toc6171729"/>
      <w:r>
        <w:t>Data</w:t>
      </w:r>
      <w:bookmarkEnd w:id="10"/>
    </w:p>
    <w:p w14:paraId="480B6BA4" w14:textId="4DB8FA2B" w:rsidR="00CB5EEE" w:rsidRPr="006851BD"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from 1980 to 2016, with information on sex, age at death, underlying cause of death and state of residence. During this period,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5BD91F86" w14:textId="52B66923" w:rsidR="00CB5EEE" w:rsidRPr="000377CB" w:rsidRDefault="00CB5EEE" w:rsidP="006851BD">
      <w:pPr>
        <w:spacing w:line="480" w:lineRule="auto"/>
        <w:ind w:firstLine="720"/>
        <w:jc w:val="both"/>
        <w:rPr>
          <w:rStyle w:val="apple-style-span"/>
          <w:rFonts w:cs="Calibri"/>
          <w:color w:val="000000" w:themeColor="text1"/>
          <w:sz w:val="24"/>
          <w:szCs w:val="24"/>
        </w:rPr>
      </w:pPr>
      <w:r w:rsidRPr="000377CB">
        <w:rPr>
          <w:rStyle w:val="apple-style-span"/>
          <w:rFonts w:cs="Calibri"/>
          <w:color w:val="000000" w:themeColor="text1"/>
          <w:sz w:val="24"/>
          <w:szCs w:val="24"/>
        </w:rPr>
        <w:t>We used data on deaths by sex, age, underlying cause of death and state of residence in the contiguous USA from 1980 to 2016 through the National Center for Health Statistics (NCHS) (</w:t>
      </w:r>
      <w:hyperlink r:id="rId8" w:history="1">
        <w:r w:rsidRPr="000377CB">
          <w:rPr>
            <w:rStyle w:val="Hyperlink"/>
            <w:rFonts w:cs="Calibri"/>
            <w:sz w:val="24"/>
            <w:szCs w:val="24"/>
          </w:rPr>
          <w:t>https://www.cdc.gov/nchs/nvss/dvs_data_release.htm</w:t>
        </w:r>
      </w:hyperlink>
      <w:r w:rsidRPr="000377CB">
        <w:rPr>
          <w:rStyle w:val="apple-style-span"/>
          <w:rFonts w:cs="Calibri"/>
          <w:color w:val="000000" w:themeColor="text1"/>
          <w:sz w:val="24"/>
          <w:szCs w:val="24"/>
        </w:rPr>
        <w:t xml:space="preserve">) and on population from the NCHS bridged-race dataset </w:t>
      </w:r>
      <w:r w:rsidRPr="000377CB">
        <w:rPr>
          <w:rFonts w:cs="Calibri"/>
          <w:color w:val="000000" w:themeColor="text1"/>
          <w:sz w:val="24"/>
          <w:szCs w:val="24"/>
        </w:rPr>
        <w:t>for 1990 to 2016 (</w:t>
      </w:r>
      <w:hyperlink r:id="rId9" w:history="1">
        <w:r w:rsidRPr="000377CB">
          <w:rPr>
            <w:rStyle w:val="Hyperlink"/>
            <w:rFonts w:cs="Calibri"/>
            <w:sz w:val="24"/>
            <w:szCs w:val="24"/>
          </w:rPr>
          <w:t>https://www.cdc.gov/nchs/nvss/bridged_race.htm</w:t>
        </w:r>
      </w:hyperlink>
      <w:r w:rsidRPr="000377CB">
        <w:rPr>
          <w:rFonts w:cs="Calibri"/>
          <w:color w:val="000000" w:themeColor="text1"/>
          <w:sz w:val="24"/>
          <w:szCs w:val="24"/>
        </w:rPr>
        <w:t xml:space="preserve">) and from the US Census Bureau prior to </w:t>
      </w:r>
      <w:r w:rsidRPr="000377CB">
        <w:rPr>
          <w:rFonts w:cs="Calibri"/>
          <w:color w:val="000000" w:themeColor="text1"/>
          <w:sz w:val="24"/>
          <w:szCs w:val="24"/>
        </w:rPr>
        <w:lastRenderedPageBreak/>
        <w:t>1990 (</w:t>
      </w:r>
      <w:hyperlink r:id="rId10" w:history="1">
        <w:r w:rsidRPr="000377CB">
          <w:rPr>
            <w:rStyle w:val="Hyperlink"/>
            <w:rFonts w:cs="Calibri"/>
            <w:sz w:val="24"/>
            <w:szCs w:val="24"/>
          </w:rPr>
          <w:t>https://www.census.gov/data/developers/data-sets/popest-popproj/popest.html</w:t>
        </w:r>
      </w:hyperlink>
      <w:r w:rsidRPr="000377CB">
        <w:rPr>
          <w:rStyle w:val="Hyperlink"/>
          <w:rFonts w:cs="Calibri"/>
          <w:sz w:val="24"/>
          <w:szCs w:val="24"/>
        </w:rPr>
        <w:t>)</w:t>
      </w:r>
      <w:r w:rsidRPr="000377CB">
        <w:rPr>
          <w:rFonts w:cs="Calibri"/>
          <w:color w:val="000000" w:themeColor="text1"/>
          <w:sz w:val="24"/>
          <w:szCs w:val="24"/>
        </w:rPr>
        <w:t>. We calculated monthly population counts through linear interpolation, assigning each yearly count to July.</w:t>
      </w:r>
    </w:p>
    <w:p w14:paraId="630415C8" w14:textId="1D7C09C2" w:rsidR="00CB5EEE" w:rsidRPr="000377CB" w:rsidRDefault="00CB5EEE" w:rsidP="00E729FA">
      <w:pPr>
        <w:spacing w:line="480" w:lineRule="auto"/>
        <w:ind w:firstLine="720"/>
        <w:jc w:val="both"/>
        <w:rPr>
          <w:rFonts w:cs="Calibri"/>
          <w:color w:val="000000" w:themeColor="text1"/>
          <w:sz w:val="24"/>
          <w:szCs w:val="24"/>
        </w:rPr>
      </w:pPr>
      <w:r w:rsidRPr="000377CB">
        <w:rPr>
          <w:rFonts w:cs="Calibri"/>
          <w:color w:val="000000" w:themeColor="text1"/>
          <w:sz w:val="24"/>
          <w:szCs w:val="24"/>
        </w:rPr>
        <w:t>The underlying cause of death was coded according to the international classification of diseases (ICD) system (9</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from 1980 to 1998 and 10</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thereafter). The 5.7 million </w:t>
      </w:r>
      <w:r w:rsidRPr="000377CB">
        <w:rPr>
          <w:rStyle w:val="apple-style-span"/>
          <w:rFonts w:cs="Calibri"/>
          <w:color w:val="000000" w:themeColor="text1"/>
          <w:sz w:val="24"/>
          <w:szCs w:val="24"/>
        </w:rPr>
        <w:t>injury deaths fell into six categories: transport, falls,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4532E4C0" w:rsidR="00CB5EEE" w:rsidRPr="000377CB" w:rsidRDefault="00CB5EEE" w:rsidP="00E97E74">
      <w:pPr>
        <w:spacing w:line="480" w:lineRule="auto"/>
        <w:ind w:firstLine="720"/>
        <w:jc w:val="both"/>
        <w:rPr>
          <w:rFonts w:cs="Calibri"/>
          <w:color w:val="000000" w:themeColor="text1"/>
          <w:sz w:val="24"/>
          <w:szCs w:val="24"/>
        </w:rPr>
      </w:pPr>
      <w:r w:rsidRPr="000377CB">
        <w:rPr>
          <w:rFonts w:cs="Calibri"/>
          <w:color w:val="000000" w:themeColor="text1"/>
          <w:sz w:val="24"/>
          <w:szCs w:val="24"/>
        </w:rPr>
        <w:t>We obtained data on temperature from ERA-Interim, which combines predictions from a physical model with in-situ and satellite measurements</w:t>
      </w:r>
      <w:r w:rsidR="00C77DA4">
        <w:rPr>
          <w:rFonts w:cs="Calibri"/>
          <w:color w:val="000000" w:themeColor="text1"/>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(Dee et al., 2011)</w:t>
      </w:r>
      <w:r w:rsidRPr="000377CB">
        <w:rPr>
          <w:rFonts w:cs="Calibri"/>
          <w:sz w:val="24"/>
          <w:szCs w:val="24"/>
        </w:rPr>
        <w:fldChar w:fldCharType="end"/>
      </w:r>
      <w:r w:rsidR="00C77DA4">
        <w:rPr>
          <w:rFonts w:cs="Calibri"/>
          <w:sz w:val="24"/>
          <w:szCs w:val="24"/>
        </w:rPr>
        <w:t>.</w:t>
      </w:r>
      <w:r w:rsidRPr="000377CB">
        <w:rPr>
          <w:rFonts w:cs="Calibri"/>
          <w:color w:val="000000" w:themeColor="text1"/>
          <w:sz w:val="24"/>
          <w:szCs w:val="24"/>
        </w:rPr>
        <w:t xml:space="preserve"> We used gridded four-times-daily estimates at a resolution of 80 km to generate monthly population-weighted temperature by state throughout the analysis period. </w:t>
      </w:r>
    </w:p>
    <w:p w14:paraId="52CCE3BB" w14:textId="243A9D0E" w:rsidR="00CB5EEE" w:rsidRPr="00E97E74" w:rsidRDefault="00CB5EEE" w:rsidP="00E97E74">
      <w:pPr>
        <w:spacing w:line="480" w:lineRule="auto"/>
        <w:ind w:firstLine="720"/>
        <w:jc w:val="both"/>
        <w:rPr>
          <w:rFonts w:cs="Calibri"/>
          <w:color w:val="000000" w:themeColor="text1"/>
          <w:sz w:val="24"/>
          <w:szCs w:val="24"/>
        </w:rPr>
      </w:pPr>
      <w:r w:rsidRPr="000377CB">
        <w:rPr>
          <w:rFonts w:cs="Calibri"/>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9349B0">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(Wallace &amp; Hobbs, 2006)</w:t>
      </w:r>
      <w:r w:rsidRPr="000377CB">
        <w:rPr>
          <w:rFonts w:cs="Calibri"/>
          <w:sz w:val="24"/>
          <w:szCs w:val="24"/>
        </w:rPr>
        <w:fldChar w:fldCharType="end"/>
      </w:r>
      <w:r w:rsidR="009349B0">
        <w:rPr>
          <w:rFonts w:cs="Calibri"/>
          <w:sz w:val="24"/>
          <w:szCs w:val="24"/>
        </w:rPr>
        <w:t>.</w:t>
      </w:r>
      <w:r w:rsidRPr="000377CB">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w:t>
      </w:r>
      <w:r w:rsidRPr="000377CB">
        <w:rPr>
          <w:rFonts w:cs="Calibri"/>
          <w:sz w:val="24"/>
          <w:szCs w:val="24"/>
        </w:rPr>
        <w:lastRenderedPageBreak/>
        <w:t>different for neighbouring months in the same state, and neighbouring states in the same month.</w:t>
      </w:r>
    </w:p>
    <w:p w14:paraId="1949598C" w14:textId="77777777" w:rsidR="00CB5EEE" w:rsidRPr="000377CB" w:rsidRDefault="00CB5EEE" w:rsidP="00E97E74">
      <w:pPr>
        <w:pStyle w:val="Heading2"/>
      </w:pPr>
      <w:bookmarkStart w:id="11" w:name="_Toc6171730"/>
      <w:r w:rsidRPr="000377CB">
        <w:t>Statistical methods</w:t>
      </w:r>
      <w:bookmarkEnd w:id="11"/>
    </w:p>
    <w:p w14:paraId="61612A4A" w14:textId="16B921B2"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p>
    <w:p w14:paraId="081CF101" w14:textId="74D77D11"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modelled the number of deaths in each year as following a Poisson distribution:</w:t>
      </w:r>
    </w:p>
    <w:p w14:paraId="615B274B" w14:textId="3FD6CAAE" w:rsidR="00CB5EEE" w:rsidRPr="000377CB" w:rsidRDefault="00204188"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377CB" w:rsidRDefault="00CB5EEE" w:rsidP="00CB5EEE">
      <w:pPr>
        <w:spacing w:line="480" w:lineRule="auto"/>
        <w:jc w:val="both"/>
        <w:rPr>
          <w:rFonts w:cs="Calibri"/>
          <w:color w:val="000000" w:themeColor="text1"/>
          <w:sz w:val="24"/>
          <w:szCs w:val="24"/>
        </w:rPr>
      </w:pPr>
      <w:r w:rsidRPr="000377C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3A4AB3" w:rsidRDefault="00204188"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3A4AB3" w:rsidRDefault="00CB5EEE" w:rsidP="003A4AB3">
      <w:pPr>
        <w:spacing w:line="480" w:lineRule="auto"/>
        <w:ind w:firstLine="720"/>
        <w:jc w:val="both"/>
        <w:rPr>
          <w:rFonts w:cs="Calibri"/>
          <w:sz w:val="24"/>
          <w:szCs w:val="24"/>
        </w:rPr>
      </w:pPr>
      <w:r w:rsidRPr="000377CB">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377C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377CB">
        <w:rPr>
          <w:rFonts w:eastAsiaTheme="minorEastAsia" w:cs="Calibri"/>
          <w:sz w:val="24"/>
          <w:szCs w:val="24"/>
        </w:rPr>
        <w:t xml:space="preserve"> the common time slope</w:t>
      </w:r>
      <w:r w:rsidRPr="000377CB">
        <w:rPr>
          <w:rFonts w:cs="Calibri"/>
          <w:sz w:val="24"/>
          <w:szCs w:val="24"/>
        </w:rPr>
        <w:t>.</w:t>
      </w:r>
      <w:r w:rsidRPr="000377C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(Parks et al., 2018)</w:t>
      </w:r>
      <w:r w:rsidRPr="000377CB">
        <w:rPr>
          <w:rFonts w:cs="Calibri"/>
          <w:color w:val="000000" w:themeColor="text1"/>
          <w:sz w:val="24"/>
          <w:szCs w:val="24"/>
        </w:rPr>
        <w:fldChar w:fldCharType="end"/>
      </w:r>
      <w:r w:rsidR="009349B0">
        <w:rPr>
          <w:rFonts w:cs="Calibri"/>
          <w:color w:val="000000" w:themeColor="text1"/>
          <w:sz w:val="24"/>
          <w:szCs w:val="24"/>
        </w:rPr>
        <w:t>.</w:t>
      </w:r>
      <w:r w:rsidRPr="000377CB">
        <w:rPr>
          <w:rFonts w:cs="Calibri"/>
          <w:color w:val="000000" w:themeColor="text1"/>
          <w:sz w:val="24"/>
          <w:szCs w:val="24"/>
        </w:rPr>
        <w:t xml:space="preserve"> Therefore, we allowed each month of the year to systematically have a different mortality </w:t>
      </w:r>
      <w:r w:rsidRPr="000377CB">
        <w:rPr>
          <w:rFonts w:cs="Calibri"/>
          <w:color w:val="000000" w:themeColor="text1"/>
          <w:sz w:val="24"/>
          <w:szCs w:val="24"/>
        </w:rPr>
        <w:lastRenderedPageBreak/>
        <w:t xml:space="preserve">level and trend, </w:t>
      </w:r>
      <w:r w:rsidRPr="000377C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377C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377CB">
        <w:rPr>
          <w:rFonts w:eastAsiaTheme="minorEastAsia" w:cs="Calibri"/>
          <w:sz w:val="24"/>
          <w:szCs w:val="24"/>
        </w:rPr>
        <w:t xml:space="preserve"> the month-specific time slope</w:t>
      </w:r>
      <w:r w:rsidRPr="000377CB">
        <w:rPr>
          <w:rFonts w:cs="Calibri"/>
          <w:color w:val="000000" w:themeColor="text1"/>
          <w:sz w:val="24"/>
          <w:szCs w:val="24"/>
        </w:rPr>
        <w:t>. We used a random walk for the month terms to smooth the coefficients, widely used to characterise smoothly varying associations</w:t>
      </w:r>
      <w:r w:rsidRPr="000377CB">
        <w:rPr>
          <w:rFonts w:cs="Calibri"/>
          <w:sz w:val="24"/>
          <w:szCs w:val="24"/>
        </w:rPr>
        <w:t>.</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Pr="000377CB">
        <w:rPr>
          <w:rFonts w:cs="Calibri"/>
          <w:color w:val="000000" w:themeColor="text1"/>
          <w:sz w:val="24"/>
          <w:szCs w:val="24"/>
        </w:rPr>
        <w:t xml:space="preserve"> The random walk had a cyclic structure, so that December was adjacent to January. </w:t>
      </w:r>
    </w:p>
    <w:p w14:paraId="1237E330" w14:textId="1FBB458F" w:rsid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377CB">
        <w:rPr>
          <w:rFonts w:eastAsiaTheme="minorEastAsia"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377CB">
        <w:rPr>
          <w:rFonts w:eastAsiaTheme="minorEastAsia" w:cs="Calibri"/>
          <w:sz w:val="24"/>
          <w:szCs w:val="24"/>
        </w:rPr>
        <w:t xml:space="preserve"> the state-specific time slope</w:t>
      </w:r>
      <w:r w:rsidRPr="000377CB">
        <w:rPr>
          <w:rFonts w:cs="Calibri"/>
          <w:color w:val="000000" w:themeColor="text1"/>
          <w:sz w:val="24"/>
          <w:szCs w:val="24"/>
        </w:rPr>
        <w:t xml:space="preserve">. These terms measure deviations of each state from national </w:t>
      </w:r>
      <w:proofErr w:type="gramStart"/>
      <w:r w:rsidRPr="000377CB">
        <w:rPr>
          <w:rFonts w:cs="Calibri"/>
          <w:color w:val="000000" w:themeColor="text1"/>
          <w:sz w:val="24"/>
          <w:szCs w:val="24"/>
        </w:rPr>
        <w:t>values, and</w:t>
      </w:r>
      <w:proofErr w:type="gramEnd"/>
      <w:r w:rsidRPr="000377C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(Besag, 1974)</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377C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377CB">
        <w:rPr>
          <w:rFonts w:eastAsiaTheme="minorEastAsia" w:cs="Calibri"/>
          <w:color w:val="000000" w:themeColor="text1"/>
          <w:sz w:val="24"/>
          <w:szCs w:val="24"/>
        </w:rPr>
        <w:t>)</w:t>
      </w:r>
      <w:r w:rsidRPr="000377CB">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00D9577F">
        <w:rPr>
          <w:rFonts w:cs="Calibri"/>
          <w:sz w:val="24"/>
          <w:szCs w:val="24"/>
        </w:rPr>
        <w:t xml:space="preserve">. </w:t>
      </w:r>
      <w:r w:rsidRPr="000377C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377CB">
        <w:rPr>
          <w:rFonts w:cs="Calibri"/>
          <w:color w:val="000000" w:themeColor="text1"/>
          <w:sz w:val="24"/>
          <w:szCs w:val="24"/>
          <w:lang w:val="en-US"/>
        </w:rPr>
        <w:t xml:space="preserve">) captured the variation unaccounted for by other terms in the model, modelled as </w:t>
      </w:r>
      <w:proofErr w:type="gramStart"/>
      <w:r w:rsidRPr="000377CB">
        <w:rPr>
          <w:rFonts w:cs="Calibri"/>
          <w:i/>
          <w:color w:val="000000" w:themeColor="text1"/>
          <w:sz w:val="24"/>
          <w:szCs w:val="24"/>
          <w:lang w:val="en-US"/>
        </w:rPr>
        <w:t>N</w:t>
      </w:r>
      <w:r w:rsidRPr="000377CB">
        <w:rPr>
          <w:rFonts w:cs="Calibri"/>
          <w:color w:val="000000" w:themeColor="text1"/>
          <w:sz w:val="24"/>
          <w:szCs w:val="24"/>
          <w:lang w:val="en-US"/>
        </w:rPr>
        <w:t>(</w:t>
      </w:r>
      <w:proofErr w:type="gramEnd"/>
      <w:r w:rsidRPr="000377C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377CB">
        <w:rPr>
          <w:rFonts w:cs="Calibri"/>
          <w:color w:val="000000" w:themeColor="text1"/>
          <w:sz w:val="24"/>
          <w:szCs w:val="24"/>
          <w:lang w:val="en-US"/>
        </w:rPr>
        <w:t>).</w:t>
      </w:r>
      <w:r w:rsidR="003A4AB3">
        <w:rPr>
          <w:rFonts w:cs="Calibri"/>
          <w:sz w:val="24"/>
          <w:szCs w:val="24"/>
        </w:rPr>
        <w:tab/>
      </w:r>
    </w:p>
    <w:p w14:paraId="2A65D1F8" w14:textId="471BD7F0" w:rsidR="00CB5EEE" w:rsidRP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377CB">
        <w:rPr>
          <w:rFonts w:cs="Calibri"/>
          <w:color w:val="000000" w:themeColor="text1"/>
          <w:sz w:val="24"/>
          <w:szCs w:val="24"/>
        </w:rPr>
        <w:t>. The</w:t>
      </w:r>
      <w:r w:rsidRPr="000377C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377CB">
        <w:rPr>
          <w:rFonts w:eastAsiaTheme="minorEastAsia" w:cs="Calibri"/>
          <w:sz w:val="24"/>
          <w:szCs w:val="24"/>
        </w:rPr>
        <w:t xml:space="preserve"> </w:t>
      </w:r>
      <w:r w:rsidRPr="000377CB">
        <w:rPr>
          <w:rFonts w:cs="Calibri"/>
          <w:sz w:val="24"/>
          <w:szCs w:val="24"/>
        </w:rPr>
        <w:t>represent the logarithm of the rate ratio per 1°C increase in anomaly</w:t>
      </w:r>
      <w:r w:rsidRPr="000377CB">
        <w:rPr>
          <w:rFonts w:cs="Calibri"/>
          <w:color w:val="000000" w:themeColor="text1"/>
          <w:sz w:val="24"/>
          <w:szCs w:val="24"/>
        </w:rPr>
        <w:t xml:space="preserve">; there was a separate coefficient for each month which means that an anomaly of the same magnitude </w:t>
      </w:r>
      <w:r w:rsidRPr="000377CB">
        <w:rPr>
          <w:rFonts w:cs="Calibri"/>
          <w:color w:val="000000" w:themeColor="text1"/>
          <w:sz w:val="24"/>
          <w:szCs w:val="24"/>
        </w:rPr>
        <w:lastRenderedPageBreak/>
        <w:t>could have different associations with injury mortality in different months. As with the month-specific intercepts and trends, we used a cyclic random walk to smooth the coefficient of the temperature anomaly across months.</w:t>
      </w:r>
      <w:r w:rsidRPr="000377C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377CB">
        <w:rPr>
          <w:rFonts w:cs="Calibri"/>
          <w:color w:val="000000" w:themeColor="text1"/>
          <w:sz w:val="24"/>
          <w:szCs w:val="24"/>
          <w:lang w:val="en-US"/>
        </w:rPr>
        <w:fldChar w:fldCharType="begin" w:fldLock="1"/>
      </w:r>
      <w:r w:rsidRPr="000377C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377CB">
        <w:rPr>
          <w:rFonts w:cs="Calibri"/>
          <w:color w:val="000000" w:themeColor="text1"/>
          <w:sz w:val="24"/>
          <w:szCs w:val="24"/>
          <w:lang w:val="en-US"/>
        </w:rPr>
        <w:fldChar w:fldCharType="separate"/>
      </w:r>
      <w:r w:rsidRPr="000377CB">
        <w:rPr>
          <w:rFonts w:cs="Calibri"/>
          <w:noProof/>
          <w:color w:val="000000" w:themeColor="text1"/>
          <w:sz w:val="24"/>
          <w:szCs w:val="24"/>
          <w:lang w:val="en-US"/>
        </w:rPr>
        <w:t>(Rue, Martino, &amp; Chopin, 2009)</w:t>
      </w:r>
      <w:r w:rsidRPr="000377CB">
        <w:rPr>
          <w:rFonts w:cs="Calibri"/>
          <w:color w:val="000000" w:themeColor="text1"/>
          <w:sz w:val="24"/>
          <w:szCs w:val="24"/>
          <w:lang w:val="en-US"/>
        </w:rPr>
        <w:fldChar w:fldCharType="end"/>
      </w:r>
    </w:p>
    <w:p w14:paraId="4CC115DC" w14:textId="6697A4DF"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We estimated the mortality impact of a national year-round temperature anomaly of 1°C in each month and state, </w:t>
      </w:r>
      <w:r w:rsidRPr="000377CB">
        <w:rPr>
          <w:rFonts w:cs="Calibri"/>
          <w:sz w:val="24"/>
          <w:szCs w:val="24"/>
        </w:rPr>
        <w:t>realistic in our lifetimes under current projections of global climate change</w:t>
      </w:r>
      <w:r w:rsidR="00D9577F">
        <w:rPr>
          <w:rFonts w:cs="Calibri"/>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(IPCC, 2018)</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as well as within the range of anomaly size experienced by some states (Figure 4).</w:t>
      </w:r>
      <w:r w:rsidRPr="000377CB">
        <w:rPr>
          <w:rFonts w:cs="Calibri"/>
          <w:sz w:val="24"/>
          <w:szCs w:val="24"/>
        </w:rPr>
        <w:t xml:space="preserve"> </w:t>
      </w:r>
      <w:r w:rsidRPr="000377C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The uncertainty in our results were obtained from 5000 draws from the posterior marginal of each month’s excess relative risk. The reported 95% Credible Intervals (CrIs), quoted in brackets where appropriate, are the 2.5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to 97.5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percentiles of the sampled values.</w:t>
      </w:r>
    </w:p>
    <w:p w14:paraId="5BD03B91" w14:textId="77777777" w:rsidR="00CB5EEE" w:rsidRPr="000377CB" w:rsidRDefault="00CB5EEE" w:rsidP="003A4AB3">
      <w:pPr>
        <w:spacing w:line="480" w:lineRule="auto"/>
        <w:ind w:firstLine="720"/>
        <w:jc w:val="both"/>
        <w:rPr>
          <w:rFonts w:cs="Calibri"/>
          <w:sz w:val="24"/>
          <w:szCs w:val="24"/>
        </w:rPr>
      </w:pPr>
      <w:r w:rsidRPr="000377CB">
        <w:rPr>
          <w:rFonts w:cs="Calibri"/>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377CB" w:rsidRDefault="00CB5EEE" w:rsidP="00CB5EEE">
      <w:pPr>
        <w:spacing w:line="480" w:lineRule="auto"/>
        <w:jc w:val="both"/>
        <w:rPr>
          <w:rFonts w:cs="Calibri"/>
          <w:sz w:val="24"/>
          <w:szCs w:val="24"/>
        </w:rPr>
      </w:pPr>
      <w:r w:rsidRPr="000377CB">
        <w:rPr>
          <w:rFonts w:cs="Calibri"/>
          <w:sz w:val="24"/>
          <w:szCs w:val="24"/>
        </w:rPr>
        <w:lastRenderedPageBreak/>
        <w:t>Together with temperature anomaly based on daily mean temperatures, we also included a second measure of anomaly in the model. The additional measures were related to extreme anomalous temperature:</w:t>
      </w:r>
    </w:p>
    <w:p w14:paraId="7A381D03" w14:textId="6717BA7B"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color w:val="000000" w:themeColor="text1"/>
          <w:sz w:val="24"/>
          <w:szCs w:val="24"/>
        </w:rPr>
        <w:t>temperature anomaly based on</w:t>
      </w:r>
      <w:r w:rsidRPr="003A4AB3" w:rsidDel="00F36612">
        <w:rPr>
          <w:rFonts w:cs="Calibri"/>
          <w:color w:val="000000" w:themeColor="text1"/>
          <w:sz w:val="24"/>
          <w:szCs w:val="24"/>
        </w:rPr>
        <w:t xml:space="preserve"> </w:t>
      </w:r>
      <w:r w:rsidRPr="003A4AB3">
        <w:rPr>
          <w:rFonts w:cs="Calibri"/>
          <w:color w:val="000000" w:themeColor="text1"/>
          <w:sz w:val="24"/>
          <w:szCs w:val="24"/>
        </w:rPr>
        <w:t>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(°C) of daily mean temperatures within a month, compared to 30-year (long-term) norm of 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for each state and month </w:t>
      </w:r>
    </w:p>
    <w:p w14:paraId="55BDEFB4" w14:textId="2C1064BC"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days in a month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72A1B0B8" w14:textId="77777777"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3+ day episodes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0E6BA521" w14:textId="40056500" w:rsidR="00B971FF" w:rsidRPr="000377CB" w:rsidRDefault="00CB5EEE" w:rsidP="003A4AB3">
      <w:pPr>
        <w:spacing w:line="480" w:lineRule="auto"/>
        <w:ind w:firstLine="360"/>
        <w:jc w:val="both"/>
        <w:rPr>
          <w:rFonts w:cs="Calibri"/>
          <w:color w:val="000000" w:themeColor="text1"/>
          <w:sz w:val="24"/>
          <w:szCs w:val="24"/>
        </w:rPr>
      </w:pPr>
      <w:r w:rsidRPr="000377CB">
        <w:rPr>
          <w:rFonts w:cs="Calibri"/>
          <w:sz w:val="24"/>
          <w:szCs w:val="24"/>
        </w:rPr>
        <w:t>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6C84221" w14:textId="3247A8DE" w:rsidR="00B971FF" w:rsidRPr="000377CB" w:rsidRDefault="00B971FF" w:rsidP="00E03939">
      <w:pPr>
        <w:spacing w:line="480" w:lineRule="auto"/>
        <w:ind w:firstLine="360"/>
        <w:jc w:val="both"/>
        <w:rPr>
          <w:rFonts w:cs="Calibri"/>
          <w:color w:val="000000" w:themeColor="text1"/>
          <w:sz w:val="24"/>
          <w:szCs w:val="24"/>
        </w:rPr>
      </w:pPr>
      <w:r w:rsidRPr="000377CB">
        <w:rPr>
          <w:rFonts w:cs="Calibri"/>
          <w:color w:val="000000" w:themeColor="text1"/>
          <w:sz w:val="24"/>
          <w:szCs w:val="24"/>
        </w:rPr>
        <w:t>We first defined a measure of anomalous temperature for each state and month compared to</w:t>
      </w:r>
      <w:r w:rsidRPr="000377CB">
        <w:rPr>
          <w:rFonts w:cs="Calibri"/>
          <w:sz w:val="24"/>
          <w:szCs w:val="24"/>
        </w:rPr>
        <w:t xml:space="preserve"> long-term norm temperature of the state in that month (Figure 3)</w:t>
      </w:r>
      <w:r w:rsidRPr="000377C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377CB">
        <w:rPr>
          <w:rFonts w:cs="Calibri"/>
          <w:bCs/>
          <w:color w:val="000000" w:themeColor="text1"/>
          <w:sz w:val="24"/>
          <w:szCs w:val="24"/>
        </w:rPr>
        <w:t>°C</w:t>
      </w:r>
      <w:r w:rsidRPr="000377CB">
        <w:rPr>
          <w:rFonts w:cs="Calibri"/>
          <w:color w:val="000000" w:themeColor="text1"/>
          <w:sz w:val="24"/>
          <w:szCs w:val="24"/>
        </w:rPr>
        <w:t xml:space="preserve"> for Florida in September, to 3.4</w:t>
      </w:r>
      <w:r w:rsidRPr="000377CB">
        <w:rPr>
          <w:rFonts w:cs="Calibri"/>
          <w:bCs/>
          <w:color w:val="000000" w:themeColor="text1"/>
          <w:sz w:val="24"/>
          <w:szCs w:val="24"/>
        </w:rPr>
        <w:t>°C</w:t>
      </w:r>
      <w:r w:rsidRPr="000377CB">
        <w:rPr>
          <w:rFonts w:cs="Calibri"/>
          <w:color w:val="000000" w:themeColor="text1"/>
          <w:sz w:val="24"/>
          <w:szCs w:val="24"/>
        </w:rPr>
        <w:t xml:space="preserve"> for North Dakota in February (Figure 4). The average size of anomaly had </w:t>
      </w:r>
      <w:r w:rsidRPr="000377CB">
        <w:rPr>
          <w:rFonts w:cs="Calibri"/>
          <w:color w:val="000000" w:themeColor="text1"/>
          <w:sz w:val="24"/>
          <w:szCs w:val="24"/>
        </w:rPr>
        <w:lastRenderedPageBreak/>
        <w:t>a median value of 1.2</w:t>
      </w:r>
      <w:r w:rsidRPr="000377CB">
        <w:rPr>
          <w:rFonts w:cs="Calibri"/>
          <w:bCs/>
          <w:color w:val="000000" w:themeColor="text1"/>
          <w:sz w:val="24"/>
          <w:szCs w:val="24"/>
        </w:rPr>
        <w:t xml:space="preserve">°C across all states and months, with 27% less than 1°C and 90% less than </w:t>
      </w:r>
      <w:r w:rsidRPr="000377CB">
        <w:rPr>
          <w:rFonts w:cs="Calibri"/>
          <w:color w:val="000000" w:themeColor="text1"/>
          <w:sz w:val="24"/>
          <w:szCs w:val="24"/>
        </w:rPr>
        <w:t>2</w:t>
      </w:r>
      <w:r w:rsidRPr="000377CB">
        <w:rPr>
          <w:rFonts w:cs="Calibri"/>
          <w:bCs/>
          <w:color w:val="000000" w:themeColor="text1"/>
          <w:sz w:val="24"/>
          <w:szCs w:val="24"/>
        </w:rPr>
        <w:t>°C (Figure 4)</w:t>
      </w:r>
      <w:r w:rsidRPr="000377C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377CB" w:rsidRDefault="00B971FF" w:rsidP="00E03939">
      <w:pPr>
        <w:spacing w:line="480" w:lineRule="auto"/>
        <w:ind w:firstLine="360"/>
        <w:jc w:val="both"/>
        <w:rPr>
          <w:rFonts w:cs="Calibri"/>
          <w:sz w:val="24"/>
          <w:szCs w:val="24"/>
        </w:rPr>
      </w:pPr>
      <w:r w:rsidRPr="000377C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 by type of injury, sex, age group, state and month.</w:t>
      </w:r>
      <w:r w:rsidRPr="000377CB">
        <w:rPr>
          <w:rFonts w:cs="Calibri"/>
          <w:sz w:val="24"/>
          <w:szCs w:val="24"/>
        </w:rPr>
        <w:t xml:space="preserve"> </w:t>
      </w:r>
    </w:p>
    <w:p w14:paraId="75A0185A" w14:textId="5F73751F" w:rsidR="00B971FF" w:rsidRDefault="002A14D7" w:rsidP="002A14D7">
      <w:pPr>
        <w:pStyle w:val="Heading2"/>
      </w:pPr>
      <w:bookmarkStart w:id="12" w:name="_Toc6171731"/>
      <w:r>
        <w:t>Results</w:t>
      </w:r>
      <w:bookmarkEnd w:id="12"/>
    </w:p>
    <w:p w14:paraId="7CAC7D87" w14:textId="77777777"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1), within which </w:t>
      </w:r>
      <w:r w:rsidRPr="000377CB">
        <w:rPr>
          <w:rFonts w:cs="Calibri"/>
          <w:sz w:val="24"/>
          <w:szCs w:val="24"/>
        </w:rPr>
        <w:t xml:space="preserve">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 xml:space="preserve">There was a decline in age-standardised death rates of three out of five major injuries (transport, drownings and assault) from 1980 to 2016 (Figure 2). In contrast, age-standardised </w:t>
      </w:r>
      <w:r w:rsidRPr="000377CB">
        <w:rPr>
          <w:rFonts w:cs="Calibri"/>
          <w:sz w:val="24"/>
          <w:szCs w:val="24"/>
        </w:rPr>
        <w:lastRenderedPageBreak/>
        <w:t>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6B6118D3" w14:textId="4F7A0414" w:rsidR="006851BD" w:rsidRPr="006851BD" w:rsidRDefault="006851BD"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19D33D24" w14:textId="77777777" w:rsidR="00B971FF" w:rsidRPr="000377CB" w:rsidRDefault="00B971FF" w:rsidP="002A14D7">
      <w:pPr>
        <w:spacing w:line="480" w:lineRule="auto"/>
        <w:ind w:firstLine="720"/>
        <w:jc w:val="both"/>
        <w:rPr>
          <w:rFonts w:cs="Calibri"/>
          <w:sz w:val="24"/>
          <w:szCs w:val="24"/>
        </w:rPr>
      </w:pPr>
      <w:r w:rsidRPr="006851BD">
        <w:rPr>
          <w:rFonts w:cs="Calibri"/>
          <w:sz w:val="24"/>
          <w:szCs w:val="24"/>
          <w:highlight w:val="yellow"/>
        </w:rPr>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(Figure 5). Deaths from drowning, transport, assault and intentional self-harm would be predicted to increase, partly offset by a decline in deaths from falls in middle and older ages and in winter months (Figure 5).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6295434D" w14:textId="0FDEAAA9" w:rsidR="00B971FF" w:rsidRDefault="00B971FF" w:rsidP="002A14D7">
      <w:pPr>
        <w:spacing w:line="480" w:lineRule="auto"/>
        <w:ind w:firstLine="720"/>
        <w:jc w:val="both"/>
        <w:rPr>
          <w:rFonts w:cs="Calibri"/>
          <w:sz w:val="24"/>
          <w:szCs w:val="24"/>
        </w:rPr>
      </w:pPr>
      <w:r w:rsidRPr="000377CB">
        <w:rPr>
          <w:rFonts w:cs="Calibri"/>
          <w:sz w:val="24"/>
          <w:szCs w:val="24"/>
        </w:rPr>
        <w:lastRenderedPageBreak/>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6C45DB60" w14:textId="7648F00D" w:rsidR="000732F9" w:rsidRPr="000377CB" w:rsidRDefault="000732F9" w:rsidP="000732F9">
      <w:pPr>
        <w:pStyle w:val="Heading2"/>
        <w:rPr>
          <w:rFonts w:ascii="Calibri" w:hAnsi="Calibri"/>
        </w:rPr>
      </w:pPr>
      <w:bookmarkStart w:id="13" w:name="_Toc6171732"/>
      <w:r>
        <w:t>Discussion</w:t>
      </w:r>
      <w:bookmarkEnd w:id="13"/>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w:t>
      </w:r>
      <w:r w:rsidRPr="000377CB">
        <w:rPr>
          <w:rFonts w:cs="Calibri"/>
          <w:sz w:val="24"/>
          <w:szCs w:val="24"/>
        </w:rPr>
        <w:lastRenderedPageBreak/>
        <w:t>(1999-2010)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t>
      </w:r>
      <w:r w:rsidRPr="000377CB">
        <w:rPr>
          <w:rFonts w:cs="Calibri"/>
          <w:sz w:val="24"/>
          <w:szCs w:val="24"/>
        </w:rPr>
        <w:lastRenderedPageBreak/>
        <w:t>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368CC578" w14:textId="182CAC3D" w:rsidR="006675AE" w:rsidRPr="00127064" w:rsidRDefault="006675AE" w:rsidP="006675AE">
      <w:pPr>
        <w:pStyle w:val="Heading2"/>
      </w:pPr>
      <w:bookmarkStart w:id="14" w:name="_Toc6171733"/>
      <w:r w:rsidRPr="00127064">
        <w:lastRenderedPageBreak/>
        <w:t>References</w:t>
      </w:r>
      <w:bookmarkEnd w:id="7"/>
      <w:bookmarkEnd w:id="14"/>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w:t>
      </w:r>
      <w:r w:rsidRPr="0001634A">
        <w:rPr>
          <w:rFonts w:cs="Calibri"/>
          <w:noProof/>
          <w:sz w:val="24"/>
          <w:lang w:val="en-US"/>
        </w:rPr>
        <w:lastRenderedPageBreak/>
        <w:t xml:space="preserve">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noProof/>
          <w:sz w:val="24"/>
          <w:lang w:val="en-US"/>
        </w:rPr>
        <w:lastRenderedPageBreak/>
        <w:t>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0EA19" w14:textId="77777777" w:rsidR="00204188" w:rsidRDefault="00204188">
      <w:pPr>
        <w:spacing w:after="0" w:line="240" w:lineRule="auto"/>
      </w:pPr>
      <w:r>
        <w:separator/>
      </w:r>
    </w:p>
    <w:p w14:paraId="65D1B392" w14:textId="77777777" w:rsidR="00204188" w:rsidRDefault="00204188"/>
  </w:endnote>
  <w:endnote w:type="continuationSeparator" w:id="0">
    <w:p w14:paraId="71598232" w14:textId="77777777" w:rsidR="00204188" w:rsidRDefault="00204188">
      <w:pPr>
        <w:spacing w:after="0" w:line="240" w:lineRule="auto"/>
      </w:pPr>
      <w:r>
        <w:continuationSeparator/>
      </w:r>
    </w:p>
    <w:p w14:paraId="11E4B4EC" w14:textId="77777777" w:rsidR="00204188" w:rsidRDefault="002041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7AF16A" w14:textId="77777777" w:rsidR="00204188" w:rsidRDefault="00204188">
      <w:pPr>
        <w:spacing w:after="0" w:line="240" w:lineRule="auto"/>
      </w:pPr>
      <w:r>
        <w:separator/>
      </w:r>
    </w:p>
    <w:p w14:paraId="608C4260" w14:textId="77777777" w:rsidR="00204188" w:rsidRDefault="00204188"/>
  </w:footnote>
  <w:footnote w:type="continuationSeparator" w:id="0">
    <w:p w14:paraId="1CF360EC" w14:textId="77777777" w:rsidR="00204188" w:rsidRDefault="00204188">
      <w:pPr>
        <w:spacing w:after="0" w:line="240" w:lineRule="auto"/>
      </w:pPr>
      <w:r>
        <w:continuationSeparator/>
      </w:r>
    </w:p>
    <w:p w14:paraId="3FDA0F7B" w14:textId="77777777" w:rsidR="00204188" w:rsidRDefault="002041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BF494C1-9076-694A-BBFA-6831DFC16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17</Pages>
  <Words>30432</Words>
  <Characters>173465</Characters>
  <Application>Microsoft Office Word</Application>
  <DocSecurity>0</DocSecurity>
  <Lines>1445</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182</cp:revision>
  <cp:lastPrinted>2019-04-05T14:52:00Z</cp:lastPrinted>
  <dcterms:created xsi:type="dcterms:W3CDTF">2019-04-13T13:22:00Z</dcterms:created>
  <dcterms:modified xsi:type="dcterms:W3CDTF">2019-04-15T21:03:00Z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