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23C54501" w14:textId="77777777" w:rsidR="00E142BB"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61F4FF5E" w14:textId="6A514D5C" w:rsidR="00E142BB" w:rsidRDefault="00B93194">
          <w:pPr>
            <w:pStyle w:val="TOC2"/>
            <w:tabs>
              <w:tab w:val="right" w:leader="dot" w:pos="9010"/>
            </w:tabs>
            <w:rPr>
              <w:rFonts w:eastAsiaTheme="minorEastAsia" w:cstheme="minorBidi"/>
              <w:b w:val="0"/>
              <w:bCs w:val="0"/>
              <w:noProof/>
              <w:sz w:val="24"/>
              <w:szCs w:val="24"/>
            </w:rPr>
          </w:pPr>
          <w:hyperlink w:anchor="_Toc6171723" w:history="1">
            <w:r w:rsidR="00E142BB" w:rsidRPr="00C62511">
              <w:rPr>
                <w:rStyle w:val="Hyperlink"/>
                <w:noProof/>
              </w:rPr>
              <w:t>List of figures</w:t>
            </w:r>
            <w:r w:rsidR="00E142BB">
              <w:rPr>
                <w:noProof/>
                <w:webHidden/>
              </w:rPr>
              <w:tab/>
            </w:r>
            <w:r w:rsidR="00E142BB">
              <w:rPr>
                <w:noProof/>
                <w:webHidden/>
              </w:rPr>
              <w:fldChar w:fldCharType="begin"/>
            </w:r>
            <w:r w:rsidR="00E142BB">
              <w:rPr>
                <w:noProof/>
                <w:webHidden/>
              </w:rPr>
              <w:instrText xml:space="preserve"> PAGEREF _Toc6171723 \h </w:instrText>
            </w:r>
            <w:r w:rsidR="00E142BB">
              <w:rPr>
                <w:noProof/>
                <w:webHidden/>
              </w:rPr>
            </w:r>
            <w:r w:rsidR="00E142BB">
              <w:rPr>
                <w:noProof/>
                <w:webHidden/>
              </w:rPr>
              <w:fldChar w:fldCharType="separate"/>
            </w:r>
            <w:r w:rsidR="00E142BB">
              <w:rPr>
                <w:noProof/>
                <w:webHidden/>
              </w:rPr>
              <w:t>1</w:t>
            </w:r>
            <w:r w:rsidR="00E142BB">
              <w:rPr>
                <w:noProof/>
                <w:webHidden/>
              </w:rPr>
              <w:fldChar w:fldCharType="end"/>
            </w:r>
          </w:hyperlink>
        </w:p>
        <w:p w14:paraId="0EF5A858" w14:textId="47289ECC" w:rsidR="00E142BB" w:rsidRDefault="00B93194">
          <w:pPr>
            <w:pStyle w:val="TOC2"/>
            <w:tabs>
              <w:tab w:val="right" w:leader="dot" w:pos="9010"/>
            </w:tabs>
            <w:rPr>
              <w:rFonts w:eastAsiaTheme="minorEastAsia" w:cstheme="minorBidi"/>
              <w:b w:val="0"/>
              <w:bCs w:val="0"/>
              <w:noProof/>
              <w:sz w:val="24"/>
              <w:szCs w:val="24"/>
            </w:rPr>
          </w:pPr>
          <w:hyperlink w:anchor="_Toc6171724" w:history="1">
            <w:r w:rsidR="00E142BB" w:rsidRPr="00C62511">
              <w:rPr>
                <w:rStyle w:val="Hyperlink"/>
                <w:noProof/>
              </w:rPr>
              <w:t>List of tables</w:t>
            </w:r>
            <w:r w:rsidR="00E142BB">
              <w:rPr>
                <w:noProof/>
                <w:webHidden/>
              </w:rPr>
              <w:tab/>
            </w:r>
            <w:r w:rsidR="00E142BB">
              <w:rPr>
                <w:noProof/>
                <w:webHidden/>
              </w:rPr>
              <w:fldChar w:fldCharType="begin"/>
            </w:r>
            <w:r w:rsidR="00E142BB">
              <w:rPr>
                <w:noProof/>
                <w:webHidden/>
              </w:rPr>
              <w:instrText xml:space="preserve"> PAGEREF _Toc6171724 \h </w:instrText>
            </w:r>
            <w:r w:rsidR="00E142BB">
              <w:rPr>
                <w:noProof/>
                <w:webHidden/>
              </w:rPr>
            </w:r>
            <w:r w:rsidR="00E142BB">
              <w:rPr>
                <w:noProof/>
                <w:webHidden/>
              </w:rPr>
              <w:fldChar w:fldCharType="separate"/>
            </w:r>
            <w:r w:rsidR="00E142BB">
              <w:rPr>
                <w:noProof/>
                <w:webHidden/>
              </w:rPr>
              <w:t>1</w:t>
            </w:r>
            <w:r w:rsidR="00E142BB">
              <w:rPr>
                <w:noProof/>
                <w:webHidden/>
              </w:rPr>
              <w:fldChar w:fldCharType="end"/>
            </w:r>
          </w:hyperlink>
        </w:p>
        <w:p w14:paraId="014800BA" w14:textId="0DA70596" w:rsidR="00E142BB" w:rsidRDefault="00B93194">
          <w:pPr>
            <w:pStyle w:val="TOC2"/>
            <w:tabs>
              <w:tab w:val="right" w:leader="dot" w:pos="9010"/>
            </w:tabs>
            <w:rPr>
              <w:rFonts w:eastAsiaTheme="minorEastAsia" w:cstheme="minorBidi"/>
              <w:b w:val="0"/>
              <w:bCs w:val="0"/>
              <w:noProof/>
              <w:sz w:val="24"/>
              <w:szCs w:val="24"/>
            </w:rPr>
          </w:pPr>
          <w:hyperlink w:anchor="_Toc6171725" w:history="1">
            <w:r w:rsidR="00E142BB" w:rsidRPr="00C62511">
              <w:rPr>
                <w:rStyle w:val="Hyperlink"/>
                <w:noProof/>
              </w:rPr>
              <w:t>List of equations</w:t>
            </w:r>
            <w:r w:rsidR="00E142BB">
              <w:rPr>
                <w:noProof/>
                <w:webHidden/>
              </w:rPr>
              <w:tab/>
            </w:r>
            <w:r w:rsidR="00E142BB">
              <w:rPr>
                <w:noProof/>
                <w:webHidden/>
              </w:rPr>
              <w:fldChar w:fldCharType="begin"/>
            </w:r>
            <w:r w:rsidR="00E142BB">
              <w:rPr>
                <w:noProof/>
                <w:webHidden/>
              </w:rPr>
              <w:instrText xml:space="preserve"> PAGEREF _Toc6171725 \h </w:instrText>
            </w:r>
            <w:r w:rsidR="00E142BB">
              <w:rPr>
                <w:noProof/>
                <w:webHidden/>
              </w:rPr>
            </w:r>
            <w:r w:rsidR="00E142BB">
              <w:rPr>
                <w:noProof/>
                <w:webHidden/>
              </w:rPr>
              <w:fldChar w:fldCharType="separate"/>
            </w:r>
            <w:r w:rsidR="00E142BB">
              <w:rPr>
                <w:noProof/>
                <w:webHidden/>
              </w:rPr>
              <w:t>1</w:t>
            </w:r>
            <w:r w:rsidR="00E142BB">
              <w:rPr>
                <w:noProof/>
                <w:webHidden/>
              </w:rPr>
              <w:fldChar w:fldCharType="end"/>
            </w:r>
          </w:hyperlink>
        </w:p>
        <w:p w14:paraId="4250A15C" w14:textId="07FA78CE" w:rsidR="00E142BB" w:rsidRDefault="00B93194">
          <w:pPr>
            <w:pStyle w:val="TOC1"/>
            <w:rPr>
              <w:rFonts w:eastAsiaTheme="minorEastAsia" w:cstheme="minorBidi"/>
              <w:b w:val="0"/>
              <w:bCs w:val="0"/>
              <w:noProof/>
            </w:rPr>
          </w:pPr>
          <w:hyperlink w:anchor="_Toc6171726" w:history="1">
            <w:r w:rsidR="00E142BB" w:rsidRPr="00C62511">
              <w:rPr>
                <w:rStyle w:val="Hyperlink"/>
                <w:noProof/>
              </w:rPr>
              <w:t>1. Anomalous temperature and injury mortality in the USA: age-, sex- and state-specific impacts</w:t>
            </w:r>
            <w:r w:rsidR="00E142BB">
              <w:rPr>
                <w:noProof/>
                <w:webHidden/>
              </w:rPr>
              <w:tab/>
            </w:r>
            <w:r w:rsidR="00E142BB">
              <w:rPr>
                <w:noProof/>
                <w:webHidden/>
              </w:rPr>
              <w:fldChar w:fldCharType="begin"/>
            </w:r>
            <w:r w:rsidR="00E142BB">
              <w:rPr>
                <w:noProof/>
                <w:webHidden/>
              </w:rPr>
              <w:instrText xml:space="preserve"> PAGEREF _Toc6171726 \h </w:instrText>
            </w:r>
            <w:r w:rsidR="00E142BB">
              <w:rPr>
                <w:noProof/>
                <w:webHidden/>
              </w:rPr>
            </w:r>
            <w:r w:rsidR="00E142BB">
              <w:rPr>
                <w:noProof/>
                <w:webHidden/>
              </w:rPr>
              <w:fldChar w:fldCharType="separate"/>
            </w:r>
            <w:r w:rsidR="00E142BB">
              <w:rPr>
                <w:noProof/>
                <w:webHidden/>
              </w:rPr>
              <w:t>2</w:t>
            </w:r>
            <w:r w:rsidR="00E142BB">
              <w:rPr>
                <w:noProof/>
                <w:webHidden/>
              </w:rPr>
              <w:fldChar w:fldCharType="end"/>
            </w:r>
          </w:hyperlink>
        </w:p>
        <w:p w14:paraId="2A4B0C55" w14:textId="23152EA8" w:rsidR="00E142BB" w:rsidRDefault="00B93194">
          <w:pPr>
            <w:pStyle w:val="TOC2"/>
            <w:tabs>
              <w:tab w:val="right" w:leader="dot" w:pos="9010"/>
            </w:tabs>
            <w:rPr>
              <w:rFonts w:eastAsiaTheme="minorEastAsia" w:cstheme="minorBidi"/>
              <w:b w:val="0"/>
              <w:bCs w:val="0"/>
              <w:noProof/>
              <w:sz w:val="24"/>
              <w:szCs w:val="24"/>
            </w:rPr>
          </w:pPr>
          <w:hyperlink w:anchor="_Toc6171727" w:history="1">
            <w:r w:rsidR="00E142BB" w:rsidRPr="00C62511">
              <w:rPr>
                <w:rStyle w:val="Hyperlink"/>
                <w:noProof/>
              </w:rPr>
              <w:t>Overview</w:t>
            </w:r>
            <w:r w:rsidR="00E142BB">
              <w:rPr>
                <w:noProof/>
                <w:webHidden/>
              </w:rPr>
              <w:tab/>
            </w:r>
            <w:r w:rsidR="00E142BB">
              <w:rPr>
                <w:noProof/>
                <w:webHidden/>
              </w:rPr>
              <w:fldChar w:fldCharType="begin"/>
            </w:r>
            <w:r w:rsidR="00E142BB">
              <w:rPr>
                <w:noProof/>
                <w:webHidden/>
              </w:rPr>
              <w:instrText xml:space="preserve"> PAGEREF _Toc6171727 \h </w:instrText>
            </w:r>
            <w:r w:rsidR="00E142BB">
              <w:rPr>
                <w:noProof/>
                <w:webHidden/>
              </w:rPr>
            </w:r>
            <w:r w:rsidR="00E142BB">
              <w:rPr>
                <w:noProof/>
                <w:webHidden/>
              </w:rPr>
              <w:fldChar w:fldCharType="separate"/>
            </w:r>
            <w:r w:rsidR="00E142BB">
              <w:rPr>
                <w:noProof/>
                <w:webHidden/>
              </w:rPr>
              <w:t>2</w:t>
            </w:r>
            <w:r w:rsidR="00E142BB">
              <w:rPr>
                <w:noProof/>
                <w:webHidden/>
              </w:rPr>
              <w:fldChar w:fldCharType="end"/>
            </w:r>
          </w:hyperlink>
        </w:p>
        <w:p w14:paraId="1C24E9E1" w14:textId="6012482F" w:rsidR="00E142BB" w:rsidRDefault="00B93194">
          <w:pPr>
            <w:pStyle w:val="TOC2"/>
            <w:tabs>
              <w:tab w:val="right" w:leader="dot" w:pos="9010"/>
            </w:tabs>
            <w:rPr>
              <w:rFonts w:eastAsiaTheme="minorEastAsia" w:cstheme="minorBidi"/>
              <w:b w:val="0"/>
              <w:bCs w:val="0"/>
              <w:noProof/>
              <w:sz w:val="24"/>
              <w:szCs w:val="24"/>
            </w:rPr>
          </w:pPr>
          <w:hyperlink w:anchor="_Toc6171728" w:history="1">
            <w:r w:rsidR="00E142BB" w:rsidRPr="00C62511">
              <w:rPr>
                <w:rStyle w:val="Hyperlink"/>
                <w:noProof/>
              </w:rPr>
              <w:t>Introduction</w:t>
            </w:r>
            <w:r w:rsidR="00E142BB">
              <w:rPr>
                <w:noProof/>
                <w:webHidden/>
              </w:rPr>
              <w:tab/>
            </w:r>
            <w:r w:rsidR="00E142BB">
              <w:rPr>
                <w:noProof/>
                <w:webHidden/>
              </w:rPr>
              <w:fldChar w:fldCharType="begin"/>
            </w:r>
            <w:r w:rsidR="00E142BB">
              <w:rPr>
                <w:noProof/>
                <w:webHidden/>
              </w:rPr>
              <w:instrText xml:space="preserve"> PAGEREF _Toc6171728 \h </w:instrText>
            </w:r>
            <w:r w:rsidR="00E142BB">
              <w:rPr>
                <w:noProof/>
                <w:webHidden/>
              </w:rPr>
            </w:r>
            <w:r w:rsidR="00E142BB">
              <w:rPr>
                <w:noProof/>
                <w:webHidden/>
              </w:rPr>
              <w:fldChar w:fldCharType="separate"/>
            </w:r>
            <w:r w:rsidR="00E142BB">
              <w:rPr>
                <w:noProof/>
                <w:webHidden/>
              </w:rPr>
              <w:t>2</w:t>
            </w:r>
            <w:r w:rsidR="00E142BB">
              <w:rPr>
                <w:noProof/>
                <w:webHidden/>
              </w:rPr>
              <w:fldChar w:fldCharType="end"/>
            </w:r>
          </w:hyperlink>
        </w:p>
        <w:p w14:paraId="4F2D1DC7" w14:textId="6588B3F1" w:rsidR="00E142BB" w:rsidRDefault="00B93194">
          <w:pPr>
            <w:pStyle w:val="TOC2"/>
            <w:tabs>
              <w:tab w:val="right" w:leader="dot" w:pos="9010"/>
            </w:tabs>
            <w:rPr>
              <w:rFonts w:eastAsiaTheme="minorEastAsia" w:cstheme="minorBidi"/>
              <w:b w:val="0"/>
              <w:bCs w:val="0"/>
              <w:noProof/>
              <w:sz w:val="24"/>
              <w:szCs w:val="24"/>
            </w:rPr>
          </w:pPr>
          <w:hyperlink w:anchor="_Toc6171729" w:history="1">
            <w:r w:rsidR="00E142BB" w:rsidRPr="00C62511">
              <w:rPr>
                <w:rStyle w:val="Hyperlink"/>
                <w:noProof/>
              </w:rPr>
              <w:t>Data</w:t>
            </w:r>
            <w:r w:rsidR="00E142BB">
              <w:rPr>
                <w:noProof/>
                <w:webHidden/>
              </w:rPr>
              <w:tab/>
            </w:r>
            <w:r w:rsidR="00E142BB">
              <w:rPr>
                <w:noProof/>
                <w:webHidden/>
              </w:rPr>
              <w:fldChar w:fldCharType="begin"/>
            </w:r>
            <w:r w:rsidR="00E142BB">
              <w:rPr>
                <w:noProof/>
                <w:webHidden/>
              </w:rPr>
              <w:instrText xml:space="preserve"> PAGEREF _Toc6171729 \h </w:instrText>
            </w:r>
            <w:r w:rsidR="00E142BB">
              <w:rPr>
                <w:noProof/>
                <w:webHidden/>
              </w:rPr>
            </w:r>
            <w:r w:rsidR="00E142BB">
              <w:rPr>
                <w:noProof/>
                <w:webHidden/>
              </w:rPr>
              <w:fldChar w:fldCharType="separate"/>
            </w:r>
            <w:r w:rsidR="00E142BB">
              <w:rPr>
                <w:noProof/>
                <w:webHidden/>
              </w:rPr>
              <w:t>3</w:t>
            </w:r>
            <w:r w:rsidR="00E142BB">
              <w:rPr>
                <w:noProof/>
                <w:webHidden/>
              </w:rPr>
              <w:fldChar w:fldCharType="end"/>
            </w:r>
          </w:hyperlink>
        </w:p>
        <w:p w14:paraId="10DC283F" w14:textId="691BCA6D" w:rsidR="00E142BB" w:rsidRDefault="00B93194">
          <w:pPr>
            <w:pStyle w:val="TOC2"/>
            <w:tabs>
              <w:tab w:val="right" w:leader="dot" w:pos="9010"/>
            </w:tabs>
            <w:rPr>
              <w:rFonts w:eastAsiaTheme="minorEastAsia" w:cstheme="minorBidi"/>
              <w:b w:val="0"/>
              <w:bCs w:val="0"/>
              <w:noProof/>
              <w:sz w:val="24"/>
              <w:szCs w:val="24"/>
            </w:rPr>
          </w:pPr>
          <w:hyperlink w:anchor="_Toc6171730" w:history="1">
            <w:r w:rsidR="00E142BB" w:rsidRPr="00C62511">
              <w:rPr>
                <w:rStyle w:val="Hyperlink"/>
                <w:noProof/>
              </w:rPr>
              <w:t>Statistical methods</w:t>
            </w:r>
            <w:r w:rsidR="00E142BB">
              <w:rPr>
                <w:noProof/>
                <w:webHidden/>
              </w:rPr>
              <w:tab/>
            </w:r>
            <w:r w:rsidR="00E142BB">
              <w:rPr>
                <w:noProof/>
                <w:webHidden/>
              </w:rPr>
              <w:fldChar w:fldCharType="begin"/>
            </w:r>
            <w:r w:rsidR="00E142BB">
              <w:rPr>
                <w:noProof/>
                <w:webHidden/>
              </w:rPr>
              <w:instrText xml:space="preserve"> PAGEREF _Toc6171730 \h </w:instrText>
            </w:r>
            <w:r w:rsidR="00E142BB">
              <w:rPr>
                <w:noProof/>
                <w:webHidden/>
              </w:rPr>
            </w:r>
            <w:r w:rsidR="00E142BB">
              <w:rPr>
                <w:noProof/>
                <w:webHidden/>
              </w:rPr>
              <w:fldChar w:fldCharType="separate"/>
            </w:r>
            <w:r w:rsidR="00E142BB">
              <w:rPr>
                <w:noProof/>
                <w:webHidden/>
              </w:rPr>
              <w:t>5</w:t>
            </w:r>
            <w:r w:rsidR="00E142BB">
              <w:rPr>
                <w:noProof/>
                <w:webHidden/>
              </w:rPr>
              <w:fldChar w:fldCharType="end"/>
            </w:r>
          </w:hyperlink>
        </w:p>
        <w:p w14:paraId="6900C144" w14:textId="5C893050" w:rsidR="00E142BB" w:rsidRDefault="00B93194">
          <w:pPr>
            <w:pStyle w:val="TOC2"/>
            <w:tabs>
              <w:tab w:val="right" w:leader="dot" w:pos="9010"/>
            </w:tabs>
            <w:rPr>
              <w:rFonts w:eastAsiaTheme="minorEastAsia" w:cstheme="minorBidi"/>
              <w:b w:val="0"/>
              <w:bCs w:val="0"/>
              <w:noProof/>
              <w:sz w:val="24"/>
              <w:szCs w:val="24"/>
            </w:rPr>
          </w:pPr>
          <w:hyperlink w:anchor="_Toc6171731" w:history="1">
            <w:r w:rsidR="00E142BB" w:rsidRPr="00C62511">
              <w:rPr>
                <w:rStyle w:val="Hyperlink"/>
                <w:noProof/>
              </w:rPr>
              <w:t>Results</w:t>
            </w:r>
            <w:r w:rsidR="00E142BB">
              <w:rPr>
                <w:noProof/>
                <w:webHidden/>
              </w:rPr>
              <w:tab/>
            </w:r>
            <w:r w:rsidR="00E142BB">
              <w:rPr>
                <w:noProof/>
                <w:webHidden/>
              </w:rPr>
              <w:fldChar w:fldCharType="begin"/>
            </w:r>
            <w:r w:rsidR="00E142BB">
              <w:rPr>
                <w:noProof/>
                <w:webHidden/>
              </w:rPr>
              <w:instrText xml:space="preserve"> PAGEREF _Toc6171731 \h </w:instrText>
            </w:r>
            <w:r w:rsidR="00E142BB">
              <w:rPr>
                <w:noProof/>
                <w:webHidden/>
              </w:rPr>
            </w:r>
            <w:r w:rsidR="00E142BB">
              <w:rPr>
                <w:noProof/>
                <w:webHidden/>
              </w:rPr>
              <w:fldChar w:fldCharType="separate"/>
            </w:r>
            <w:r w:rsidR="00E142BB">
              <w:rPr>
                <w:noProof/>
                <w:webHidden/>
              </w:rPr>
              <w:t>9</w:t>
            </w:r>
            <w:r w:rsidR="00E142BB">
              <w:rPr>
                <w:noProof/>
                <w:webHidden/>
              </w:rPr>
              <w:fldChar w:fldCharType="end"/>
            </w:r>
          </w:hyperlink>
        </w:p>
        <w:p w14:paraId="5D033960" w14:textId="0B6090F5" w:rsidR="00E142BB" w:rsidRDefault="00B93194">
          <w:pPr>
            <w:pStyle w:val="TOC2"/>
            <w:tabs>
              <w:tab w:val="right" w:leader="dot" w:pos="9010"/>
            </w:tabs>
            <w:rPr>
              <w:rFonts w:eastAsiaTheme="minorEastAsia" w:cstheme="minorBidi"/>
              <w:b w:val="0"/>
              <w:bCs w:val="0"/>
              <w:noProof/>
              <w:sz w:val="24"/>
              <w:szCs w:val="24"/>
            </w:rPr>
          </w:pPr>
          <w:hyperlink w:anchor="_Toc6171732" w:history="1">
            <w:r w:rsidR="00E142BB" w:rsidRPr="00C62511">
              <w:rPr>
                <w:rStyle w:val="Hyperlink"/>
                <w:noProof/>
              </w:rPr>
              <w:t>Discussion</w:t>
            </w:r>
            <w:r w:rsidR="00E142BB">
              <w:rPr>
                <w:noProof/>
                <w:webHidden/>
              </w:rPr>
              <w:tab/>
            </w:r>
            <w:r w:rsidR="00E142BB">
              <w:rPr>
                <w:noProof/>
                <w:webHidden/>
              </w:rPr>
              <w:fldChar w:fldCharType="begin"/>
            </w:r>
            <w:r w:rsidR="00E142BB">
              <w:rPr>
                <w:noProof/>
                <w:webHidden/>
              </w:rPr>
              <w:instrText xml:space="preserve"> PAGEREF _Toc6171732 \h </w:instrText>
            </w:r>
            <w:r w:rsidR="00E142BB">
              <w:rPr>
                <w:noProof/>
                <w:webHidden/>
              </w:rPr>
            </w:r>
            <w:r w:rsidR="00E142BB">
              <w:rPr>
                <w:noProof/>
                <w:webHidden/>
              </w:rPr>
              <w:fldChar w:fldCharType="separate"/>
            </w:r>
            <w:r w:rsidR="00E142BB">
              <w:rPr>
                <w:noProof/>
                <w:webHidden/>
              </w:rPr>
              <w:t>11</w:t>
            </w:r>
            <w:r w:rsidR="00E142BB">
              <w:rPr>
                <w:noProof/>
                <w:webHidden/>
              </w:rPr>
              <w:fldChar w:fldCharType="end"/>
            </w:r>
          </w:hyperlink>
        </w:p>
        <w:p w14:paraId="5FBCF263" w14:textId="378012DD" w:rsidR="00E142BB" w:rsidRDefault="00B93194">
          <w:pPr>
            <w:pStyle w:val="TOC2"/>
            <w:tabs>
              <w:tab w:val="right" w:leader="dot" w:pos="9010"/>
            </w:tabs>
            <w:rPr>
              <w:rFonts w:eastAsiaTheme="minorEastAsia" w:cstheme="minorBidi"/>
              <w:b w:val="0"/>
              <w:bCs w:val="0"/>
              <w:noProof/>
              <w:sz w:val="24"/>
              <w:szCs w:val="24"/>
            </w:rPr>
          </w:pPr>
          <w:hyperlink w:anchor="_Toc6171733" w:history="1">
            <w:r w:rsidR="00E142BB" w:rsidRPr="00C62511">
              <w:rPr>
                <w:rStyle w:val="Hyperlink"/>
                <w:noProof/>
              </w:rPr>
              <w:t>References</w:t>
            </w:r>
            <w:r w:rsidR="00E142BB">
              <w:rPr>
                <w:noProof/>
                <w:webHidden/>
              </w:rPr>
              <w:tab/>
            </w:r>
            <w:r w:rsidR="00E142BB">
              <w:rPr>
                <w:noProof/>
                <w:webHidden/>
              </w:rPr>
              <w:fldChar w:fldCharType="begin"/>
            </w:r>
            <w:r w:rsidR="00E142BB">
              <w:rPr>
                <w:noProof/>
                <w:webHidden/>
              </w:rPr>
              <w:instrText xml:space="preserve"> PAGEREF _Toc6171733 \h </w:instrText>
            </w:r>
            <w:r w:rsidR="00E142BB">
              <w:rPr>
                <w:noProof/>
                <w:webHidden/>
              </w:rPr>
            </w:r>
            <w:r w:rsidR="00E142BB">
              <w:rPr>
                <w:noProof/>
                <w:webHidden/>
              </w:rPr>
              <w:fldChar w:fldCharType="separate"/>
            </w:r>
            <w:r w:rsidR="00E142BB">
              <w:rPr>
                <w:noProof/>
                <w:webHidden/>
              </w:rPr>
              <w:t>14</w:t>
            </w:r>
            <w:r w:rsidR="00E142BB">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14BDFF52" w14:textId="77777777" w:rsidR="006851BD" w:rsidRDefault="00061A3A" w:rsidP="00061A3A">
      <w:pPr>
        <w:pStyle w:val="Heading2"/>
        <w:suppressLineNumbers/>
        <w:rPr>
          <w:noProof/>
        </w:rPr>
      </w:pPr>
      <w:bookmarkStart w:id="0" w:name="_Toc6171723"/>
      <w:r>
        <w:t xml:space="preserve">List of </w:t>
      </w:r>
      <w:r w:rsidR="009E7EC8">
        <w:t>f</w:t>
      </w:r>
      <w:r>
        <w:t>igures</w:t>
      </w:r>
      <w:bookmarkEnd w:id="0"/>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6BD35CDE" w14:textId="76F87015" w:rsidR="00BB73E3" w:rsidRDefault="006851BD" w:rsidP="006851BD">
      <w:r>
        <w:rPr>
          <w:noProof/>
          <w:lang w:val="en-US"/>
        </w:rPr>
        <w:t>No table of figures entries found.</w:t>
      </w:r>
      <w:r w:rsidR="00B82FF5" w:rsidRPr="00755632">
        <w:fldChar w:fldCharType="end"/>
      </w:r>
    </w:p>
    <w:p w14:paraId="70DF581C" w14:textId="77777777" w:rsidR="004B4DC1" w:rsidRDefault="00061A3A" w:rsidP="005660AA">
      <w:pPr>
        <w:pStyle w:val="Heading2"/>
        <w:suppressLineNumbers/>
        <w:rPr>
          <w:noProof/>
        </w:rPr>
      </w:pPr>
      <w:bookmarkStart w:id="1" w:name="_Toc6171724"/>
      <w:r>
        <w:t xml:space="preserve">List of </w:t>
      </w:r>
      <w:r w:rsidR="009E7EC8">
        <w:t>t</w:t>
      </w:r>
      <w:r>
        <w:t>ables</w:t>
      </w:r>
      <w:bookmarkEnd w:id="1"/>
      <w:r w:rsidR="00B82FF5" w:rsidRPr="00755632">
        <w:fldChar w:fldCharType="begin"/>
      </w:r>
      <w:r w:rsidR="00B82FF5" w:rsidRPr="00755632">
        <w:instrText xml:space="preserve"> TOC \h \z \c "Table" </w:instrText>
      </w:r>
      <w:r w:rsidR="00B82FF5" w:rsidRPr="00755632">
        <w:fldChar w:fldCharType="separate"/>
      </w:r>
    </w:p>
    <w:p w14:paraId="0AEF514B" w14:textId="27AA872D" w:rsidR="001A4B51" w:rsidRDefault="004B4DC1" w:rsidP="006851BD">
      <w:r>
        <w:rPr>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6171725"/>
      <w:r>
        <w:t>List of equations</w:t>
      </w:r>
      <w:bookmarkEnd w:id="2"/>
    </w:p>
    <w:p w14:paraId="02019DD7" w14:textId="6AD99147" w:rsidR="006675AE" w:rsidRDefault="002D35A5" w:rsidP="006851BD">
      <w:r>
        <w:fldChar w:fldCharType="begin"/>
      </w:r>
      <w:r>
        <w:instrText xml:space="preserve"> TOC \h \z \c "Equation" </w:instrText>
      </w:r>
      <w:r>
        <w:fldChar w:fldCharType="separate"/>
      </w:r>
      <w:r w:rsidR="004B4DC1">
        <w:rPr>
          <w:noProof/>
          <w:lang w:val="en-US"/>
        </w:rPr>
        <w:t>No table of figures entries found.</w:t>
      </w:r>
      <w:r>
        <w:fldChar w:fldCharType="end"/>
      </w:r>
      <w:r w:rsidR="00C0748B" w:rsidRPr="00755632">
        <w:br w:type="page"/>
      </w:r>
    </w:p>
    <w:p w14:paraId="661D8067" w14:textId="1539F6F4" w:rsidR="004B4DC1" w:rsidRDefault="004B4DC1" w:rsidP="004B4DC1">
      <w:pPr>
        <w:pStyle w:val="Heading1"/>
      </w:pPr>
      <w:bookmarkStart w:id="3" w:name="_Toc6171726"/>
      <w:bookmarkStart w:id="4" w:name="_Toc6045006"/>
      <w:r>
        <w:lastRenderedPageBreak/>
        <w:t>1. A</w:t>
      </w:r>
      <w:r w:rsidRPr="00636C9B">
        <w:t xml:space="preserve">nomalous temperature </w:t>
      </w:r>
      <w:r>
        <w:t>and</w:t>
      </w:r>
      <w:r w:rsidRPr="00636C9B">
        <w:t xml:space="preserve"> injury mortality in the USA</w:t>
      </w:r>
      <w:r>
        <w:t>: age-, sex- and state-specific impacts</w:t>
      </w:r>
      <w:bookmarkEnd w:id="3"/>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5" w:name="_Toc6171727"/>
      <w:r w:rsidRPr="00127064">
        <w:t>Overview</w:t>
      </w:r>
      <w:bookmarkEnd w:id="4"/>
      <w:bookmarkEnd w:id="5"/>
    </w:p>
    <w:p w14:paraId="646EA9F8" w14:textId="7BE67A5A" w:rsidR="00B971FF" w:rsidRDefault="00161129" w:rsidP="00113E25">
      <w:pPr>
        <w:spacing w:line="480" w:lineRule="auto"/>
        <w:ind w:firstLine="720"/>
        <w:jc w:val="both"/>
        <w:rPr>
          <w:rFonts w:cs="Calibri"/>
          <w:sz w:val="24"/>
          <w:szCs w:val="24"/>
        </w:rPr>
      </w:pPr>
      <w:bookmarkStart w:id="6" w:name="_Toc6045007"/>
      <w:r w:rsidRPr="000377CB">
        <w:rPr>
          <w:rFonts w:cs="Calibri"/>
          <w:sz w:val="24"/>
          <w:szCs w:val="24"/>
        </w:rPr>
        <w:t>Temperatures which deviate from long-term norms will be more frequent as the global climate changes, and may be associated with adverse health consequences</w:t>
      </w:r>
      <w:r w:rsidR="0001634A" w:rsidRPr="000377CB">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2015)","previouslyFormattedCitation":"&lt;sup&gt;1&lt;/sup&gt;"},"properties":{"noteIndex":0},"schema":"https://github.com/citation-style-language/schema/raw/master/csl-citation.json"}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(Gasparrini et al., 2015)</w:t>
      </w:r>
      <w:r w:rsidRPr="000377CB">
        <w:rPr>
          <w:rFonts w:cs="Calibri"/>
          <w:sz w:val="24"/>
          <w:szCs w:val="24"/>
        </w:rPr>
        <w:fldChar w:fldCharType="end"/>
      </w:r>
      <w:r w:rsidR="0001634A" w:rsidRPr="000377CB">
        <w:rPr>
          <w:rFonts w:cs="Calibri"/>
          <w:sz w:val="24"/>
          <w:szCs w:val="24"/>
        </w:rPr>
        <w:t>.</w:t>
      </w:r>
      <w:r w:rsidRPr="000377CB">
        <w:rPr>
          <w:rFonts w:cs="Calibri"/>
          <w:sz w:val="24"/>
          <w:szCs w:val="24"/>
        </w:rPr>
        <w:t xml:space="preserve"> There is limited data on how such deviations affect deaths from different injuries, especially by type of injury, month of year, age and sex. Here, we used data on mortality and temperature over a 37-year period (1980-2016) in the entire contiguous United States and formulated a Bayesian spatio-temporal model to estimate how deviations from the long-term norm of mean monthly temperature (anomalous temperatures) affect deaths from different injuries by age groups and sex. We found that a 1°C anomalously warm year would be associated with an estimated 941 (95% credible interval 831, 1053) additional injury deaths. 87% of deaths in males would be concentrated in adolescent to middle ages. These excess deaths would comprise of increases in drowning, transport injuries, assault and intentional self-harm offset partly by an overall decline in falls in older ages. The findings demonstrate the need for targeted public health interventions against injuries during periods of anomalously high temperatures, especially as these episodes increase with global climate change.</w:t>
      </w:r>
      <w:bookmarkStart w:id="7" w:name="_Toc6045013"/>
      <w:bookmarkEnd w:id="6"/>
    </w:p>
    <w:p w14:paraId="53F0D6FD" w14:textId="273BD1D1" w:rsidR="00BE6C9E" w:rsidRPr="00BE6C9E" w:rsidRDefault="00BE6C9E" w:rsidP="00BE6C9E">
      <w:pPr>
        <w:spacing w:line="480" w:lineRule="auto"/>
        <w:ind w:firstLine="720"/>
        <w:jc w:val="both"/>
        <w:rPr>
          <w:sz w:val="24"/>
          <w:szCs w:val="24"/>
        </w:rPr>
      </w:pPr>
      <w:r>
        <w:rPr>
          <w:sz w:val="24"/>
          <w:szCs w:val="24"/>
        </w:rPr>
        <w:t>This chapter is based on work which is currently under review in Nature Climate Change.</w:t>
      </w:r>
    </w:p>
    <w:p w14:paraId="2C8ED6BF" w14:textId="49C97810" w:rsidR="000377CB" w:rsidRPr="000377CB" w:rsidRDefault="000377CB" w:rsidP="000377CB">
      <w:pPr>
        <w:pStyle w:val="Heading2"/>
        <w:rPr>
          <w:rFonts w:ascii="Calibri" w:hAnsi="Calibri"/>
        </w:rPr>
      </w:pPr>
      <w:bookmarkStart w:id="8" w:name="_Toc6171728"/>
      <w:r>
        <w:t>Introduction</w:t>
      </w:r>
      <w:bookmarkEnd w:id="8"/>
    </w:p>
    <w:p w14:paraId="573AC6C2" w14:textId="3F1F7F7B" w:rsidR="00B971FF" w:rsidRDefault="00B971FF" w:rsidP="00E06158">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The potential health impacts of anthropogenic climate change are one of the key drivers for efforts to mitigate greenhouse gas emissions and for pursuing adaptation measures. Current assessments of the health effects of climate change largely focus on </w:t>
      </w:r>
      <w:r w:rsidRPr="000377CB">
        <w:rPr>
          <w:rFonts w:cs="Calibri"/>
          <w:color w:val="000000" w:themeColor="text1"/>
          <w:sz w:val="24"/>
          <w:szCs w:val="24"/>
        </w:rPr>
        <w:lastRenderedPageBreak/>
        <w:t>parasitic and infectious diseases, and cardiorespiratory and other chronic diseases</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2018)","previouslyFormattedCitation":"&lt;sup&gt;2–7&lt;/sup&gt;"},"properties":{"noteIndex":0},"schema":"https://github.com/citation-style-language/schema/raw/master/csl-citation.json"}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(Gasparrini et al., 2017; Haines &amp; Ebi, 2019; Huang et al., 2011; McMichael, Woodruff, &amp; Hales, 2006; Smith et al., 2015; Watts et al., 2018)</w:t>
      </w:r>
      <w:r w:rsidRPr="000377CB">
        <w:rPr>
          <w:rFonts w:cs="Calibri"/>
          <w:color w:val="000000" w:themeColor="text1"/>
          <w:sz w:val="24"/>
          <w:szCs w:val="24"/>
        </w:rPr>
        <w:fldChar w:fldCharType="end"/>
      </w:r>
      <w:r w:rsidR="00412C47">
        <w:rPr>
          <w:rFonts w:cs="Calibri"/>
          <w:color w:val="000000" w:themeColor="text1"/>
          <w:sz w:val="24"/>
          <w:szCs w:val="24"/>
        </w:rPr>
        <w:t>.</w:t>
      </w:r>
      <w:r w:rsidRPr="000377CB">
        <w:rPr>
          <w:rFonts w:cs="Calibri"/>
          <w:color w:val="000000" w:themeColor="text1"/>
          <w:sz w:val="24"/>
          <w:szCs w:val="24"/>
        </w:rPr>
        <w:t xml:space="preserve"> Less research has been conducted on injuries</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2007)","previouslyFormattedCitation":"&lt;sup&gt;8–10&lt;/sup&gt;"},"properties":{"noteIndex":0},"schema":"https://github.com/citation-style-language/schema/raw/master/csl-citation.json"}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(Burke et al., 2018; Orru &amp; Åström, 2017; Rey et al., 2007)</w:t>
      </w:r>
      <w:r w:rsidRPr="000377CB">
        <w:rPr>
          <w:rFonts w:cs="Calibri"/>
          <w:color w:val="000000" w:themeColor="text1"/>
          <w:sz w:val="24"/>
          <w:szCs w:val="24"/>
        </w:rPr>
        <w:fldChar w:fldCharType="end"/>
      </w:r>
      <w:r w:rsidR="00B16BB3">
        <w:rPr>
          <w:rFonts w:cs="Calibri"/>
          <w:sz w:val="24"/>
          <w:szCs w:val="24"/>
        </w:rPr>
        <w:t xml:space="preserve">, </w:t>
      </w:r>
      <w:r w:rsidRPr="000377CB">
        <w:rPr>
          <w:rFonts w:cs="Calibri"/>
          <w:color w:val="000000" w:themeColor="text1"/>
          <w:sz w:val="24"/>
          <w:szCs w:val="24"/>
        </w:rPr>
        <w:t>especially in a consistent way across injury types and demographic subgroups of the population, even though death rates from injuries vary seasonally</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2004)","previouslyFormattedCitation":"&lt;sup&gt;11,12&lt;/sup&gt;"},"properties":{"noteIndex":0},"schema":"https://github.com/citation-style-language/schema/raw/master/csl-citation.json"}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(Parks, Bennett, Foreman, Toumi, &amp; Ezzati, 2018; Rau, 2004)</w:t>
      </w:r>
      <w:r w:rsidRPr="000377CB">
        <w:rPr>
          <w:rFonts w:cs="Calibri"/>
          <w:color w:val="000000" w:themeColor="text1"/>
          <w:sz w:val="24"/>
          <w:szCs w:val="24"/>
        </w:rPr>
        <w:fldChar w:fldCharType="end"/>
      </w:r>
      <w:r w:rsidR="00CE59B7">
        <w:rPr>
          <w:rFonts w:cs="Calibri"/>
          <w:color w:val="000000" w:themeColor="text1"/>
          <w:sz w:val="24"/>
          <w:szCs w:val="24"/>
        </w:rPr>
        <w:t>,</w:t>
      </w:r>
      <w:r w:rsidRPr="000377CB">
        <w:rPr>
          <w:rFonts w:cs="Calibri"/>
          <w:color w:val="000000" w:themeColor="text1"/>
          <w:sz w:val="24"/>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7FABEA47" w:rsidR="00E06158" w:rsidRPr="000377CB" w:rsidRDefault="00281101" w:rsidP="00281101">
      <w:pPr>
        <w:pStyle w:val="Heading2"/>
        <w:rPr>
          <w:rFonts w:ascii="Calibri" w:hAnsi="Calibri"/>
        </w:rPr>
      </w:pPr>
      <w:bookmarkStart w:id="9" w:name="_Toc6171729"/>
      <w:r>
        <w:t>Data</w:t>
      </w:r>
      <w:bookmarkEnd w:id="9"/>
    </w:p>
    <w:p w14:paraId="50FBE287" w14:textId="77777777" w:rsidR="006E3FA3" w:rsidRDefault="00B971FF"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We used vital registration data on all injury deaths in the contiguous USA</w:t>
      </w:r>
      <w:r w:rsidRPr="000377CB">
        <w:rPr>
          <w:rFonts w:cs="Calibri"/>
          <w:sz w:val="24"/>
          <w:szCs w:val="24"/>
        </w:rPr>
        <w:t xml:space="preserve"> </w:t>
      </w:r>
      <w:r w:rsidRPr="000377CB">
        <w:rPr>
          <w:rFonts w:cs="Calibri"/>
          <w:color w:val="000000" w:themeColor="text1"/>
          <w:sz w:val="24"/>
          <w:szCs w:val="24"/>
        </w:rPr>
        <w:t>from 1980 to 2016, with information on sex, age at death, underlying cause of death and state of residence. During this period,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w:t>
      </w:r>
      <w:r w:rsidR="00C152C4">
        <w:rPr>
          <w:rFonts w:cs="Calibri"/>
          <w:color w:val="000000" w:themeColor="text1"/>
          <w:sz w:val="24"/>
          <w:szCs w:val="24"/>
        </w:rPr>
        <w:fldChar w:fldCharType="begin"/>
      </w:r>
      <w:r w:rsidR="00C152C4">
        <w:rPr>
          <w:rFonts w:cs="Calibri"/>
          <w:color w:val="000000" w:themeColor="text1"/>
          <w:sz w:val="24"/>
          <w:szCs w:val="24"/>
        </w:rPr>
        <w:instrText xml:space="preserve"> REF _Ref6323550 \h </w:instrText>
      </w:r>
      <w:r w:rsidR="00C152C4">
        <w:rPr>
          <w:rFonts w:cs="Calibri"/>
          <w:color w:val="000000" w:themeColor="text1"/>
          <w:sz w:val="24"/>
          <w:szCs w:val="24"/>
        </w:rPr>
      </w:r>
      <w:r w:rsidR="00C152C4">
        <w:rPr>
          <w:rFonts w:cs="Calibri"/>
          <w:color w:val="000000" w:themeColor="text1"/>
          <w:sz w:val="24"/>
          <w:szCs w:val="24"/>
        </w:rPr>
        <w:fldChar w:fldCharType="separate"/>
      </w:r>
      <w:r w:rsidR="00C152C4" w:rsidRPr="00C1349F">
        <w:rPr>
          <w:b/>
        </w:rPr>
        <w:t xml:space="preserve">Figure </w:t>
      </w:r>
      <w:r w:rsidR="00C152C4" w:rsidRPr="00C1349F">
        <w:rPr>
          <w:b/>
          <w:noProof/>
        </w:rPr>
        <w:t>1</w:t>
      </w:r>
      <w:r w:rsidR="00C152C4">
        <w:rPr>
          <w:rFonts w:cs="Calibri"/>
          <w:color w:val="000000" w:themeColor="text1"/>
          <w:sz w:val="24"/>
          <w:szCs w:val="24"/>
        </w:rPr>
        <w:fldChar w:fldCharType="end"/>
      </w:r>
      <w:r w:rsidRPr="000377CB">
        <w:rPr>
          <w:rFonts w:cs="Calibri"/>
          <w:color w:val="000000" w:themeColor="text1"/>
          <w:sz w:val="24"/>
          <w:szCs w:val="24"/>
        </w:rPr>
        <w:t>). In contrast with males, there was less of an age gradient in females after 15 years of age, with women aged 15-24 years and 75-84 years, along with the age groups in between, having similar numbers of injury deaths.</w:t>
      </w:r>
    </w:p>
    <w:p w14:paraId="4978C9C3" w14:textId="77777777" w:rsidR="00CF1B92" w:rsidRDefault="00CF1B92" w:rsidP="006851BD">
      <w:pPr>
        <w:spacing w:line="480" w:lineRule="auto"/>
        <w:ind w:firstLine="720"/>
        <w:jc w:val="both"/>
        <w:rPr>
          <w:rFonts w:cs="Calibri"/>
          <w:color w:val="000000" w:themeColor="text1"/>
          <w:sz w:val="24"/>
          <w:szCs w:val="24"/>
        </w:rPr>
      </w:pPr>
    </w:p>
    <w:p w14:paraId="526B99EF" w14:textId="1470E11D" w:rsidR="00CF1B92" w:rsidRDefault="00CF1B92" w:rsidP="006851BD">
      <w:pPr>
        <w:spacing w:line="480" w:lineRule="auto"/>
        <w:ind w:firstLine="720"/>
        <w:jc w:val="both"/>
        <w:rPr>
          <w:rFonts w:cs="Calibri"/>
          <w:color w:val="000000" w:themeColor="text1"/>
          <w:sz w:val="24"/>
          <w:szCs w:val="24"/>
        </w:rPr>
        <w:sectPr w:rsidR="00CF1B92" w:rsidSect="0083190B">
          <w:footerReference w:type="even" r:id="rId8"/>
          <w:footerReference w:type="default" r:id="rId9"/>
          <w:pgSz w:w="11900" w:h="16840"/>
          <w:pgMar w:top="1440" w:right="1440" w:bottom="1440" w:left="1440" w:header="720" w:footer="720" w:gutter="0"/>
          <w:lnNumType w:countBy="1" w:restart="continuous"/>
          <w:cols w:space="720"/>
          <w:docGrid w:linePitch="360"/>
        </w:sectPr>
      </w:pPr>
    </w:p>
    <w:p w14:paraId="55FBA691" w14:textId="63F83C47" w:rsidR="006E3FA3" w:rsidRDefault="00303D4F" w:rsidP="00303D4F">
      <w:pPr>
        <w:suppressLineNumbers/>
        <w:spacing w:line="480" w:lineRule="auto"/>
        <w:ind w:firstLine="720"/>
        <w:rPr>
          <w:rFonts w:cs="Calibri"/>
          <w:color w:val="000000" w:themeColor="text1"/>
          <w:sz w:val="24"/>
          <w:szCs w:val="24"/>
        </w:rPr>
        <w:sectPr w:rsidR="006E3FA3" w:rsidSect="008A28F6">
          <w:pgSz w:w="16840" w:h="11900" w:orient="landscape"/>
          <w:pgMar w:top="720" w:right="720" w:bottom="720" w:left="720" w:header="720" w:footer="720" w:gutter="0"/>
          <w:lnNumType w:countBy="1" w:restart="continuous"/>
          <w:cols w:space="720"/>
          <w:docGrid w:linePitch="360"/>
        </w:sectPr>
      </w:pPr>
      <w:r w:rsidRPr="0065279F">
        <w:rPr>
          <w:rFonts w:cs="Calibri"/>
          <w:i/>
          <w:noProof/>
          <w:color w:val="000000" w:themeColor="text1"/>
          <w:sz w:val="24"/>
          <w:szCs w:val="24"/>
        </w:rPr>
        <w:lastRenderedPageBreak/>
        <w:drawing>
          <wp:inline distT="0" distB="0" distL="0" distR="0" wp14:anchorId="79DA3471" wp14:editId="6828D892">
            <wp:extent cx="877824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471"/>
                    <a:stretch/>
                  </pic:blipFill>
                  <pic:spPr bwMode="auto">
                    <a:xfrm>
                      <a:off x="0" y="0"/>
                      <a:ext cx="8778240" cy="5932170"/>
                    </a:xfrm>
                    <a:prstGeom prst="rect">
                      <a:avLst/>
                    </a:prstGeom>
                    <a:ln>
                      <a:noFill/>
                    </a:ln>
                    <a:extLst>
                      <a:ext uri="{53640926-AAD7-44D8-BBD7-CCE9431645EC}">
                        <a14:shadowObscured xmlns:a14="http://schemas.microsoft.com/office/drawing/2010/main"/>
                      </a:ext>
                    </a:extLst>
                  </pic:spPr>
                </pic:pic>
              </a:graphicData>
            </a:graphic>
          </wp:inline>
        </w:drawing>
      </w:r>
      <w:r w:rsidR="005100CF">
        <w:rPr>
          <w:noProof/>
        </w:rPr>
        <mc:AlternateContent>
          <mc:Choice Requires="wps">
            <w:drawing>
              <wp:anchor distT="0" distB="0" distL="114300" distR="114300" simplePos="0" relativeHeight="251660288" behindDoc="0" locked="0" layoutInCell="1" allowOverlap="1" wp14:anchorId="71908916" wp14:editId="387D33EB">
                <wp:simplePos x="0" y="0"/>
                <wp:positionH relativeFrom="column">
                  <wp:posOffset>-77470</wp:posOffset>
                </wp:positionH>
                <wp:positionV relativeFrom="paragraph">
                  <wp:posOffset>5947947</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2D09D034" w:rsidR="00C1349F" w:rsidRPr="00AC2AD1" w:rsidRDefault="00C1349F" w:rsidP="00303D4F">
                            <w:pPr>
                              <w:suppressLineNumbers/>
                              <w:jc w:val="center"/>
                              <w:rPr>
                                <w:rFonts w:cs="Calibri"/>
                                <w:noProof/>
                              </w:rPr>
                            </w:pPr>
                            <w:bookmarkStart w:id="10"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CC3E7E">
                              <w:rPr>
                                <w:b/>
                                <w:noProof/>
                              </w:rPr>
                              <w:t>1</w:t>
                            </w:r>
                            <w:r w:rsidRPr="00C1349F">
                              <w:rPr>
                                <w:b/>
                              </w:rPr>
                              <w:fldChar w:fldCharType="end"/>
                            </w:r>
                            <w:bookmarkEnd w:id="10"/>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 xml:space="preserve">contiguous </w:t>
                            </w:r>
                            <w:r w:rsidRPr="00636C9B">
                              <w:t xml:space="preserve">USA for </w:t>
                            </w:r>
                            <w:r>
                              <w:t>1980</w:t>
                            </w:r>
                            <w:r w:rsidRPr="00636C9B">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5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ALJQzflAAAAEQEAAA8AAABkcnMvZG93bnJl&#13;&#10;di54bWxMTz1PwzAQ3SvxH6xDYqlap2lkShqnqgoMsFSELmxufI0DsR3ZThv+PS4LLCfdu3fvo9iM&#13;&#10;uiNndL61hsNingBBU1vZmobD4f15tgLigzBSdNYgh2/0sClvJoXIpb2YNzxXoSFRxPhccFAh9Dml&#13;&#10;vlaohZ/bHk28nazTIsTVNVQ6cYniuqNpkjCqRWuigxI97hTWX9WgOeyzj72aDqen1222dC+HYcc+&#13;&#10;m4rzu9vxcR3Hdg0k4Bj+PuDaIeaHMgY72sFITzoOs0WaRiqHhyW7B3JlZIxF6PgLrYCWBf3fpPwB&#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AslDN+UAAAARAQAADwAAAAAAAAAAAAAA&#13;&#10;AACFBAAAZHJzL2Rvd25yZXYueG1sUEsFBgAAAAAEAAQA8wAAAJcFAAAAAA==&#13;&#10;" stroked="f">
                <v:textbox style="mso-fit-shape-to-text:t" inset="0,0,0,0">
                  <w:txbxContent>
                    <w:p w14:paraId="2900EFF1" w14:textId="2D09D034" w:rsidR="00C1349F" w:rsidRPr="00AC2AD1" w:rsidRDefault="00C1349F" w:rsidP="00303D4F">
                      <w:pPr>
                        <w:suppressLineNumbers/>
                        <w:jc w:val="center"/>
                        <w:rPr>
                          <w:rFonts w:cs="Calibri"/>
                          <w:noProof/>
                        </w:rPr>
                      </w:pPr>
                      <w:bookmarkStart w:id="11"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CC3E7E">
                        <w:rPr>
                          <w:b/>
                          <w:noProof/>
                        </w:rPr>
                        <w:t>1</w:t>
                      </w:r>
                      <w:r w:rsidRPr="00C1349F">
                        <w:rPr>
                          <w:b/>
                        </w:rPr>
                        <w:fldChar w:fldCharType="end"/>
                      </w:r>
                      <w:bookmarkEnd w:id="11"/>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 xml:space="preserve">contiguous </w:t>
                      </w:r>
                      <w:r w:rsidRPr="00636C9B">
                        <w:t xml:space="preserve">USA for </w:t>
                      </w:r>
                      <w:r>
                        <w:t>1980</w:t>
                      </w:r>
                      <w:r w:rsidRPr="00636C9B">
                        <w:t>-2016.</w:t>
                      </w:r>
                    </w:p>
                  </w:txbxContent>
                </v:textbox>
                <w10:wrap type="topAndBottom"/>
              </v:shape>
            </w:pict>
          </mc:Fallback>
        </mc:AlternateContent>
      </w:r>
    </w:p>
    <w:p w14:paraId="5BD91F86" w14:textId="0A93D748" w:rsidR="00CB5EEE" w:rsidRPr="00E47BAD" w:rsidRDefault="00CB5EEE" w:rsidP="006E3FA3">
      <w:pPr>
        <w:spacing w:line="480" w:lineRule="auto"/>
        <w:ind w:firstLine="720"/>
        <w:jc w:val="both"/>
        <w:rPr>
          <w:rStyle w:val="apple-style-span"/>
          <w:rFonts w:cs="Calibri"/>
          <w:strike/>
          <w:color w:val="000000" w:themeColor="text1"/>
          <w:sz w:val="24"/>
          <w:szCs w:val="24"/>
        </w:rPr>
      </w:pPr>
      <w:r w:rsidRPr="00E47BAD">
        <w:rPr>
          <w:rStyle w:val="apple-style-span"/>
          <w:rFonts w:cs="Calibri"/>
          <w:strike/>
          <w:color w:val="000000" w:themeColor="text1"/>
          <w:sz w:val="24"/>
          <w:szCs w:val="24"/>
        </w:rPr>
        <w:lastRenderedPageBreak/>
        <w:t>We used data on deaths by sex, age, underlying cause of death and state of residence in the contiguous USA from 1980 to 2016 through the National Center for Health Statistics (NCHS) (</w:t>
      </w:r>
      <w:hyperlink r:id="rId11" w:history="1">
        <w:r w:rsidRPr="00E47BAD">
          <w:rPr>
            <w:rStyle w:val="Hyperlink"/>
            <w:rFonts w:cs="Calibri"/>
            <w:strike/>
            <w:sz w:val="24"/>
            <w:szCs w:val="24"/>
          </w:rPr>
          <w:t>https://www.cdc.gov/nchs/nvss/dvs_data_release.htm</w:t>
        </w:r>
      </w:hyperlink>
      <w:r w:rsidRPr="00E47BAD">
        <w:rPr>
          <w:rStyle w:val="apple-style-span"/>
          <w:rFonts w:cs="Calibri"/>
          <w:strike/>
          <w:color w:val="000000" w:themeColor="text1"/>
          <w:sz w:val="24"/>
          <w:szCs w:val="24"/>
        </w:rPr>
        <w:t xml:space="preserve">) and on population from the NCHS bridged-race dataset </w:t>
      </w:r>
      <w:r w:rsidRPr="00E47BAD">
        <w:rPr>
          <w:rFonts w:cs="Calibri"/>
          <w:strike/>
          <w:color w:val="000000" w:themeColor="text1"/>
          <w:sz w:val="24"/>
          <w:szCs w:val="24"/>
        </w:rPr>
        <w:t>for 1990 to 2016 (</w:t>
      </w:r>
      <w:hyperlink r:id="rId12" w:history="1">
        <w:r w:rsidRPr="00E47BAD">
          <w:rPr>
            <w:rStyle w:val="Hyperlink"/>
            <w:rFonts w:cs="Calibri"/>
            <w:strike/>
            <w:sz w:val="24"/>
            <w:szCs w:val="24"/>
          </w:rPr>
          <w:t>https://www.cdc.gov/nchs/nvss/bridged_race.htm</w:t>
        </w:r>
      </w:hyperlink>
      <w:r w:rsidRPr="00E47BAD">
        <w:rPr>
          <w:rFonts w:cs="Calibri"/>
          <w:strike/>
          <w:color w:val="000000" w:themeColor="text1"/>
          <w:sz w:val="24"/>
          <w:szCs w:val="24"/>
        </w:rPr>
        <w:t>) and from the US Census Bureau prior to 1990 (</w:t>
      </w:r>
      <w:hyperlink r:id="rId13" w:history="1">
        <w:r w:rsidRPr="00E47BAD">
          <w:rPr>
            <w:rStyle w:val="Hyperlink"/>
            <w:rFonts w:cs="Calibri"/>
            <w:strike/>
            <w:sz w:val="24"/>
            <w:szCs w:val="24"/>
          </w:rPr>
          <w:t>https://www.census.gov/data/developers/data-sets/popest-popproj/popest.html</w:t>
        </w:r>
      </w:hyperlink>
      <w:r w:rsidRPr="00E47BAD">
        <w:rPr>
          <w:rStyle w:val="Hyperlink"/>
          <w:rFonts w:cs="Calibri"/>
          <w:strike/>
          <w:sz w:val="24"/>
          <w:szCs w:val="24"/>
        </w:rPr>
        <w:t>)</w:t>
      </w:r>
      <w:r w:rsidRPr="00E47BAD">
        <w:rPr>
          <w:rFonts w:cs="Calibri"/>
          <w:strike/>
          <w:color w:val="000000" w:themeColor="text1"/>
          <w:sz w:val="24"/>
          <w:szCs w:val="24"/>
        </w:rPr>
        <w:t>. We calculated monthly population counts through linear interpolation, assigning each yearly count to July.</w:t>
      </w:r>
    </w:p>
    <w:p w14:paraId="630415C8" w14:textId="1D7C09C2" w:rsidR="00CB5EEE" w:rsidRPr="00E47BAD" w:rsidRDefault="00CB5EEE" w:rsidP="00E729FA">
      <w:pPr>
        <w:spacing w:line="480" w:lineRule="auto"/>
        <w:ind w:firstLine="720"/>
        <w:jc w:val="both"/>
        <w:rPr>
          <w:rFonts w:cs="Calibri"/>
          <w:strike/>
          <w:color w:val="000000" w:themeColor="text1"/>
          <w:sz w:val="24"/>
          <w:szCs w:val="24"/>
        </w:rPr>
      </w:pPr>
      <w:r w:rsidRPr="00E47BAD">
        <w:rPr>
          <w:rFonts w:cs="Calibri"/>
          <w:strike/>
          <w:color w:val="000000" w:themeColor="text1"/>
          <w:sz w:val="24"/>
          <w:szCs w:val="24"/>
        </w:rPr>
        <w:t>The underlying cause of death was coded according to the international classification of diseases (ICD) system (9</w:t>
      </w:r>
      <w:r w:rsidRPr="00E47BAD">
        <w:rPr>
          <w:rFonts w:cs="Calibri"/>
          <w:strike/>
          <w:color w:val="000000" w:themeColor="text1"/>
          <w:sz w:val="24"/>
          <w:szCs w:val="24"/>
          <w:vertAlign w:val="superscript"/>
        </w:rPr>
        <w:t>th</w:t>
      </w:r>
      <w:r w:rsidRPr="00E47BAD">
        <w:rPr>
          <w:rFonts w:cs="Calibri"/>
          <w:strike/>
          <w:color w:val="000000" w:themeColor="text1"/>
          <w:sz w:val="24"/>
          <w:szCs w:val="24"/>
        </w:rPr>
        <w:t xml:space="preserve"> revision from 1980 to 1998 and 10</w:t>
      </w:r>
      <w:r w:rsidRPr="00E47BAD">
        <w:rPr>
          <w:rFonts w:cs="Calibri"/>
          <w:strike/>
          <w:color w:val="000000" w:themeColor="text1"/>
          <w:sz w:val="24"/>
          <w:szCs w:val="24"/>
          <w:vertAlign w:val="superscript"/>
        </w:rPr>
        <w:t>th</w:t>
      </w:r>
      <w:r w:rsidRPr="00E47BAD">
        <w:rPr>
          <w:rFonts w:cs="Calibri"/>
          <w:strike/>
          <w:color w:val="000000" w:themeColor="text1"/>
          <w:sz w:val="24"/>
          <w:szCs w:val="24"/>
        </w:rPr>
        <w:t xml:space="preserve"> revision thereafter). The 5.7 million </w:t>
      </w:r>
      <w:r w:rsidRPr="00E47BAD">
        <w:rPr>
          <w:rStyle w:val="apple-style-span"/>
          <w:rFonts w:cs="Calibri"/>
          <w:strike/>
          <w:color w:val="000000" w:themeColor="text1"/>
          <w:sz w:val="24"/>
          <w:szCs w:val="24"/>
        </w:rPr>
        <w:t>injury deaths fell into six categories: transport, falls, drownings, assault, intentional self-harm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433ECD69" w14:textId="5981B01C" w:rsidR="00CB5EEE" w:rsidRPr="00CF1B92" w:rsidRDefault="00CB5EEE" w:rsidP="00E97E74">
      <w:pPr>
        <w:spacing w:line="480" w:lineRule="auto"/>
        <w:ind w:firstLine="720"/>
        <w:jc w:val="both"/>
        <w:rPr>
          <w:rFonts w:cs="Calibri"/>
          <w:color w:val="000000" w:themeColor="text1"/>
          <w:sz w:val="24"/>
          <w:szCs w:val="24"/>
        </w:rPr>
      </w:pPr>
      <w:r w:rsidRPr="00CF1B92">
        <w:rPr>
          <w:rFonts w:cs="Calibri"/>
          <w:color w:val="000000" w:themeColor="text1"/>
          <w:sz w:val="24"/>
          <w:szCs w:val="24"/>
        </w:rPr>
        <w:t>We obtained data on temperature from ERA-Interim, which combines predictions from a physical model with in-situ and satellite measurements</w:t>
      </w:r>
      <w:r w:rsidR="00C77DA4" w:rsidRPr="00CF1B92">
        <w:rPr>
          <w:rFonts w:cs="Calibri"/>
          <w:color w:val="000000" w:themeColor="text1"/>
          <w:sz w:val="24"/>
          <w:szCs w:val="24"/>
        </w:rPr>
        <w:t xml:space="preserve"> </w:t>
      </w:r>
      <w:r w:rsidRPr="00CF1B92">
        <w:rPr>
          <w:rFonts w:cs="Calibri"/>
          <w:sz w:val="24"/>
          <w:szCs w:val="24"/>
        </w:rPr>
        <w:fldChar w:fldCharType="begin" w:fldLock="1"/>
      </w:r>
      <w:r w:rsidRPr="00CF1B92">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CF1B92">
        <w:rPr>
          <w:rFonts w:cs="Calibri"/>
          <w:sz w:val="24"/>
          <w:szCs w:val="24"/>
        </w:rPr>
        <w:fldChar w:fldCharType="separate"/>
      </w:r>
      <w:r w:rsidRPr="00CF1B92">
        <w:rPr>
          <w:rFonts w:cs="Calibri"/>
          <w:noProof/>
          <w:sz w:val="24"/>
          <w:szCs w:val="24"/>
        </w:rPr>
        <w:t>(Dee et al., 2011)</w:t>
      </w:r>
      <w:r w:rsidRPr="00CF1B92">
        <w:rPr>
          <w:rFonts w:cs="Calibri"/>
          <w:sz w:val="24"/>
          <w:szCs w:val="24"/>
        </w:rPr>
        <w:fldChar w:fldCharType="end"/>
      </w:r>
      <w:r w:rsidR="00C77DA4" w:rsidRPr="00CF1B92">
        <w:rPr>
          <w:rFonts w:cs="Calibri"/>
          <w:sz w:val="24"/>
          <w:szCs w:val="24"/>
        </w:rPr>
        <w:t>.</w:t>
      </w:r>
      <w:r w:rsidRPr="00CF1B92">
        <w:rPr>
          <w:rFonts w:cs="Calibri"/>
          <w:color w:val="000000" w:themeColor="text1"/>
          <w:sz w:val="24"/>
          <w:szCs w:val="24"/>
        </w:rPr>
        <w:t xml:space="preserve"> We used gridded four-times-daily estimates at a resolution of 80 km to generate monthly population-weighted temperature by state throughout the analysis period. </w:t>
      </w:r>
      <w:r w:rsidR="00994EA6">
        <w:rPr>
          <w:rFonts w:cs="Calibri"/>
          <w:color w:val="000000" w:themeColor="text1"/>
          <w:sz w:val="24"/>
          <w:szCs w:val="24"/>
        </w:rPr>
        <w:t xml:space="preserve">Full details of the method I developed </w:t>
      </w:r>
      <w:r w:rsidR="00252EEB">
        <w:rPr>
          <w:rFonts w:cs="Calibri"/>
          <w:color w:val="000000" w:themeColor="text1"/>
          <w:sz w:val="24"/>
          <w:szCs w:val="24"/>
        </w:rPr>
        <w:t xml:space="preserve">to generate the data </w:t>
      </w:r>
      <w:r w:rsidR="00192B7E">
        <w:rPr>
          <w:rFonts w:cs="Calibri"/>
          <w:color w:val="000000" w:themeColor="text1"/>
          <w:sz w:val="24"/>
          <w:szCs w:val="24"/>
        </w:rPr>
        <w:t>can be found in</w:t>
      </w:r>
      <w:r w:rsidR="00252EEB">
        <w:rPr>
          <w:rFonts w:cs="Calibri"/>
          <w:color w:val="000000" w:themeColor="text1"/>
          <w:sz w:val="24"/>
          <w:szCs w:val="24"/>
        </w:rPr>
        <w:t xml:space="preserve"> Chapter XX.</w:t>
      </w:r>
    </w:p>
    <w:p w14:paraId="52CCE3BB" w14:textId="243A9D0E" w:rsidR="00CB5EEE" w:rsidRPr="00E47BAD" w:rsidRDefault="00CB5EEE" w:rsidP="00E97E74">
      <w:pPr>
        <w:spacing w:line="480" w:lineRule="auto"/>
        <w:ind w:firstLine="720"/>
        <w:jc w:val="both"/>
        <w:rPr>
          <w:rFonts w:cs="Calibri"/>
          <w:strike/>
          <w:color w:val="000000" w:themeColor="text1"/>
          <w:sz w:val="24"/>
          <w:szCs w:val="24"/>
        </w:rPr>
      </w:pPr>
      <w:r w:rsidRPr="00E47BAD">
        <w:rPr>
          <w:rFonts w:cs="Calibri"/>
          <w:strike/>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9349B0" w:rsidRPr="00E47BAD">
        <w:rPr>
          <w:rFonts w:cs="Calibri"/>
          <w:strike/>
          <w:sz w:val="24"/>
          <w:szCs w:val="24"/>
        </w:rPr>
        <w:t xml:space="preserve"> </w:t>
      </w:r>
      <w:r w:rsidRPr="00E47BAD">
        <w:rPr>
          <w:rFonts w:cs="Calibri"/>
          <w:strike/>
          <w:sz w:val="24"/>
          <w:szCs w:val="24"/>
        </w:rPr>
        <w:lastRenderedPageBreak/>
        <w:fldChar w:fldCharType="begin" w:fldLock="1"/>
      </w:r>
      <w:r w:rsidRPr="00E47BAD">
        <w:rPr>
          <w:rFonts w:cs="Calibri"/>
          <w:strike/>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2006)","previouslyFormattedCitation":"&lt;sup&gt;38&lt;/sup&gt;"},"properties":{"noteIndex":0},"schema":"https://github.com/citation-style-language/schema/raw/master/csl-citation.json"}</w:instrText>
      </w:r>
      <w:r w:rsidRPr="00E47BAD">
        <w:rPr>
          <w:rFonts w:cs="Calibri"/>
          <w:strike/>
          <w:sz w:val="24"/>
          <w:szCs w:val="24"/>
        </w:rPr>
        <w:fldChar w:fldCharType="separate"/>
      </w:r>
      <w:r w:rsidRPr="00E47BAD">
        <w:rPr>
          <w:rFonts w:cs="Calibri"/>
          <w:strike/>
          <w:noProof/>
          <w:sz w:val="24"/>
          <w:szCs w:val="24"/>
        </w:rPr>
        <w:t>(Wallace &amp; Hobbs, 2006)</w:t>
      </w:r>
      <w:r w:rsidRPr="00E47BAD">
        <w:rPr>
          <w:rFonts w:cs="Calibri"/>
          <w:strike/>
          <w:sz w:val="24"/>
          <w:szCs w:val="24"/>
        </w:rPr>
        <w:fldChar w:fldCharType="end"/>
      </w:r>
      <w:r w:rsidR="009349B0" w:rsidRPr="00E47BAD">
        <w:rPr>
          <w:rFonts w:cs="Calibri"/>
          <w:strike/>
          <w:sz w:val="24"/>
          <w:szCs w:val="24"/>
        </w:rPr>
        <w:t>.</w:t>
      </w:r>
      <w:r w:rsidRPr="00E47BAD">
        <w:rPr>
          <w:rFonts w:cs="Calibri"/>
          <w:strike/>
          <w:sz w:val="24"/>
          <w:szCs w:val="24"/>
        </w:rPr>
        <w:t xml:space="preserve"> We subtracted these long-term norm temperatures from respective monthly temperature values to generate a temperature anomaly time series for each month and year in each state (Figure 3).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1949598C" w14:textId="77777777" w:rsidR="00CB5EEE" w:rsidRPr="000377CB" w:rsidRDefault="00CB5EEE" w:rsidP="00E97E74">
      <w:pPr>
        <w:pStyle w:val="Heading2"/>
      </w:pPr>
      <w:bookmarkStart w:id="12" w:name="_Toc6171730"/>
      <w:r w:rsidRPr="000377CB">
        <w:t>Statistical methods</w:t>
      </w:r>
      <w:bookmarkEnd w:id="12"/>
    </w:p>
    <w:p w14:paraId="61612A4A" w14:textId="009C7CAD"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formulated a Bayesian spatio-temporal model 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2004)","previouslyFormattedCitation":"&lt;sup&gt;11,12,39&lt;/sup&gt;"},"properties":{"noteIndex":0},"schema":"https://github.com/citation-style-language/schema/raw/master/csl-citation.json"}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(Lozano et al., 2012; Parks et al., 2018; Rau, 2004)</w:t>
      </w:r>
      <w:r w:rsidRPr="000377CB">
        <w:rPr>
          <w:rFonts w:cs="Calibri"/>
          <w:color w:val="000000" w:themeColor="text1"/>
          <w:sz w:val="24"/>
          <w:szCs w:val="24"/>
        </w:rPr>
        <w:fldChar w:fldCharType="end"/>
      </w:r>
      <w:r w:rsidRPr="000377CB">
        <w:rPr>
          <w:rFonts w:cs="Calibri"/>
          <w:color w:val="000000" w:themeColor="text1"/>
          <w:sz w:val="24"/>
          <w:szCs w:val="24"/>
        </w:rPr>
        <w:t xml:space="preserve"> as might their associations with temperature.</w:t>
      </w:r>
      <w:r w:rsidR="001B7712">
        <w:rPr>
          <w:rFonts w:cs="Calibri"/>
          <w:color w:val="000000" w:themeColor="text1"/>
          <w:sz w:val="24"/>
          <w:szCs w:val="24"/>
        </w:rPr>
        <w:t xml:space="preserve"> Full details of the model can be found in Chapter XX.</w:t>
      </w:r>
    </w:p>
    <w:p w14:paraId="081CF101" w14:textId="74D77D11" w:rsidR="00CB5EEE" w:rsidRPr="001B7712" w:rsidRDefault="00CB5EEE" w:rsidP="003A4AB3">
      <w:pPr>
        <w:spacing w:line="480" w:lineRule="auto"/>
        <w:ind w:firstLine="720"/>
        <w:jc w:val="both"/>
        <w:rPr>
          <w:rFonts w:cs="Calibri"/>
          <w:strike/>
          <w:color w:val="000000" w:themeColor="text1"/>
          <w:sz w:val="24"/>
          <w:szCs w:val="24"/>
        </w:rPr>
      </w:pPr>
      <w:r w:rsidRPr="001B7712">
        <w:rPr>
          <w:rFonts w:cs="Calibri"/>
          <w:strike/>
          <w:color w:val="000000" w:themeColor="text1"/>
          <w:sz w:val="24"/>
          <w:szCs w:val="24"/>
        </w:rPr>
        <w:t>We modelled the number of deaths in each year as following a Poisson distribution:</w:t>
      </w:r>
    </w:p>
    <w:p w14:paraId="615B274B" w14:textId="3FD6CAAE" w:rsidR="00CB5EEE" w:rsidRPr="001B7712" w:rsidRDefault="00B93194" w:rsidP="00CB5EEE">
      <w:pPr>
        <w:spacing w:line="480" w:lineRule="auto"/>
        <w:jc w:val="both"/>
        <w:rPr>
          <w:rFonts w:cs="Calibri"/>
          <w:strike/>
          <w:color w:val="000000" w:themeColor="text1"/>
          <w:sz w:val="24"/>
          <w:szCs w:val="24"/>
        </w:rPr>
      </w:pPr>
      <m:oMathPara>
        <m:oMath>
          <m:sSub>
            <m:sSubPr>
              <m:ctrlPr>
                <w:rPr>
                  <w:rFonts w:ascii="Cambria Math" w:hAnsi="Cambria Math" w:cs="Calibri"/>
                  <w:i/>
                  <w:strike/>
                  <w:color w:val="000000" w:themeColor="text1"/>
                  <w:sz w:val="24"/>
                  <w:szCs w:val="24"/>
                </w:rPr>
              </m:ctrlPr>
            </m:sSubPr>
            <m:e>
              <m:r>
                <w:rPr>
                  <w:rFonts w:ascii="Cambria Math" w:hAnsi="Cambria Math" w:cs="Calibri"/>
                  <w:strike/>
                  <w:color w:val="000000" w:themeColor="text1"/>
                  <w:sz w:val="24"/>
                  <w:szCs w:val="24"/>
                </w:rPr>
                <m:t>deaths</m:t>
              </m:r>
            </m:e>
            <m:sub>
              <m:r>
                <w:rPr>
                  <w:rFonts w:ascii="Cambria Math" w:hAnsi="Cambria Math" w:cs="Calibri"/>
                  <w:strike/>
                  <w:color w:val="000000" w:themeColor="text1"/>
                  <w:sz w:val="24"/>
                  <w:szCs w:val="24"/>
                </w:rPr>
                <m:t>state-month-year</m:t>
              </m:r>
            </m:sub>
          </m:sSub>
          <m:r>
            <w:rPr>
              <w:rFonts w:ascii="Cambria Math" w:hAnsi="Cambria Math" w:cs="Calibri"/>
              <w:strike/>
              <w:color w:val="000000" w:themeColor="text1"/>
              <w:sz w:val="24"/>
              <w:szCs w:val="24"/>
            </w:rPr>
            <m:t xml:space="preserve"> ~ Poisson(</m:t>
          </m:r>
          <m:sSub>
            <m:sSubPr>
              <m:ctrlPr>
                <w:rPr>
                  <w:rFonts w:ascii="Cambria Math" w:hAnsi="Cambria Math" w:cs="Calibri"/>
                  <w:i/>
                  <w:strike/>
                  <w:color w:val="000000" w:themeColor="text1"/>
                  <w:sz w:val="24"/>
                  <w:szCs w:val="24"/>
                </w:rPr>
              </m:ctrlPr>
            </m:sSubPr>
            <m:e>
              <m:r>
                <w:rPr>
                  <w:rFonts w:ascii="Cambria Math" w:hAnsi="Cambria Math" w:cs="Calibri"/>
                  <w:strike/>
                  <w:color w:val="000000" w:themeColor="text1"/>
                  <w:sz w:val="24"/>
                  <w:szCs w:val="24"/>
                </w:rPr>
                <m:t>death rate</m:t>
              </m:r>
            </m:e>
            <m:sub>
              <m:r>
                <w:rPr>
                  <w:rFonts w:ascii="Cambria Math" w:hAnsi="Cambria Math" w:cs="Calibri"/>
                  <w:strike/>
                  <w:color w:val="000000" w:themeColor="text1"/>
                  <w:sz w:val="24"/>
                  <w:szCs w:val="24"/>
                </w:rPr>
                <m:t>state-month-year</m:t>
              </m:r>
            </m:sub>
          </m:sSub>
          <m:r>
            <w:rPr>
              <w:rFonts w:ascii="Cambria Math" w:hAnsi="Cambria Math" w:cs="Calibri"/>
              <w:strike/>
              <w:color w:val="000000" w:themeColor="text1"/>
              <w:sz w:val="24"/>
              <w:szCs w:val="24"/>
            </w:rPr>
            <m:t xml:space="preserve"> . </m:t>
          </m:r>
          <m:sSub>
            <m:sSubPr>
              <m:ctrlPr>
                <w:rPr>
                  <w:rFonts w:ascii="Cambria Math" w:hAnsi="Cambria Math" w:cs="Calibri"/>
                  <w:i/>
                  <w:strike/>
                  <w:color w:val="000000" w:themeColor="text1"/>
                  <w:sz w:val="24"/>
                  <w:szCs w:val="24"/>
                </w:rPr>
              </m:ctrlPr>
            </m:sSubPr>
            <m:e>
              <m:r>
                <w:rPr>
                  <w:rFonts w:ascii="Cambria Math" w:hAnsi="Cambria Math" w:cs="Calibri"/>
                  <w:strike/>
                  <w:color w:val="000000" w:themeColor="text1"/>
                  <w:sz w:val="24"/>
                  <w:szCs w:val="24"/>
                </w:rPr>
                <m:t>population</m:t>
              </m:r>
            </m:e>
            <m:sub>
              <m:r>
                <w:rPr>
                  <w:rFonts w:ascii="Cambria Math" w:hAnsi="Cambria Math" w:cs="Calibri"/>
                  <w:strike/>
                  <w:color w:val="000000" w:themeColor="text1"/>
                  <w:sz w:val="24"/>
                  <w:szCs w:val="24"/>
                </w:rPr>
                <m:t>state-month-year</m:t>
              </m:r>
            </m:sub>
          </m:sSub>
          <m:r>
            <w:rPr>
              <w:rFonts w:ascii="Cambria Math" w:hAnsi="Cambria Math" w:cs="Calibri"/>
              <w:strike/>
              <w:color w:val="000000" w:themeColor="text1"/>
              <w:sz w:val="24"/>
              <w:szCs w:val="24"/>
            </w:rPr>
            <m:t>)</m:t>
          </m:r>
        </m:oMath>
      </m:oMathPara>
    </w:p>
    <w:p w14:paraId="60A49D77" w14:textId="5026F1B1" w:rsidR="00CB5EEE" w:rsidRPr="001B7712" w:rsidRDefault="00CB5EEE" w:rsidP="00CB5EEE">
      <w:pPr>
        <w:spacing w:line="480" w:lineRule="auto"/>
        <w:jc w:val="both"/>
        <w:rPr>
          <w:rFonts w:cs="Calibri"/>
          <w:strike/>
          <w:color w:val="000000" w:themeColor="text1"/>
          <w:sz w:val="24"/>
          <w:szCs w:val="24"/>
        </w:rPr>
      </w:pPr>
      <w:r w:rsidRPr="001B7712">
        <w:rPr>
          <w:rFonts w:cs="Calibri"/>
          <w:strike/>
          <w:color w:val="000000" w:themeColor="text1"/>
          <w:sz w:val="24"/>
          <w:szCs w:val="24"/>
        </w:rPr>
        <w:t>with log-transformed death rates modelled as a sum of components that depend on location (state) of death, month of year, overall time (month and year) and temperature anomaly:</w:t>
      </w:r>
    </w:p>
    <w:p w14:paraId="1311BCBE" w14:textId="3C682660" w:rsidR="00CB5EEE" w:rsidRPr="001B7712" w:rsidRDefault="00B93194" w:rsidP="003A4AB3">
      <w:pPr>
        <w:spacing w:line="240" w:lineRule="auto"/>
        <w:jc w:val="both"/>
        <w:rPr>
          <w:rFonts w:cs="Calibri"/>
          <w:strike/>
          <w:color w:val="000000" w:themeColor="text1"/>
          <w:sz w:val="24"/>
          <w:szCs w:val="24"/>
        </w:rPr>
      </w:pPr>
      <m:oMathPara>
        <m:oMath>
          <m:func>
            <m:funcPr>
              <m:ctrlPr>
                <w:rPr>
                  <w:rFonts w:ascii="Cambria Math" w:hAnsi="Cambria Math" w:cs="Calibri"/>
                  <w:i/>
                  <w:strike/>
                  <w:color w:val="000000" w:themeColor="text1"/>
                  <w:sz w:val="24"/>
                  <w:szCs w:val="24"/>
                </w:rPr>
              </m:ctrlPr>
            </m:funcPr>
            <m:fName>
              <m:r>
                <m:rPr>
                  <m:sty m:val="p"/>
                </m:rPr>
                <w:rPr>
                  <w:rFonts w:ascii="Cambria Math" w:hAnsi="Cambria Math" w:cs="Calibri"/>
                  <w:strike/>
                  <w:color w:val="000000" w:themeColor="text1"/>
                  <w:sz w:val="24"/>
                  <w:szCs w:val="24"/>
                </w:rPr>
                <m:t>log</m:t>
              </m:r>
            </m:fName>
            <m:e>
              <m:d>
                <m:dPr>
                  <m:ctrlPr>
                    <w:rPr>
                      <w:rFonts w:ascii="Cambria Math" w:hAnsi="Cambria Math" w:cs="Calibri"/>
                      <w:i/>
                      <w:strike/>
                      <w:color w:val="000000" w:themeColor="text1"/>
                      <w:sz w:val="24"/>
                      <w:szCs w:val="24"/>
                    </w:rPr>
                  </m:ctrlPr>
                </m:dPr>
                <m:e>
                  <m:sSub>
                    <m:sSubPr>
                      <m:ctrlPr>
                        <w:rPr>
                          <w:rFonts w:ascii="Cambria Math" w:hAnsi="Cambria Math" w:cs="Calibri"/>
                          <w:i/>
                          <w:strike/>
                          <w:color w:val="000000" w:themeColor="text1"/>
                          <w:sz w:val="24"/>
                          <w:szCs w:val="24"/>
                        </w:rPr>
                      </m:ctrlPr>
                    </m:sSubPr>
                    <m:e>
                      <m:r>
                        <w:rPr>
                          <w:rFonts w:ascii="Cambria Math" w:hAnsi="Cambria Math" w:cs="Calibri"/>
                          <w:strike/>
                          <w:color w:val="000000" w:themeColor="text1"/>
                          <w:sz w:val="24"/>
                          <w:szCs w:val="24"/>
                        </w:rPr>
                        <m:t>death rate</m:t>
                      </m:r>
                    </m:e>
                    <m:sub>
                      <m:r>
                        <w:rPr>
                          <w:rFonts w:ascii="Cambria Math" w:hAnsi="Cambria Math" w:cs="Calibri"/>
                          <w:strike/>
                          <w:color w:val="000000" w:themeColor="text1"/>
                          <w:sz w:val="24"/>
                          <w:szCs w:val="24"/>
                        </w:rPr>
                        <m:t>state-month-year</m:t>
                      </m:r>
                    </m:sub>
                  </m:sSub>
                  <m:r>
                    <w:rPr>
                      <w:rFonts w:ascii="Cambria Math" w:hAnsi="Cambria Math" w:cs="Calibri"/>
                      <w:strike/>
                      <w:color w:val="000000" w:themeColor="text1"/>
                      <w:sz w:val="24"/>
                      <w:szCs w:val="24"/>
                    </w:rPr>
                    <m:t xml:space="preserve"> </m:t>
                  </m:r>
                </m:e>
              </m:d>
            </m:e>
          </m:func>
          <m:r>
            <m:rPr>
              <m:aln/>
            </m:rPr>
            <w:rPr>
              <w:rFonts w:ascii="Cambria Math" w:hAnsi="Cambria Math" w:cs="Calibri"/>
              <w:strike/>
              <w:color w:val="000000" w:themeColor="text1"/>
              <w:sz w:val="24"/>
              <w:szCs w:val="24"/>
            </w:rPr>
            <m:t xml:space="preserve">= </m:t>
          </m:r>
          <m:r>
            <m:rPr>
              <m:sty m:val="p"/>
            </m:rPr>
            <w:rPr>
              <w:rFonts w:ascii="Cambria Math" w:hAnsi="Cambria Math" w:cs="Calibri"/>
              <w:strike/>
              <w:color w:val="000000" w:themeColor="text1"/>
              <w:sz w:val="24"/>
              <w:szCs w:val="24"/>
            </w:rPr>
            <w:br/>
          </m:r>
        </m:oMath>
        <m:oMath>
          <m:sSub>
            <m:sSubPr>
              <m:ctrlPr>
                <w:rPr>
                  <w:rFonts w:ascii="Cambria Math" w:hAnsi="Cambria Math" w:cs="Calibri"/>
                  <w:i/>
                  <w:strike/>
                  <w:sz w:val="24"/>
                  <w:szCs w:val="24"/>
                </w:rPr>
              </m:ctrlPr>
            </m:sSubPr>
            <m:e>
              <m:r>
                <w:rPr>
                  <w:rFonts w:ascii="Cambria Math" w:hAnsi="Cambria Math" w:cs="Calibri"/>
                  <w:strike/>
                  <w:sz w:val="24"/>
                  <w:szCs w:val="24"/>
                </w:rPr>
                <m:t>α</m:t>
              </m:r>
            </m:e>
            <m:sub>
              <m:r>
                <w:rPr>
                  <w:rFonts w:ascii="Cambria Math" w:hAnsi="Cambria Math" w:cs="Calibri"/>
                  <w:strike/>
                  <w:sz w:val="24"/>
                  <w:szCs w:val="24"/>
                </w:rPr>
                <m:t>0</m:t>
              </m:r>
            </m:sub>
          </m:sSub>
          <m:r>
            <w:rPr>
              <w:rFonts w:ascii="Cambria Math" w:hAnsi="Cambria Math" w:cs="Calibri"/>
              <w:strike/>
              <w:sz w:val="24"/>
              <w:szCs w:val="24"/>
              <w:vertAlign w:val="subscript"/>
            </w:rPr>
            <m:t xml:space="preserve"> </m:t>
          </m:r>
          <m:r>
            <w:rPr>
              <w:rFonts w:ascii="Cambria Math" w:hAnsi="Cambria Math" w:cs="Calibri"/>
              <w:strike/>
              <w:sz w:val="24"/>
              <w:szCs w:val="24"/>
            </w:rPr>
            <m:t xml:space="preserve">+ </m:t>
          </m:r>
          <m:sSub>
            <m:sSubPr>
              <m:ctrlPr>
                <w:rPr>
                  <w:rFonts w:ascii="Cambria Math" w:hAnsi="Cambria Math" w:cs="Calibri"/>
                  <w:i/>
                  <w:strike/>
                  <w:sz w:val="24"/>
                  <w:szCs w:val="24"/>
                </w:rPr>
              </m:ctrlPr>
            </m:sSubPr>
            <m:e>
              <m:r>
                <w:rPr>
                  <w:rFonts w:ascii="Cambria Math" w:hAnsi="Cambria Math" w:cs="Calibri"/>
                  <w:strike/>
                  <w:sz w:val="24"/>
                  <w:szCs w:val="24"/>
                </w:rPr>
                <m:t>β</m:t>
              </m:r>
            </m:e>
            <m:sub>
              <m:r>
                <w:rPr>
                  <w:rFonts w:ascii="Cambria Math" w:hAnsi="Cambria Math" w:cs="Calibri"/>
                  <w:strike/>
                  <w:sz w:val="24"/>
                  <w:szCs w:val="24"/>
                </w:rPr>
                <m:t>0</m:t>
              </m:r>
            </m:sub>
          </m:sSub>
          <m:r>
            <w:rPr>
              <w:rFonts w:ascii="Cambria Math" w:hAnsi="Cambria Math" w:cs="Calibri"/>
              <w:strike/>
              <w:sz w:val="24"/>
              <w:szCs w:val="24"/>
            </w:rPr>
            <m:t>·</m:t>
          </m:r>
          <m:d>
            <m:dPr>
              <m:ctrlPr>
                <w:rPr>
                  <w:rFonts w:ascii="Cambria Math" w:hAnsi="Cambria Math" w:cs="Calibri"/>
                  <w:i/>
                  <w:strike/>
                  <w:sz w:val="24"/>
                  <w:szCs w:val="24"/>
                </w:rPr>
              </m:ctrlPr>
            </m:dPr>
            <m:e>
              <m:r>
                <w:rPr>
                  <w:rFonts w:ascii="Cambria Math" w:hAnsi="Cambria Math" w:cs="Calibri"/>
                  <w:strike/>
                  <w:sz w:val="24"/>
                  <w:szCs w:val="24"/>
                </w:rPr>
                <m:t>month</m:t>
              </m:r>
              <m:r>
                <w:rPr>
                  <w:rFonts w:ascii="Cambria Math" w:hAnsi="Cambria Math" w:cs="Calibri"/>
                  <w:strike/>
                  <w:color w:val="000000" w:themeColor="text1"/>
                  <w:sz w:val="24"/>
                  <w:szCs w:val="24"/>
                </w:rPr>
                <m:t>-</m:t>
              </m:r>
              <m:r>
                <w:rPr>
                  <w:rFonts w:ascii="Cambria Math" w:hAnsi="Cambria Math" w:cs="Calibri"/>
                  <w:strike/>
                  <w:sz w:val="24"/>
                  <w:szCs w:val="24"/>
                </w:rPr>
                <m:t>year</m:t>
              </m:r>
            </m:e>
          </m:d>
          <m:r>
            <m:rPr>
              <m:sty m:val="p"/>
              <m:aln/>
            </m:rPr>
            <w:rPr>
              <w:rFonts w:ascii="Cambria Math" w:hAnsi="Cambria Math" w:cs="Calibri"/>
              <w:strike/>
              <w:sz w:val="24"/>
              <w:szCs w:val="24"/>
            </w:rPr>
            <m:t>+</m:t>
          </m:r>
          <m:r>
            <m:rPr>
              <m:sty m:val="p"/>
            </m:rPr>
            <w:rPr>
              <w:rFonts w:ascii="Cambria Math" w:hAnsi="Cambria Math" w:cs="Calibri"/>
              <w:strike/>
              <w:color w:val="000000" w:themeColor="text1"/>
              <w:sz w:val="24"/>
              <w:szCs w:val="24"/>
            </w:rPr>
            <w:br/>
          </m:r>
        </m:oMath>
        <m:oMath>
          <m:sSub>
            <m:sSubPr>
              <m:ctrlPr>
                <w:rPr>
                  <w:rFonts w:ascii="Cambria Math" w:hAnsi="Cambria Math" w:cs="Calibri"/>
                  <w:i/>
                  <w:strike/>
                  <w:sz w:val="24"/>
                  <w:szCs w:val="24"/>
                </w:rPr>
              </m:ctrlPr>
            </m:sSubPr>
            <m:e>
              <m:r>
                <w:rPr>
                  <w:rFonts w:ascii="Cambria Math" w:hAnsi="Cambria Math" w:cs="Calibri"/>
                  <w:strike/>
                  <w:sz w:val="24"/>
                  <w:szCs w:val="24"/>
                </w:rPr>
                <m:t>α</m:t>
              </m:r>
            </m:e>
            <m:sub>
              <m:r>
                <w:rPr>
                  <w:rFonts w:ascii="Cambria Math" w:hAnsi="Cambria Math" w:cs="Calibri"/>
                  <w:strike/>
                  <w:sz w:val="24"/>
                  <w:szCs w:val="24"/>
                </w:rPr>
                <m:t>state</m:t>
              </m:r>
            </m:sub>
          </m:sSub>
          <m:r>
            <w:rPr>
              <w:rFonts w:ascii="Cambria Math" w:hAnsi="Cambria Math" w:cs="Calibri"/>
              <w:strike/>
              <w:sz w:val="24"/>
              <w:szCs w:val="24"/>
              <w:vertAlign w:val="subscript"/>
            </w:rPr>
            <m:t xml:space="preserve"> </m:t>
          </m:r>
          <m:r>
            <w:rPr>
              <w:rFonts w:ascii="Cambria Math" w:hAnsi="Cambria Math" w:cs="Calibri"/>
              <w:strike/>
              <w:sz w:val="24"/>
              <w:szCs w:val="24"/>
            </w:rPr>
            <m:t xml:space="preserve">+ </m:t>
          </m:r>
          <m:sSub>
            <m:sSubPr>
              <m:ctrlPr>
                <w:rPr>
                  <w:rFonts w:ascii="Cambria Math" w:hAnsi="Cambria Math" w:cs="Calibri"/>
                  <w:i/>
                  <w:strike/>
                  <w:sz w:val="24"/>
                  <w:szCs w:val="24"/>
                </w:rPr>
              </m:ctrlPr>
            </m:sSubPr>
            <m:e>
              <m:r>
                <w:rPr>
                  <w:rFonts w:ascii="Cambria Math" w:hAnsi="Cambria Math" w:cs="Calibri"/>
                  <w:strike/>
                  <w:sz w:val="24"/>
                  <w:szCs w:val="24"/>
                </w:rPr>
                <m:t>β</m:t>
              </m:r>
            </m:e>
            <m:sub>
              <m:r>
                <w:rPr>
                  <w:rFonts w:ascii="Cambria Math" w:hAnsi="Cambria Math" w:cs="Calibri"/>
                  <w:strike/>
                  <w:sz w:val="24"/>
                  <w:szCs w:val="24"/>
                </w:rPr>
                <m:t>state</m:t>
              </m:r>
            </m:sub>
          </m:sSub>
          <m:r>
            <w:rPr>
              <w:rFonts w:ascii="Cambria Math" w:hAnsi="Cambria Math" w:cs="Calibri"/>
              <w:strike/>
              <w:sz w:val="24"/>
              <w:szCs w:val="24"/>
            </w:rPr>
            <m:t>·</m:t>
          </m:r>
          <m:d>
            <m:dPr>
              <m:ctrlPr>
                <w:rPr>
                  <w:rFonts w:ascii="Cambria Math" w:hAnsi="Cambria Math" w:cs="Calibri"/>
                  <w:i/>
                  <w:strike/>
                  <w:sz w:val="24"/>
                  <w:szCs w:val="24"/>
                </w:rPr>
              </m:ctrlPr>
            </m:dPr>
            <m:e>
              <m:r>
                <w:rPr>
                  <w:rFonts w:ascii="Cambria Math" w:hAnsi="Cambria Math" w:cs="Calibri"/>
                  <w:strike/>
                  <w:sz w:val="24"/>
                  <w:szCs w:val="24"/>
                </w:rPr>
                <m:t>month-year</m:t>
              </m:r>
            </m:e>
          </m:d>
          <m:r>
            <m:rPr>
              <m:sty m:val="p"/>
              <m:aln/>
            </m:rPr>
            <w:rPr>
              <w:rFonts w:ascii="Cambria Math" w:hAnsi="Cambria Math" w:cs="Calibri"/>
              <w:strike/>
              <w:sz w:val="24"/>
              <w:szCs w:val="24"/>
            </w:rPr>
            <m:t>+</m:t>
          </m:r>
          <m:r>
            <m:rPr>
              <m:sty m:val="p"/>
            </m:rPr>
            <w:rPr>
              <w:rFonts w:ascii="Cambria Math" w:hAnsi="Cambria Math" w:cs="Calibri"/>
              <w:strike/>
              <w:color w:val="000000" w:themeColor="text1"/>
              <w:sz w:val="24"/>
              <w:szCs w:val="24"/>
            </w:rPr>
            <w:br/>
          </m:r>
        </m:oMath>
        <m:oMath>
          <m:sSub>
            <m:sSubPr>
              <m:ctrlPr>
                <w:rPr>
                  <w:rFonts w:ascii="Cambria Math" w:hAnsi="Cambria Math" w:cs="Calibri"/>
                  <w:i/>
                  <w:strike/>
                  <w:sz w:val="24"/>
                  <w:szCs w:val="24"/>
                </w:rPr>
              </m:ctrlPr>
            </m:sSubPr>
            <m:e>
              <m:r>
                <w:rPr>
                  <w:rFonts w:ascii="Cambria Math" w:hAnsi="Cambria Math" w:cs="Calibri"/>
                  <w:strike/>
                  <w:sz w:val="24"/>
                  <w:szCs w:val="24"/>
                </w:rPr>
                <m:t>α</m:t>
              </m:r>
            </m:e>
            <m:sub>
              <m:r>
                <w:rPr>
                  <w:rFonts w:ascii="Cambria Math" w:hAnsi="Cambria Math" w:cs="Calibri"/>
                  <w:strike/>
                  <w:sz w:val="24"/>
                  <w:szCs w:val="24"/>
                </w:rPr>
                <m:t>month</m:t>
              </m:r>
            </m:sub>
          </m:sSub>
          <m:r>
            <w:rPr>
              <w:rFonts w:ascii="Cambria Math" w:hAnsi="Cambria Math" w:cs="Calibri"/>
              <w:strike/>
              <w:sz w:val="24"/>
              <w:szCs w:val="24"/>
              <w:vertAlign w:val="subscript"/>
            </w:rPr>
            <m:t xml:space="preserve"> </m:t>
          </m:r>
          <m:r>
            <w:rPr>
              <w:rFonts w:ascii="Cambria Math" w:hAnsi="Cambria Math" w:cs="Calibri"/>
              <w:strike/>
              <w:sz w:val="24"/>
              <w:szCs w:val="24"/>
            </w:rPr>
            <m:t xml:space="preserve">+ </m:t>
          </m:r>
          <m:sSub>
            <m:sSubPr>
              <m:ctrlPr>
                <w:rPr>
                  <w:rFonts w:ascii="Cambria Math" w:hAnsi="Cambria Math" w:cs="Calibri"/>
                  <w:i/>
                  <w:strike/>
                  <w:sz w:val="24"/>
                  <w:szCs w:val="24"/>
                </w:rPr>
              </m:ctrlPr>
            </m:sSubPr>
            <m:e>
              <m:r>
                <w:rPr>
                  <w:rFonts w:ascii="Cambria Math" w:hAnsi="Cambria Math" w:cs="Calibri"/>
                  <w:strike/>
                  <w:sz w:val="24"/>
                  <w:szCs w:val="24"/>
                </w:rPr>
                <m:t>β</m:t>
              </m:r>
            </m:e>
            <m:sub>
              <m:r>
                <w:rPr>
                  <w:rFonts w:ascii="Cambria Math" w:hAnsi="Cambria Math" w:cs="Calibri"/>
                  <w:strike/>
                  <w:sz w:val="24"/>
                  <w:szCs w:val="24"/>
                </w:rPr>
                <m:t>month</m:t>
              </m:r>
            </m:sub>
          </m:sSub>
          <m:r>
            <w:rPr>
              <w:rFonts w:ascii="Cambria Math" w:hAnsi="Cambria Math" w:cs="Calibri"/>
              <w:strike/>
              <w:sz w:val="24"/>
              <w:szCs w:val="24"/>
            </w:rPr>
            <m:t>·</m:t>
          </m:r>
          <m:d>
            <m:dPr>
              <m:ctrlPr>
                <w:rPr>
                  <w:rFonts w:ascii="Cambria Math" w:hAnsi="Cambria Math" w:cs="Calibri"/>
                  <w:i/>
                  <w:strike/>
                  <w:sz w:val="24"/>
                  <w:szCs w:val="24"/>
                </w:rPr>
              </m:ctrlPr>
            </m:dPr>
            <m:e>
              <m:r>
                <w:rPr>
                  <w:rFonts w:ascii="Cambria Math" w:hAnsi="Cambria Math" w:cs="Calibri"/>
                  <w:strike/>
                  <w:sz w:val="24"/>
                  <w:szCs w:val="24"/>
                </w:rPr>
                <m:t>month-year</m:t>
              </m:r>
            </m:e>
          </m:d>
          <m:r>
            <m:rPr>
              <m:sty m:val="p"/>
              <m:aln/>
            </m:rPr>
            <w:rPr>
              <w:rFonts w:ascii="Cambria Math" w:hAnsi="Cambria Math" w:cs="Calibri"/>
              <w:strike/>
              <w:sz w:val="24"/>
              <w:szCs w:val="24"/>
            </w:rPr>
            <m:t>+</m:t>
          </m:r>
          <m:r>
            <m:rPr>
              <m:sty m:val="p"/>
            </m:rPr>
            <w:rPr>
              <w:rFonts w:ascii="Cambria Math" w:hAnsi="Cambria Math" w:cs="Calibri"/>
              <w:strike/>
              <w:color w:val="000000" w:themeColor="text1"/>
              <w:sz w:val="24"/>
              <w:szCs w:val="24"/>
            </w:rPr>
            <w:br/>
          </m:r>
        </m:oMath>
        <m:oMath>
          <m:sSub>
            <m:sSubPr>
              <m:ctrlPr>
                <w:rPr>
                  <w:rFonts w:ascii="Cambria Math" w:hAnsi="Cambria Math" w:cs="Calibri"/>
                  <w:i/>
                  <w:strike/>
                  <w:color w:val="000000" w:themeColor="text1"/>
                  <w:sz w:val="24"/>
                  <w:szCs w:val="24"/>
                </w:rPr>
              </m:ctrlPr>
            </m:sSubPr>
            <m:e>
              <m:r>
                <w:rPr>
                  <w:rFonts w:ascii="Cambria Math" w:hAnsi="Cambria Math" w:cs="Calibri"/>
                  <w:strike/>
                  <w:color w:val="000000" w:themeColor="text1"/>
                  <w:sz w:val="24"/>
                  <w:szCs w:val="24"/>
                </w:rPr>
                <m:t>ζ</m:t>
              </m:r>
            </m:e>
            <m:sub>
              <m:r>
                <w:rPr>
                  <w:rFonts w:ascii="Cambria Math" w:hAnsi="Cambria Math" w:cs="Calibri"/>
                  <w:strike/>
                  <w:color w:val="000000" w:themeColor="text1"/>
                  <w:sz w:val="24"/>
                  <w:szCs w:val="24"/>
                </w:rPr>
                <m:t>state-month</m:t>
              </m:r>
            </m:sub>
          </m:sSub>
          <m:r>
            <m:rPr>
              <m:aln/>
            </m:rPr>
            <w:rPr>
              <w:rFonts w:ascii="Cambria Math" w:hAnsi="Cambria Math" w:cs="Calibri"/>
              <w:strike/>
              <w:color w:val="000000" w:themeColor="text1"/>
              <w:sz w:val="24"/>
              <w:szCs w:val="24"/>
            </w:rPr>
            <m:t xml:space="preserve">+ </m:t>
          </m:r>
          <m:r>
            <m:rPr>
              <m:sty m:val="p"/>
            </m:rPr>
            <w:rPr>
              <w:rFonts w:ascii="Cambria Math" w:hAnsi="Cambria Math" w:cs="Calibri"/>
              <w:strike/>
              <w:color w:val="000000" w:themeColor="text1"/>
              <w:sz w:val="24"/>
              <w:szCs w:val="24"/>
            </w:rPr>
            <w:br/>
          </m:r>
        </m:oMath>
        <m:oMath>
          <m:sSub>
            <m:sSubPr>
              <m:ctrlPr>
                <w:rPr>
                  <w:rFonts w:ascii="Cambria Math" w:hAnsi="Cambria Math" w:cs="Calibri"/>
                  <w:i/>
                  <w:strike/>
                  <w:sz w:val="24"/>
                  <w:szCs w:val="24"/>
                </w:rPr>
              </m:ctrlPr>
            </m:sSubPr>
            <m:e>
              <m:r>
                <w:rPr>
                  <w:rFonts w:ascii="Cambria Math" w:hAnsi="Cambria Math" w:cs="Calibri"/>
                  <w:strike/>
                  <w:sz w:val="24"/>
                  <w:szCs w:val="24"/>
                </w:rPr>
                <m:t>ν</m:t>
              </m:r>
            </m:e>
            <m:sub>
              <m:r>
                <w:rPr>
                  <w:rFonts w:ascii="Cambria Math" w:hAnsi="Cambria Math" w:cs="Calibri"/>
                  <w:strike/>
                  <w:sz w:val="24"/>
                  <w:szCs w:val="24"/>
                </w:rPr>
                <m:t>month-year</m:t>
              </m:r>
            </m:sub>
          </m:sSub>
          <m:r>
            <m:rPr>
              <m:sty m:val="p"/>
            </m:rPr>
            <w:rPr>
              <w:rFonts w:ascii="Cambria Math" w:hAnsi="Cambria Math" w:cs="Calibri"/>
              <w:strike/>
              <w:sz w:val="24"/>
              <w:szCs w:val="24"/>
              <w:vertAlign w:val="subscript"/>
            </w:rPr>
            <m:t xml:space="preserve"> </m:t>
          </m:r>
          <m:r>
            <m:rPr>
              <m:sty m:val="p"/>
              <m:aln/>
            </m:rPr>
            <w:rPr>
              <w:rFonts w:ascii="Cambria Math" w:hAnsi="Cambria Math" w:cs="Calibri"/>
              <w:strike/>
              <w:sz w:val="24"/>
              <w:szCs w:val="24"/>
            </w:rPr>
            <m:t>+</m:t>
          </m:r>
          <m:r>
            <m:rPr>
              <m:sty m:val="p"/>
            </m:rPr>
            <w:rPr>
              <w:rFonts w:ascii="Cambria Math" w:hAnsi="Cambria Math" w:cs="Calibri"/>
              <w:strike/>
              <w:color w:val="000000" w:themeColor="text1"/>
              <w:sz w:val="24"/>
              <w:szCs w:val="24"/>
            </w:rPr>
            <w:br/>
          </m:r>
        </m:oMath>
        <m:oMath>
          <m:sSub>
            <m:sSubPr>
              <m:ctrlPr>
                <w:rPr>
                  <w:rFonts w:ascii="Cambria Math" w:hAnsi="Cambria Math" w:cs="Calibri"/>
                  <w:i/>
                  <w:strike/>
                  <w:sz w:val="24"/>
                  <w:szCs w:val="24"/>
                </w:rPr>
              </m:ctrlPr>
            </m:sSubPr>
            <m:e>
              <m:r>
                <w:rPr>
                  <w:rFonts w:ascii="Cambria Math" w:hAnsi="Cambria Math" w:cs="Calibri"/>
                  <w:strike/>
                  <w:sz w:val="24"/>
                  <w:szCs w:val="24"/>
                </w:rPr>
                <m:t>ɛ</m:t>
              </m:r>
            </m:e>
            <m:sub>
              <m:r>
                <w:rPr>
                  <w:rFonts w:ascii="Cambria Math" w:hAnsi="Cambria Math" w:cs="Calibri"/>
                  <w:strike/>
                  <w:sz w:val="24"/>
                  <w:szCs w:val="24"/>
                  <w:vertAlign w:val="subscript"/>
                </w:rPr>
                <m:t>state-month-year</m:t>
              </m:r>
            </m:sub>
          </m:sSub>
          <m:r>
            <m:rPr>
              <m:aln/>
            </m:rPr>
            <w:rPr>
              <w:rFonts w:ascii="Cambria Math" w:hAnsi="Cambria Math" w:cs="Calibri"/>
              <w:strike/>
              <w:color w:val="000000" w:themeColor="text1"/>
              <w:sz w:val="24"/>
              <w:szCs w:val="24"/>
            </w:rPr>
            <m:t>+</m:t>
          </m:r>
          <m:r>
            <m:rPr>
              <m:sty m:val="p"/>
            </m:rPr>
            <w:rPr>
              <w:rFonts w:ascii="Cambria Math" w:hAnsi="Cambria Math" w:cs="Calibri"/>
              <w:strike/>
              <w:color w:val="000000" w:themeColor="text1"/>
              <w:sz w:val="24"/>
              <w:szCs w:val="24"/>
            </w:rPr>
            <w:br/>
          </m:r>
        </m:oMath>
        <m:oMath>
          <m:sSub>
            <m:sSubPr>
              <m:ctrlPr>
                <w:rPr>
                  <w:rFonts w:ascii="Cambria Math" w:hAnsi="Cambria Math" w:cs="Calibri"/>
                  <w:strike/>
                  <w:sz w:val="24"/>
                  <w:szCs w:val="24"/>
                </w:rPr>
              </m:ctrlPr>
            </m:sSubPr>
            <m:e>
              <m:r>
                <m:rPr>
                  <m:sty m:val="p"/>
                </m:rPr>
                <w:rPr>
                  <w:rFonts w:ascii="Cambria Math" w:hAnsi="Cambria Math" w:cs="Calibri"/>
                  <w:strike/>
                  <w:sz w:val="24"/>
                  <w:szCs w:val="24"/>
                </w:rPr>
                <m:t>γ</m:t>
              </m:r>
            </m:e>
            <m:sub>
              <m:r>
                <w:rPr>
                  <w:rFonts w:ascii="Cambria Math" w:hAnsi="Cambria Math" w:cs="Calibri"/>
                  <w:strike/>
                  <w:sz w:val="24"/>
                  <w:szCs w:val="24"/>
                </w:rPr>
                <m:t>month</m:t>
              </m:r>
            </m:sub>
          </m:sSub>
          <m:r>
            <m:rPr>
              <m:sty m:val="p"/>
            </m:rPr>
            <w:rPr>
              <w:rFonts w:ascii="Cambria Math" w:hAnsi="Cambria Math" w:cs="Calibri"/>
              <w:strike/>
              <w:sz w:val="24"/>
              <w:szCs w:val="24"/>
            </w:rPr>
            <m:t>·</m:t>
          </m:r>
          <m:sSub>
            <m:sSubPr>
              <m:ctrlPr>
                <w:rPr>
                  <w:rFonts w:ascii="Cambria Math" w:hAnsi="Cambria Math" w:cs="Calibri"/>
                  <w:i/>
                  <w:strike/>
                  <w:sz w:val="24"/>
                  <w:szCs w:val="24"/>
                </w:rPr>
              </m:ctrlPr>
            </m:sSubPr>
            <m:e>
              <m:r>
                <w:rPr>
                  <w:rFonts w:ascii="Cambria Math" w:hAnsi="Cambria Math" w:cs="Calibri"/>
                  <w:strike/>
                  <w:sz w:val="24"/>
                  <w:szCs w:val="24"/>
                </w:rPr>
                <m:t>Anomaly</m:t>
              </m:r>
            </m:e>
            <m:sub>
              <m:r>
                <w:rPr>
                  <w:rFonts w:ascii="Cambria Math" w:hAnsi="Cambria Math" w:cs="Calibri"/>
                  <w:strike/>
                  <w:sz w:val="24"/>
                  <w:szCs w:val="24"/>
                  <w:vertAlign w:val="subscript"/>
                </w:rPr>
                <m:t>state-month-year</m:t>
              </m:r>
            </m:sub>
          </m:sSub>
          <m:r>
            <m:rPr>
              <m:aln/>
            </m:rPr>
            <w:rPr>
              <w:rFonts w:ascii="Cambria Math" w:eastAsiaTheme="minorEastAsia" w:hAnsi="Cambria Math" w:cs="Calibri"/>
              <w:strike/>
              <w:color w:val="FFFFFF" w:themeColor="background1"/>
              <w:sz w:val="24"/>
              <w:szCs w:val="24"/>
            </w:rPr>
            <m:t>+</m:t>
          </m:r>
        </m:oMath>
      </m:oMathPara>
    </w:p>
    <w:p w14:paraId="6AFF308A" w14:textId="3DFA8BED" w:rsidR="00CB5EEE" w:rsidRPr="001B7712" w:rsidRDefault="00CB5EEE" w:rsidP="003A4AB3">
      <w:pPr>
        <w:spacing w:line="480" w:lineRule="auto"/>
        <w:ind w:firstLine="720"/>
        <w:jc w:val="both"/>
        <w:rPr>
          <w:rFonts w:cs="Calibri"/>
          <w:strike/>
          <w:sz w:val="24"/>
          <w:szCs w:val="24"/>
        </w:rPr>
      </w:pPr>
      <w:r w:rsidRPr="001B7712">
        <w:rPr>
          <w:rFonts w:cs="Calibri"/>
          <w:strike/>
          <w:sz w:val="24"/>
          <w:szCs w:val="24"/>
        </w:rPr>
        <w:lastRenderedPageBreak/>
        <w:t xml:space="preserve">The model contained terms that represent the overall level and trend in mortality, with </w:t>
      </w:r>
      <m:oMath>
        <m:sSub>
          <m:sSubPr>
            <m:ctrlPr>
              <w:rPr>
                <w:rFonts w:ascii="Cambria Math" w:hAnsi="Cambria Math" w:cs="Calibri"/>
                <w:i/>
                <w:strike/>
                <w:sz w:val="24"/>
                <w:szCs w:val="24"/>
              </w:rPr>
            </m:ctrlPr>
          </m:sSubPr>
          <m:e>
            <m:r>
              <w:rPr>
                <w:rFonts w:ascii="Cambria Math" w:hAnsi="Cambria Math" w:cs="Calibri"/>
                <w:strike/>
                <w:sz w:val="24"/>
                <w:szCs w:val="24"/>
              </w:rPr>
              <m:t>α</m:t>
            </m:r>
          </m:e>
          <m:sub>
            <m:r>
              <w:rPr>
                <w:rFonts w:ascii="Cambria Math" w:hAnsi="Cambria Math" w:cs="Calibri"/>
                <w:strike/>
                <w:sz w:val="24"/>
                <w:szCs w:val="24"/>
              </w:rPr>
              <m:t>0</m:t>
            </m:r>
          </m:sub>
        </m:sSub>
      </m:oMath>
      <w:r w:rsidRPr="001B7712">
        <w:rPr>
          <w:rFonts w:eastAsiaTheme="minorEastAsia" w:cs="Calibri"/>
          <w:strike/>
          <w:sz w:val="24"/>
          <w:szCs w:val="24"/>
        </w:rPr>
        <w:t xml:space="preserve"> as the common intercept for log-transformed death rates, and </w:t>
      </w:r>
      <m:oMath>
        <m:sSub>
          <m:sSubPr>
            <m:ctrlPr>
              <w:rPr>
                <w:rFonts w:ascii="Cambria Math" w:hAnsi="Cambria Math" w:cs="Calibri"/>
                <w:i/>
                <w:strike/>
                <w:sz w:val="24"/>
                <w:szCs w:val="24"/>
              </w:rPr>
            </m:ctrlPr>
          </m:sSubPr>
          <m:e>
            <m:r>
              <w:rPr>
                <w:rFonts w:ascii="Cambria Math" w:hAnsi="Cambria Math" w:cs="Calibri"/>
                <w:strike/>
                <w:sz w:val="24"/>
                <w:szCs w:val="24"/>
              </w:rPr>
              <m:t>β</m:t>
            </m:r>
          </m:e>
          <m:sub>
            <m:r>
              <w:rPr>
                <w:rFonts w:ascii="Cambria Math" w:hAnsi="Cambria Math" w:cs="Calibri"/>
                <w:strike/>
                <w:sz w:val="24"/>
                <w:szCs w:val="24"/>
              </w:rPr>
              <m:t>0</m:t>
            </m:r>
          </m:sub>
        </m:sSub>
      </m:oMath>
      <w:r w:rsidRPr="001B7712">
        <w:rPr>
          <w:rFonts w:eastAsiaTheme="minorEastAsia" w:cs="Calibri"/>
          <w:strike/>
          <w:sz w:val="24"/>
          <w:szCs w:val="24"/>
        </w:rPr>
        <w:t xml:space="preserve"> the common time slope</w:t>
      </w:r>
      <w:r w:rsidRPr="001B7712">
        <w:rPr>
          <w:rFonts w:cs="Calibri"/>
          <w:strike/>
          <w:sz w:val="24"/>
          <w:szCs w:val="24"/>
        </w:rPr>
        <w:t>.</w:t>
      </w:r>
      <w:r w:rsidRPr="001B7712">
        <w:rPr>
          <w:rFonts w:cs="Calibri"/>
          <w:strike/>
          <w:color w:val="000000" w:themeColor="text1"/>
          <w:sz w:val="24"/>
          <w:szCs w:val="24"/>
        </w:rPr>
        <w:t xml:space="preserve"> Death rates also vary by month, which may be partly related to temperature and partly due to other factors, and tend to do so smoothly across adjacent months</w:t>
      </w:r>
      <w:r w:rsidR="009349B0" w:rsidRPr="001B7712">
        <w:rPr>
          <w:rFonts w:cs="Calibri"/>
          <w:strike/>
          <w:color w:val="000000" w:themeColor="text1"/>
          <w:sz w:val="24"/>
          <w:szCs w:val="24"/>
        </w:rPr>
        <w:t xml:space="preserve"> </w:t>
      </w:r>
      <w:r w:rsidRPr="001B7712">
        <w:rPr>
          <w:rFonts w:cs="Calibri"/>
          <w:strike/>
          <w:color w:val="000000" w:themeColor="text1"/>
          <w:sz w:val="24"/>
          <w:szCs w:val="24"/>
        </w:rPr>
        <w:fldChar w:fldCharType="begin" w:fldLock="1"/>
      </w:r>
      <w:r w:rsidRPr="001B7712">
        <w:rPr>
          <w:rFonts w:cs="Calibri"/>
          <w:strike/>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2018)","previouslyFormattedCitation":"&lt;sup&gt;11&lt;/sup&gt;"},"properties":{"noteIndex":0},"schema":"https://github.com/citation-style-language/schema/raw/master/csl-citation.json"}</w:instrText>
      </w:r>
      <w:r w:rsidRPr="001B7712">
        <w:rPr>
          <w:rFonts w:cs="Calibri"/>
          <w:strike/>
          <w:color w:val="000000" w:themeColor="text1"/>
          <w:sz w:val="24"/>
          <w:szCs w:val="24"/>
        </w:rPr>
        <w:fldChar w:fldCharType="separate"/>
      </w:r>
      <w:r w:rsidRPr="001B7712">
        <w:rPr>
          <w:rFonts w:cs="Calibri"/>
          <w:strike/>
          <w:noProof/>
          <w:color w:val="000000" w:themeColor="text1"/>
          <w:sz w:val="24"/>
          <w:szCs w:val="24"/>
        </w:rPr>
        <w:t>(Parks et al., 2018)</w:t>
      </w:r>
      <w:r w:rsidRPr="001B7712">
        <w:rPr>
          <w:rFonts w:cs="Calibri"/>
          <w:strike/>
          <w:color w:val="000000" w:themeColor="text1"/>
          <w:sz w:val="24"/>
          <w:szCs w:val="24"/>
        </w:rPr>
        <w:fldChar w:fldCharType="end"/>
      </w:r>
      <w:r w:rsidR="009349B0" w:rsidRPr="001B7712">
        <w:rPr>
          <w:rFonts w:cs="Calibri"/>
          <w:strike/>
          <w:color w:val="000000" w:themeColor="text1"/>
          <w:sz w:val="24"/>
          <w:szCs w:val="24"/>
        </w:rPr>
        <w:t>.</w:t>
      </w:r>
      <w:r w:rsidRPr="001B7712">
        <w:rPr>
          <w:rFonts w:cs="Calibri"/>
          <w:strike/>
          <w:color w:val="000000" w:themeColor="text1"/>
          <w:sz w:val="24"/>
          <w:szCs w:val="24"/>
        </w:rPr>
        <w:t xml:space="preserve"> Therefore, we allowed each month of the year to systematically have a different mortality level and trend, </w:t>
      </w:r>
      <w:r w:rsidRPr="001B7712">
        <w:rPr>
          <w:rFonts w:cs="Calibri"/>
          <w:strike/>
          <w:sz w:val="24"/>
          <w:szCs w:val="24"/>
        </w:rPr>
        <w:t xml:space="preserve">with </w:t>
      </w:r>
      <m:oMath>
        <m:sSub>
          <m:sSubPr>
            <m:ctrlPr>
              <w:rPr>
                <w:rFonts w:ascii="Cambria Math" w:hAnsi="Cambria Math" w:cs="Calibri"/>
                <w:i/>
                <w:strike/>
                <w:sz w:val="24"/>
                <w:szCs w:val="24"/>
              </w:rPr>
            </m:ctrlPr>
          </m:sSubPr>
          <m:e>
            <m:r>
              <w:rPr>
                <w:rFonts w:ascii="Cambria Math" w:hAnsi="Cambria Math" w:cs="Calibri"/>
                <w:strike/>
                <w:sz w:val="24"/>
                <w:szCs w:val="24"/>
              </w:rPr>
              <m:t>α</m:t>
            </m:r>
          </m:e>
          <m:sub>
            <m:r>
              <w:rPr>
                <w:rFonts w:ascii="Cambria Math" w:hAnsi="Cambria Math" w:cs="Calibri"/>
                <w:strike/>
                <w:sz w:val="24"/>
                <w:szCs w:val="24"/>
              </w:rPr>
              <m:t>month</m:t>
            </m:r>
          </m:sub>
        </m:sSub>
      </m:oMath>
      <w:r w:rsidRPr="001B7712">
        <w:rPr>
          <w:rFonts w:eastAsiaTheme="minorEastAsia" w:cs="Calibri"/>
          <w:strike/>
          <w:sz w:val="24"/>
          <w:szCs w:val="24"/>
        </w:rPr>
        <w:t xml:space="preserve"> the month-specific intercept for log-transformed death rates and </w:t>
      </w:r>
      <m:oMath>
        <m:sSub>
          <m:sSubPr>
            <m:ctrlPr>
              <w:rPr>
                <w:rFonts w:ascii="Cambria Math" w:hAnsi="Cambria Math" w:cs="Calibri"/>
                <w:i/>
                <w:strike/>
                <w:sz w:val="24"/>
                <w:szCs w:val="24"/>
              </w:rPr>
            </m:ctrlPr>
          </m:sSubPr>
          <m:e>
            <m:r>
              <w:rPr>
                <w:rFonts w:ascii="Cambria Math" w:hAnsi="Cambria Math" w:cs="Calibri"/>
                <w:strike/>
                <w:sz w:val="24"/>
                <w:szCs w:val="24"/>
              </w:rPr>
              <m:t>β</m:t>
            </m:r>
          </m:e>
          <m:sub>
            <m:r>
              <w:rPr>
                <w:rFonts w:ascii="Cambria Math" w:hAnsi="Cambria Math" w:cs="Calibri"/>
                <w:strike/>
                <w:sz w:val="24"/>
                <w:szCs w:val="24"/>
              </w:rPr>
              <m:t>month</m:t>
            </m:r>
          </m:sub>
        </m:sSub>
      </m:oMath>
      <w:r w:rsidRPr="001B7712">
        <w:rPr>
          <w:rFonts w:eastAsiaTheme="minorEastAsia" w:cs="Calibri"/>
          <w:strike/>
          <w:sz w:val="24"/>
          <w:szCs w:val="24"/>
        </w:rPr>
        <w:t xml:space="preserve"> the month-specific time slope</w:t>
      </w:r>
      <w:r w:rsidRPr="001B7712">
        <w:rPr>
          <w:rFonts w:cs="Calibri"/>
          <w:strike/>
          <w:color w:val="000000" w:themeColor="text1"/>
          <w:sz w:val="24"/>
          <w:szCs w:val="24"/>
        </w:rPr>
        <w:t>. We used a random walk for the month terms to smooth the coefficients, widely used to characterise smoothly varying associations</w:t>
      </w:r>
      <w:r w:rsidRPr="001B7712">
        <w:rPr>
          <w:rFonts w:cs="Calibri"/>
          <w:strike/>
          <w:sz w:val="24"/>
          <w:szCs w:val="24"/>
        </w:rPr>
        <w:t>.</w:t>
      </w:r>
      <w:r w:rsidRPr="001B7712">
        <w:rPr>
          <w:rFonts w:cs="Calibri"/>
          <w:strike/>
          <w:sz w:val="24"/>
          <w:szCs w:val="24"/>
        </w:rPr>
        <w:fldChar w:fldCharType="begin" w:fldLock="1"/>
      </w:r>
      <w:r w:rsidRPr="001B7712">
        <w:rPr>
          <w:rFonts w:cs="Calibri"/>
          <w:strike/>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1B7712">
        <w:rPr>
          <w:rFonts w:cs="Calibri"/>
          <w:strike/>
          <w:sz w:val="24"/>
          <w:szCs w:val="24"/>
        </w:rPr>
        <w:fldChar w:fldCharType="separate"/>
      </w:r>
      <w:r w:rsidRPr="001B7712">
        <w:rPr>
          <w:rFonts w:cs="Calibri"/>
          <w:strike/>
          <w:noProof/>
          <w:sz w:val="24"/>
          <w:szCs w:val="24"/>
        </w:rPr>
        <w:t>(Rue &amp; Held, 2005)</w:t>
      </w:r>
      <w:r w:rsidRPr="001B7712">
        <w:rPr>
          <w:rFonts w:cs="Calibri"/>
          <w:strike/>
          <w:sz w:val="24"/>
          <w:szCs w:val="24"/>
        </w:rPr>
        <w:fldChar w:fldCharType="end"/>
      </w:r>
      <w:r w:rsidRPr="001B7712">
        <w:rPr>
          <w:rFonts w:cs="Calibri"/>
          <w:strike/>
          <w:color w:val="000000" w:themeColor="text1"/>
          <w:sz w:val="24"/>
          <w:szCs w:val="24"/>
        </w:rPr>
        <w:t xml:space="preserve"> The random walk had a cyclic structure, so that December was adjacent to January. </w:t>
      </w:r>
    </w:p>
    <w:p w14:paraId="1237E330" w14:textId="1FBB458F" w:rsidR="003A4AB3" w:rsidRPr="001B7712" w:rsidRDefault="00CB5EEE" w:rsidP="003A4AB3">
      <w:pPr>
        <w:spacing w:line="480" w:lineRule="auto"/>
        <w:ind w:firstLine="720"/>
        <w:jc w:val="both"/>
        <w:rPr>
          <w:rFonts w:cs="Calibri"/>
          <w:strike/>
          <w:sz w:val="24"/>
          <w:szCs w:val="24"/>
        </w:rPr>
      </w:pPr>
      <w:r w:rsidRPr="001B7712">
        <w:rPr>
          <w:rFonts w:cs="Calibri"/>
          <w:strike/>
          <w:color w:val="000000" w:themeColor="text1"/>
          <w:sz w:val="24"/>
          <w:szCs w:val="24"/>
        </w:rPr>
        <w:t xml:space="preserve">We also included state random intercepts and slopes for death rates, with </w:t>
      </w:r>
      <m:oMath>
        <m:sSub>
          <m:sSubPr>
            <m:ctrlPr>
              <w:rPr>
                <w:rFonts w:ascii="Cambria Math" w:hAnsi="Cambria Math" w:cs="Calibri"/>
                <w:i/>
                <w:strike/>
                <w:sz w:val="24"/>
                <w:szCs w:val="24"/>
              </w:rPr>
            </m:ctrlPr>
          </m:sSubPr>
          <m:e>
            <m:r>
              <w:rPr>
                <w:rFonts w:ascii="Cambria Math" w:hAnsi="Cambria Math" w:cs="Calibri"/>
                <w:strike/>
                <w:sz w:val="24"/>
                <w:szCs w:val="24"/>
              </w:rPr>
              <m:t>α</m:t>
            </m:r>
          </m:e>
          <m:sub>
            <m:r>
              <w:rPr>
                <w:rFonts w:ascii="Cambria Math" w:hAnsi="Cambria Math" w:cs="Calibri"/>
                <w:strike/>
                <w:sz w:val="24"/>
                <w:szCs w:val="24"/>
              </w:rPr>
              <m:t>state</m:t>
            </m:r>
          </m:sub>
        </m:sSub>
      </m:oMath>
      <w:r w:rsidRPr="001B7712">
        <w:rPr>
          <w:rFonts w:eastAsiaTheme="minorEastAsia" w:cs="Calibri"/>
          <w:strike/>
          <w:sz w:val="24"/>
          <w:szCs w:val="24"/>
        </w:rPr>
        <w:t xml:space="preserve"> as the state-specific intercept for log-transformed death rates and </w:t>
      </w:r>
      <m:oMath>
        <m:sSub>
          <m:sSubPr>
            <m:ctrlPr>
              <w:rPr>
                <w:rFonts w:ascii="Cambria Math" w:hAnsi="Cambria Math" w:cs="Calibri"/>
                <w:i/>
                <w:strike/>
                <w:sz w:val="24"/>
                <w:szCs w:val="24"/>
              </w:rPr>
            </m:ctrlPr>
          </m:sSubPr>
          <m:e>
            <m:r>
              <w:rPr>
                <w:rFonts w:ascii="Cambria Math" w:hAnsi="Cambria Math" w:cs="Calibri"/>
                <w:strike/>
                <w:sz w:val="24"/>
                <w:szCs w:val="24"/>
              </w:rPr>
              <m:t>β</m:t>
            </m:r>
          </m:e>
          <m:sub>
            <m:r>
              <w:rPr>
                <w:rFonts w:ascii="Cambria Math" w:hAnsi="Cambria Math" w:cs="Calibri"/>
                <w:strike/>
                <w:sz w:val="24"/>
                <w:szCs w:val="24"/>
              </w:rPr>
              <m:t>state</m:t>
            </m:r>
          </m:sub>
        </m:sSub>
      </m:oMath>
      <w:r w:rsidRPr="001B7712">
        <w:rPr>
          <w:rFonts w:eastAsiaTheme="minorEastAsia" w:cs="Calibri"/>
          <w:strike/>
          <w:sz w:val="24"/>
          <w:szCs w:val="24"/>
        </w:rPr>
        <w:t xml:space="preserve"> the state-specific time slope</w:t>
      </w:r>
      <w:r w:rsidRPr="001B7712">
        <w:rPr>
          <w:rFonts w:cs="Calibri"/>
          <w:strike/>
          <w:color w:val="000000" w:themeColor="text1"/>
          <w:sz w:val="24"/>
          <w:szCs w:val="24"/>
        </w:rPr>
        <w:t xml:space="preserve">. These terms measure deviations of each state from national </w:t>
      </w:r>
      <w:proofErr w:type="gramStart"/>
      <w:r w:rsidRPr="001B7712">
        <w:rPr>
          <w:rFonts w:cs="Calibri"/>
          <w:strike/>
          <w:color w:val="000000" w:themeColor="text1"/>
          <w:sz w:val="24"/>
          <w:szCs w:val="24"/>
        </w:rPr>
        <w:t>values, and</w:t>
      </w:r>
      <w:proofErr w:type="gramEnd"/>
      <w:r w:rsidRPr="001B7712">
        <w:rPr>
          <w:rFonts w:cs="Calibri"/>
          <w:strike/>
          <w:color w:val="000000" w:themeColor="text1"/>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D9577F" w:rsidRPr="001B7712">
        <w:rPr>
          <w:rFonts w:cs="Calibri"/>
          <w:strike/>
          <w:color w:val="000000" w:themeColor="text1"/>
          <w:sz w:val="24"/>
          <w:szCs w:val="24"/>
        </w:rPr>
        <w:t xml:space="preserve"> </w:t>
      </w:r>
      <w:r w:rsidRPr="001B7712">
        <w:rPr>
          <w:rFonts w:cs="Calibri"/>
          <w:strike/>
          <w:color w:val="000000" w:themeColor="text1"/>
          <w:sz w:val="24"/>
          <w:szCs w:val="24"/>
        </w:rPr>
        <w:fldChar w:fldCharType="begin" w:fldLock="1"/>
      </w:r>
      <w:r w:rsidRPr="001B7712">
        <w:rPr>
          <w:rFonts w:cs="Calibri"/>
          <w:strike/>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1974)","previouslyFormattedCitation":"&lt;sup&gt;41&lt;/sup&gt;"},"properties":{"noteIndex":0},"schema":"https://github.com/citation-style-language/schema/raw/master/csl-citation.json"}</w:instrText>
      </w:r>
      <w:r w:rsidRPr="001B7712">
        <w:rPr>
          <w:rFonts w:cs="Calibri"/>
          <w:strike/>
          <w:color w:val="000000" w:themeColor="text1"/>
          <w:sz w:val="24"/>
          <w:szCs w:val="24"/>
        </w:rPr>
        <w:fldChar w:fldCharType="separate"/>
      </w:r>
      <w:r w:rsidRPr="001B7712">
        <w:rPr>
          <w:rFonts w:cs="Calibri"/>
          <w:strike/>
          <w:noProof/>
          <w:color w:val="000000" w:themeColor="text1"/>
          <w:sz w:val="24"/>
          <w:szCs w:val="24"/>
        </w:rPr>
        <w:t>(Besag, 1974)</w:t>
      </w:r>
      <w:r w:rsidRPr="001B7712">
        <w:rPr>
          <w:rFonts w:cs="Calibri"/>
          <w:strike/>
          <w:color w:val="000000" w:themeColor="text1"/>
          <w:sz w:val="24"/>
          <w:szCs w:val="24"/>
        </w:rPr>
        <w:fldChar w:fldCharType="end"/>
      </w:r>
      <w:r w:rsidR="00D9577F" w:rsidRPr="001B7712">
        <w:rPr>
          <w:rFonts w:cs="Calibri"/>
          <w:strike/>
          <w:color w:val="000000" w:themeColor="text1"/>
          <w:sz w:val="24"/>
          <w:szCs w:val="24"/>
        </w:rPr>
        <w:t>.</w:t>
      </w:r>
      <w:r w:rsidRPr="001B7712">
        <w:rPr>
          <w:rFonts w:cs="Calibri"/>
          <w:strike/>
          <w:color w:val="000000" w:themeColor="text1"/>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w:t>
      </w:r>
      <w:r w:rsidRPr="001B7712">
        <w:rPr>
          <w:rFonts w:cs="Calibri"/>
          <w:strike/>
          <w:sz w:val="24"/>
          <w:szCs w:val="24"/>
        </w:rPr>
        <w:t xml:space="preserve"> We also included state-month interactions for intercepts and slopes (</w:t>
      </w:r>
      <m:oMath>
        <m:sSub>
          <m:sSubPr>
            <m:ctrlPr>
              <w:rPr>
                <w:rFonts w:ascii="Cambria Math" w:hAnsi="Cambria Math" w:cs="Calibri"/>
                <w:i/>
                <w:strike/>
                <w:color w:val="000000" w:themeColor="text1"/>
                <w:sz w:val="24"/>
                <w:szCs w:val="24"/>
              </w:rPr>
            </m:ctrlPr>
          </m:sSubPr>
          <m:e>
            <m:r>
              <w:rPr>
                <w:rFonts w:ascii="Cambria Math" w:hAnsi="Cambria Math" w:cs="Calibri"/>
                <w:strike/>
                <w:color w:val="000000" w:themeColor="text1"/>
                <w:sz w:val="24"/>
                <w:szCs w:val="24"/>
              </w:rPr>
              <m:t>ζ</m:t>
            </m:r>
          </m:e>
          <m:sub>
            <m:r>
              <w:rPr>
                <w:rFonts w:ascii="Cambria Math" w:hAnsi="Cambria Math" w:cs="Calibri"/>
                <w:strike/>
                <w:color w:val="000000" w:themeColor="text1"/>
                <w:sz w:val="24"/>
                <w:szCs w:val="24"/>
              </w:rPr>
              <m:t>state-month</m:t>
            </m:r>
          </m:sub>
        </m:sSub>
      </m:oMath>
      <w:r w:rsidRPr="001B7712">
        <w:rPr>
          <w:rFonts w:eastAsiaTheme="minorEastAsia" w:cs="Calibri"/>
          <w:strike/>
          <w:color w:val="000000" w:themeColor="text1"/>
          <w:sz w:val="24"/>
          <w:szCs w:val="24"/>
        </w:rPr>
        <w:t>)</w:t>
      </w:r>
      <w:r w:rsidRPr="001B7712">
        <w:rPr>
          <w:rFonts w:cs="Calibri"/>
          <w:strike/>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cs="Calibri"/>
                <w:i/>
                <w:strike/>
                <w:sz w:val="24"/>
                <w:szCs w:val="24"/>
              </w:rPr>
            </m:ctrlPr>
          </m:sSubPr>
          <m:e>
            <m:r>
              <w:rPr>
                <w:rFonts w:ascii="Cambria Math" w:hAnsi="Cambria Math" w:cs="Calibri"/>
                <w:strike/>
                <w:sz w:val="24"/>
                <w:szCs w:val="24"/>
              </w:rPr>
              <m:t>ν</m:t>
            </m:r>
          </m:e>
          <m:sub>
            <m:r>
              <w:rPr>
                <w:rFonts w:ascii="Cambria Math" w:hAnsi="Cambria Math" w:cs="Calibri"/>
                <w:strike/>
                <w:sz w:val="24"/>
                <w:szCs w:val="24"/>
              </w:rPr>
              <m:t>month-year</m:t>
            </m:r>
          </m:sub>
        </m:sSub>
      </m:oMath>
      <w:r w:rsidR="00D9577F" w:rsidRPr="001B7712">
        <w:rPr>
          <w:rFonts w:cs="Calibri"/>
          <w:strike/>
          <w:sz w:val="24"/>
          <w:szCs w:val="24"/>
        </w:rPr>
        <w:t xml:space="preserve"> </w:t>
      </w:r>
      <w:r w:rsidRPr="001B7712">
        <w:rPr>
          <w:rFonts w:cs="Calibri"/>
          <w:strike/>
          <w:sz w:val="24"/>
          <w:szCs w:val="24"/>
        </w:rPr>
        <w:fldChar w:fldCharType="begin" w:fldLock="1"/>
      </w:r>
      <w:r w:rsidRPr="001B7712">
        <w:rPr>
          <w:rFonts w:cs="Calibri"/>
          <w:strike/>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1B7712">
        <w:rPr>
          <w:rFonts w:cs="Calibri"/>
          <w:strike/>
          <w:sz w:val="24"/>
          <w:szCs w:val="24"/>
        </w:rPr>
        <w:fldChar w:fldCharType="separate"/>
      </w:r>
      <w:r w:rsidRPr="001B7712">
        <w:rPr>
          <w:rFonts w:cs="Calibri"/>
          <w:strike/>
          <w:noProof/>
          <w:sz w:val="24"/>
          <w:szCs w:val="24"/>
        </w:rPr>
        <w:t xml:space="preserve">(Rue </w:t>
      </w:r>
      <w:r w:rsidRPr="001B7712">
        <w:rPr>
          <w:rFonts w:cs="Calibri"/>
          <w:strike/>
          <w:noProof/>
          <w:sz w:val="24"/>
          <w:szCs w:val="24"/>
        </w:rPr>
        <w:lastRenderedPageBreak/>
        <w:t>&amp; Held, 2005)</w:t>
      </w:r>
      <w:r w:rsidRPr="001B7712">
        <w:rPr>
          <w:rFonts w:cs="Calibri"/>
          <w:strike/>
          <w:sz w:val="24"/>
          <w:szCs w:val="24"/>
        </w:rPr>
        <w:fldChar w:fldCharType="end"/>
      </w:r>
      <w:r w:rsidR="00D9577F" w:rsidRPr="001B7712">
        <w:rPr>
          <w:rFonts w:cs="Calibri"/>
          <w:strike/>
          <w:sz w:val="24"/>
          <w:szCs w:val="24"/>
        </w:rPr>
        <w:t xml:space="preserve">. </w:t>
      </w:r>
      <w:r w:rsidRPr="001B7712">
        <w:rPr>
          <w:rFonts w:cs="Calibri"/>
          <w:strike/>
          <w:color w:val="000000" w:themeColor="text1"/>
          <w:sz w:val="24"/>
          <w:szCs w:val="24"/>
          <w:lang w:val="en-US"/>
        </w:rPr>
        <w:t>An over-dispersion term (</w:t>
      </w:r>
      <m:oMath>
        <m:sSub>
          <m:sSubPr>
            <m:ctrlPr>
              <w:rPr>
                <w:rFonts w:ascii="Cambria Math" w:hAnsi="Cambria Math" w:cs="Calibri"/>
                <w:i/>
                <w:strike/>
                <w:sz w:val="24"/>
                <w:szCs w:val="24"/>
              </w:rPr>
            </m:ctrlPr>
          </m:sSubPr>
          <m:e>
            <m:r>
              <w:rPr>
                <w:rFonts w:ascii="Cambria Math" w:hAnsi="Cambria Math" w:cs="Calibri"/>
                <w:strike/>
                <w:sz w:val="24"/>
                <w:szCs w:val="24"/>
              </w:rPr>
              <m:t>ɛ</m:t>
            </m:r>
          </m:e>
          <m:sub>
            <m:r>
              <w:rPr>
                <w:rFonts w:ascii="Cambria Math" w:hAnsi="Cambria Math" w:cs="Calibri"/>
                <w:strike/>
                <w:sz w:val="24"/>
                <w:szCs w:val="24"/>
                <w:vertAlign w:val="subscript"/>
              </w:rPr>
              <m:t>state-month-year</m:t>
            </m:r>
          </m:sub>
        </m:sSub>
      </m:oMath>
      <w:r w:rsidRPr="001B7712">
        <w:rPr>
          <w:rFonts w:cs="Calibri"/>
          <w:strike/>
          <w:color w:val="000000" w:themeColor="text1"/>
          <w:sz w:val="24"/>
          <w:szCs w:val="24"/>
          <w:lang w:val="en-US"/>
        </w:rPr>
        <w:t xml:space="preserve">) captured the variation unaccounted for by other terms in the model, modelled as </w:t>
      </w:r>
      <w:proofErr w:type="gramStart"/>
      <w:r w:rsidRPr="001B7712">
        <w:rPr>
          <w:rFonts w:cs="Calibri"/>
          <w:i/>
          <w:strike/>
          <w:color w:val="000000" w:themeColor="text1"/>
          <w:sz w:val="24"/>
          <w:szCs w:val="24"/>
          <w:lang w:val="en-US"/>
        </w:rPr>
        <w:t>N</w:t>
      </w:r>
      <w:r w:rsidRPr="001B7712">
        <w:rPr>
          <w:rFonts w:cs="Calibri"/>
          <w:strike/>
          <w:color w:val="000000" w:themeColor="text1"/>
          <w:sz w:val="24"/>
          <w:szCs w:val="24"/>
          <w:lang w:val="en-US"/>
        </w:rPr>
        <w:t>(</w:t>
      </w:r>
      <w:proofErr w:type="gramEnd"/>
      <w:r w:rsidRPr="001B7712">
        <w:rPr>
          <w:rFonts w:cs="Calibri"/>
          <w:strike/>
          <w:color w:val="000000" w:themeColor="text1"/>
          <w:sz w:val="24"/>
          <w:szCs w:val="24"/>
          <w:lang w:val="en-US"/>
        </w:rPr>
        <w:t>0,</w:t>
      </w:r>
      <m:oMath>
        <m:sSubSup>
          <m:sSubSupPr>
            <m:ctrlPr>
              <w:rPr>
                <w:rFonts w:ascii="Cambria Math" w:hAnsi="Cambria Math" w:cs="Calibri"/>
                <w:i/>
                <w:strike/>
                <w:color w:val="000000" w:themeColor="text1"/>
                <w:sz w:val="24"/>
                <w:szCs w:val="24"/>
                <w:lang w:val="en-US"/>
              </w:rPr>
            </m:ctrlPr>
          </m:sSubSupPr>
          <m:e>
            <m:r>
              <w:rPr>
                <w:rFonts w:ascii="Cambria Math" w:hAnsi="Cambria Math" w:cs="Calibri"/>
                <w:strike/>
                <w:color w:val="000000" w:themeColor="text1"/>
                <w:sz w:val="24"/>
                <w:szCs w:val="24"/>
                <w:lang w:val="en-US"/>
              </w:rPr>
              <m:t>σ</m:t>
            </m:r>
          </m:e>
          <m:sub>
            <m:r>
              <w:rPr>
                <w:rFonts w:ascii="Cambria Math" w:hAnsi="Cambria Math" w:cs="Calibri"/>
                <w:strike/>
                <w:color w:val="000000" w:themeColor="text1"/>
                <w:sz w:val="24"/>
                <w:szCs w:val="24"/>
                <w:lang w:val="en-US"/>
              </w:rPr>
              <m:t>ϵ</m:t>
            </m:r>
          </m:sub>
          <m:sup>
            <m:r>
              <w:rPr>
                <w:rFonts w:ascii="Cambria Math" w:hAnsi="Cambria Math" w:cs="Calibri"/>
                <w:strike/>
                <w:color w:val="000000" w:themeColor="text1"/>
                <w:sz w:val="24"/>
                <w:szCs w:val="24"/>
                <w:lang w:val="en-US"/>
              </w:rPr>
              <m:t>2</m:t>
            </m:r>
          </m:sup>
        </m:sSubSup>
      </m:oMath>
      <w:r w:rsidRPr="001B7712">
        <w:rPr>
          <w:rFonts w:cs="Calibri"/>
          <w:strike/>
          <w:color w:val="000000" w:themeColor="text1"/>
          <w:sz w:val="24"/>
          <w:szCs w:val="24"/>
          <w:lang w:val="en-US"/>
        </w:rPr>
        <w:t>).</w:t>
      </w:r>
      <w:r w:rsidR="003A4AB3" w:rsidRPr="001B7712">
        <w:rPr>
          <w:rFonts w:cs="Calibri"/>
          <w:strike/>
          <w:sz w:val="24"/>
          <w:szCs w:val="24"/>
        </w:rPr>
        <w:tab/>
      </w:r>
    </w:p>
    <w:p w14:paraId="2A65D1F8" w14:textId="471BD7F0" w:rsidR="00CB5EEE" w:rsidRPr="001B7712" w:rsidRDefault="00CB5EEE" w:rsidP="003A4AB3">
      <w:pPr>
        <w:spacing w:line="480" w:lineRule="auto"/>
        <w:ind w:firstLine="720"/>
        <w:jc w:val="both"/>
        <w:rPr>
          <w:rFonts w:cs="Calibri"/>
          <w:strike/>
          <w:sz w:val="24"/>
          <w:szCs w:val="24"/>
        </w:rPr>
      </w:pPr>
      <w:r w:rsidRPr="001B7712">
        <w:rPr>
          <w:rFonts w:cs="Calibri"/>
          <w:strike/>
          <w:color w:val="000000" w:themeColor="text1"/>
          <w:sz w:val="24"/>
          <w:szCs w:val="24"/>
        </w:rPr>
        <w:t xml:space="preserve">Finally, we included a term that relates log-transformed death rate to the above-defined state-month temperature anomaly, </w:t>
      </w:r>
      <m:oMath>
        <m:sSub>
          <m:sSubPr>
            <m:ctrlPr>
              <w:rPr>
                <w:rFonts w:ascii="Cambria Math" w:hAnsi="Cambria Math" w:cs="Calibri"/>
                <w:strike/>
                <w:sz w:val="24"/>
                <w:szCs w:val="24"/>
              </w:rPr>
            </m:ctrlPr>
          </m:sSubPr>
          <m:e>
            <m:r>
              <m:rPr>
                <m:sty m:val="p"/>
              </m:rPr>
              <w:rPr>
                <w:rFonts w:ascii="Cambria Math" w:hAnsi="Cambria Math" w:cs="Calibri"/>
                <w:strike/>
                <w:sz w:val="24"/>
                <w:szCs w:val="24"/>
              </w:rPr>
              <m:t>γ</m:t>
            </m:r>
          </m:e>
          <m:sub>
            <m:r>
              <w:rPr>
                <w:rFonts w:ascii="Cambria Math" w:hAnsi="Cambria Math" w:cs="Calibri"/>
                <w:strike/>
                <w:sz w:val="24"/>
                <w:szCs w:val="24"/>
              </w:rPr>
              <m:t>month</m:t>
            </m:r>
          </m:sub>
        </m:sSub>
        <m:r>
          <m:rPr>
            <m:sty m:val="p"/>
          </m:rPr>
          <w:rPr>
            <w:rFonts w:ascii="Cambria Math" w:hAnsi="Cambria Math" w:cs="Calibri"/>
            <w:strike/>
            <w:sz w:val="24"/>
            <w:szCs w:val="24"/>
          </w:rPr>
          <m:t>·</m:t>
        </m:r>
        <m:sSub>
          <m:sSubPr>
            <m:ctrlPr>
              <w:rPr>
                <w:rFonts w:ascii="Cambria Math" w:hAnsi="Cambria Math" w:cs="Calibri"/>
                <w:i/>
                <w:strike/>
                <w:sz w:val="24"/>
                <w:szCs w:val="24"/>
              </w:rPr>
            </m:ctrlPr>
          </m:sSubPr>
          <m:e>
            <m:r>
              <w:rPr>
                <w:rFonts w:ascii="Cambria Math" w:hAnsi="Cambria Math" w:cs="Calibri"/>
                <w:strike/>
                <w:sz w:val="24"/>
                <w:szCs w:val="24"/>
              </w:rPr>
              <m:t>Anomaly</m:t>
            </m:r>
          </m:e>
          <m:sub>
            <m:r>
              <w:rPr>
                <w:rFonts w:ascii="Cambria Math" w:hAnsi="Cambria Math" w:cs="Calibri"/>
                <w:strike/>
                <w:sz w:val="24"/>
                <w:szCs w:val="24"/>
                <w:vertAlign w:val="subscript"/>
              </w:rPr>
              <m:t>state-month</m:t>
            </m:r>
          </m:sub>
        </m:sSub>
      </m:oMath>
      <w:r w:rsidRPr="001B7712">
        <w:rPr>
          <w:rFonts w:cs="Calibri"/>
          <w:strike/>
          <w:color w:val="000000" w:themeColor="text1"/>
          <w:sz w:val="24"/>
          <w:szCs w:val="24"/>
        </w:rPr>
        <w:t>. The</w:t>
      </w:r>
      <w:r w:rsidRPr="001B7712">
        <w:rPr>
          <w:rFonts w:cs="Calibri"/>
          <w:strike/>
          <w:sz w:val="24"/>
          <w:szCs w:val="24"/>
        </w:rPr>
        <w:t xml:space="preserve"> coefficients of </w:t>
      </w:r>
      <m:oMath>
        <m:sSub>
          <m:sSubPr>
            <m:ctrlPr>
              <w:rPr>
                <w:rFonts w:ascii="Cambria Math" w:hAnsi="Cambria Math" w:cs="Calibri"/>
                <w:strike/>
                <w:sz w:val="24"/>
                <w:szCs w:val="24"/>
              </w:rPr>
            </m:ctrlPr>
          </m:sSubPr>
          <m:e>
            <m:r>
              <m:rPr>
                <m:sty m:val="p"/>
              </m:rPr>
              <w:rPr>
                <w:rFonts w:ascii="Cambria Math" w:hAnsi="Cambria Math" w:cs="Calibri"/>
                <w:strike/>
                <w:sz w:val="24"/>
                <w:szCs w:val="24"/>
              </w:rPr>
              <m:t>γ</m:t>
            </m:r>
          </m:e>
          <m:sub>
            <m:r>
              <w:rPr>
                <w:rFonts w:ascii="Cambria Math" w:hAnsi="Cambria Math" w:cs="Calibri"/>
                <w:strike/>
                <w:sz w:val="24"/>
                <w:szCs w:val="24"/>
              </w:rPr>
              <m:t>month</m:t>
            </m:r>
          </m:sub>
        </m:sSub>
      </m:oMath>
      <w:r w:rsidRPr="001B7712">
        <w:rPr>
          <w:rFonts w:eastAsiaTheme="minorEastAsia" w:cs="Calibri"/>
          <w:strike/>
          <w:sz w:val="24"/>
          <w:szCs w:val="24"/>
        </w:rPr>
        <w:t xml:space="preserve"> </w:t>
      </w:r>
      <w:r w:rsidRPr="001B7712">
        <w:rPr>
          <w:rFonts w:cs="Calibri"/>
          <w:strike/>
          <w:sz w:val="24"/>
          <w:szCs w:val="24"/>
        </w:rPr>
        <w:t>represent the logarithm of the rate ratio per 1°C increase in anomaly</w:t>
      </w:r>
      <w:r w:rsidRPr="001B7712">
        <w:rPr>
          <w:rFonts w:cs="Calibri"/>
          <w:strike/>
          <w:color w:val="000000" w:themeColor="text1"/>
          <w:sz w:val="24"/>
          <w:szCs w:val="24"/>
        </w:rPr>
        <w:t>;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w:t>
      </w:r>
      <w:r w:rsidRPr="001B7712">
        <w:rPr>
          <w:rFonts w:cs="Calibri"/>
          <w:strike/>
          <w:color w:val="000000" w:themeColor="text1"/>
          <w:sz w:val="24"/>
          <w:szCs w:val="24"/>
          <w:lang w:val="en-US"/>
        </w:rPr>
        <w:t xml:space="preserve"> We fitted the models using integrated nested Laplace approximation (INLA), using the R-INLA software, which offers orders of computational efficiency improvement in Bayesian inference compared to traditional MCMC for latent Gaussian models.</w:t>
      </w:r>
      <w:r w:rsidRPr="001B7712">
        <w:rPr>
          <w:rFonts w:cs="Calibri"/>
          <w:strike/>
          <w:color w:val="000000" w:themeColor="text1"/>
          <w:sz w:val="24"/>
          <w:szCs w:val="24"/>
          <w:lang w:val="en-US"/>
        </w:rPr>
        <w:fldChar w:fldCharType="begin" w:fldLock="1"/>
      </w:r>
      <w:r w:rsidRPr="001B7712">
        <w:rPr>
          <w:rFonts w:cs="Calibri"/>
          <w:strike/>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2009)","previouslyFormattedCitation":"&lt;sup&gt;42&lt;/sup&gt;"},"properties":{"noteIndex":0},"schema":"https://github.com/citation-style-language/schema/raw/master/csl-citation.json"}</w:instrText>
      </w:r>
      <w:r w:rsidRPr="001B7712">
        <w:rPr>
          <w:rFonts w:cs="Calibri"/>
          <w:strike/>
          <w:color w:val="000000" w:themeColor="text1"/>
          <w:sz w:val="24"/>
          <w:szCs w:val="24"/>
          <w:lang w:val="en-US"/>
        </w:rPr>
        <w:fldChar w:fldCharType="separate"/>
      </w:r>
      <w:r w:rsidRPr="001B7712">
        <w:rPr>
          <w:rFonts w:cs="Calibri"/>
          <w:strike/>
          <w:noProof/>
          <w:color w:val="000000" w:themeColor="text1"/>
          <w:sz w:val="24"/>
          <w:szCs w:val="24"/>
          <w:lang w:val="en-US"/>
        </w:rPr>
        <w:t>(Rue, Martino, &amp; Chopin, 2009)</w:t>
      </w:r>
      <w:r w:rsidRPr="001B7712">
        <w:rPr>
          <w:rFonts w:cs="Calibri"/>
          <w:strike/>
          <w:color w:val="000000" w:themeColor="text1"/>
          <w:sz w:val="24"/>
          <w:szCs w:val="24"/>
          <w:lang w:val="en-US"/>
        </w:rPr>
        <w:fldChar w:fldCharType="end"/>
      </w:r>
    </w:p>
    <w:p w14:paraId="4CC115DC" w14:textId="6697A4DF" w:rsidR="00CB5EEE" w:rsidRPr="001B7712" w:rsidRDefault="00CB5EEE" w:rsidP="003A4AB3">
      <w:pPr>
        <w:spacing w:line="480" w:lineRule="auto"/>
        <w:ind w:firstLine="720"/>
        <w:jc w:val="both"/>
        <w:rPr>
          <w:rFonts w:cs="Calibri"/>
          <w:strike/>
          <w:color w:val="000000" w:themeColor="text1"/>
          <w:sz w:val="24"/>
          <w:szCs w:val="24"/>
        </w:rPr>
      </w:pPr>
      <w:r w:rsidRPr="001B7712">
        <w:rPr>
          <w:rFonts w:cs="Calibri"/>
          <w:strike/>
          <w:color w:val="000000" w:themeColor="text1"/>
          <w:sz w:val="24"/>
          <w:szCs w:val="24"/>
        </w:rPr>
        <w:t xml:space="preserve">We estimated the mortality impact of a national year-round temperature anomaly of 1°C in each month and state, </w:t>
      </w:r>
      <w:r w:rsidRPr="001B7712">
        <w:rPr>
          <w:rFonts w:cs="Calibri"/>
          <w:strike/>
          <w:sz w:val="24"/>
          <w:szCs w:val="24"/>
        </w:rPr>
        <w:t>realistic in our lifetimes under current projections of global climate change</w:t>
      </w:r>
      <w:r w:rsidR="00D9577F" w:rsidRPr="001B7712">
        <w:rPr>
          <w:rFonts w:cs="Calibri"/>
          <w:strike/>
          <w:sz w:val="24"/>
          <w:szCs w:val="24"/>
        </w:rPr>
        <w:t xml:space="preserve"> </w:t>
      </w:r>
      <w:r w:rsidRPr="001B7712">
        <w:rPr>
          <w:rFonts w:cs="Calibri"/>
          <w:strike/>
          <w:color w:val="000000" w:themeColor="text1"/>
          <w:sz w:val="24"/>
          <w:szCs w:val="24"/>
        </w:rPr>
        <w:fldChar w:fldCharType="begin" w:fldLock="1"/>
      </w:r>
      <w:r w:rsidRPr="001B7712">
        <w:rPr>
          <w:rFonts w:cs="Calibri"/>
          <w:strike/>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Pr="001B7712">
        <w:rPr>
          <w:rFonts w:cs="Calibri"/>
          <w:strike/>
          <w:color w:val="000000" w:themeColor="text1"/>
          <w:sz w:val="24"/>
          <w:szCs w:val="24"/>
        </w:rPr>
        <w:fldChar w:fldCharType="separate"/>
      </w:r>
      <w:r w:rsidRPr="001B7712">
        <w:rPr>
          <w:rFonts w:cs="Calibri"/>
          <w:strike/>
          <w:noProof/>
          <w:color w:val="000000" w:themeColor="text1"/>
          <w:sz w:val="24"/>
          <w:szCs w:val="24"/>
        </w:rPr>
        <w:t>(IPCC, 2018)</w:t>
      </w:r>
      <w:r w:rsidRPr="001B7712">
        <w:rPr>
          <w:rFonts w:cs="Calibri"/>
          <w:strike/>
          <w:color w:val="000000" w:themeColor="text1"/>
          <w:sz w:val="24"/>
          <w:szCs w:val="24"/>
        </w:rPr>
        <w:fldChar w:fldCharType="end"/>
      </w:r>
      <w:r w:rsidR="00D9577F" w:rsidRPr="001B7712">
        <w:rPr>
          <w:rFonts w:cs="Calibri"/>
          <w:strike/>
          <w:color w:val="000000" w:themeColor="text1"/>
          <w:sz w:val="24"/>
          <w:szCs w:val="24"/>
        </w:rPr>
        <w:t>,</w:t>
      </w:r>
      <w:r w:rsidRPr="001B7712">
        <w:rPr>
          <w:rFonts w:cs="Calibri"/>
          <w:strike/>
          <w:color w:val="000000" w:themeColor="text1"/>
          <w:sz w:val="24"/>
          <w:szCs w:val="24"/>
        </w:rPr>
        <w:t xml:space="preserve"> as well as within the range of anomaly size experienced by some states (Figure 4).</w:t>
      </w:r>
      <w:r w:rsidRPr="001B7712">
        <w:rPr>
          <w:rFonts w:cs="Calibri"/>
          <w:strike/>
          <w:sz w:val="24"/>
          <w:szCs w:val="24"/>
        </w:rPr>
        <w:t xml:space="preserve"> </w:t>
      </w:r>
      <w:r w:rsidRPr="001B7712">
        <w:rPr>
          <w:rFonts w:cs="Calibri"/>
          <w:strike/>
          <w:color w:val="000000" w:themeColor="text1"/>
          <w:sz w:val="24"/>
          <w:szCs w:val="24"/>
        </w:rPr>
        <w:t>For this calculation, we multiplied the actual death counts for each month, sex, state and age group in 2016 by the corresponding excess relative risk, equivalent to the exponential of the coefficient of the temperature anomaly term from the above analysis.</w:t>
      </w:r>
    </w:p>
    <w:p w14:paraId="41AD82FF" w14:textId="77777777" w:rsidR="00CB5EEE" w:rsidRPr="001B7712" w:rsidRDefault="00CB5EEE" w:rsidP="003A4AB3">
      <w:pPr>
        <w:spacing w:line="480" w:lineRule="auto"/>
        <w:ind w:firstLine="720"/>
        <w:jc w:val="both"/>
        <w:rPr>
          <w:rFonts w:cs="Calibri"/>
          <w:strike/>
          <w:color w:val="000000" w:themeColor="text1"/>
          <w:sz w:val="24"/>
          <w:szCs w:val="24"/>
        </w:rPr>
      </w:pPr>
      <w:r w:rsidRPr="001B7712">
        <w:rPr>
          <w:rFonts w:cs="Calibri"/>
          <w:strike/>
          <w:color w:val="000000" w:themeColor="text1"/>
          <w:sz w:val="24"/>
          <w:szCs w:val="24"/>
        </w:rPr>
        <w:t>The uncertainty in our results were obtained from 5000 draws from the posterior marginal of each month’s excess relative risk. The reported 95% Credible Intervals (CrIs), quoted in brackets where appropriate, are the 2.5</w:t>
      </w:r>
      <w:r w:rsidRPr="001B7712">
        <w:rPr>
          <w:rFonts w:cs="Calibri"/>
          <w:strike/>
          <w:color w:val="000000" w:themeColor="text1"/>
          <w:sz w:val="24"/>
          <w:szCs w:val="24"/>
          <w:vertAlign w:val="superscript"/>
        </w:rPr>
        <w:t>th</w:t>
      </w:r>
      <w:r w:rsidRPr="001B7712">
        <w:rPr>
          <w:rFonts w:cs="Calibri"/>
          <w:strike/>
          <w:color w:val="000000" w:themeColor="text1"/>
          <w:sz w:val="24"/>
          <w:szCs w:val="24"/>
        </w:rPr>
        <w:t xml:space="preserve"> to 97.5</w:t>
      </w:r>
      <w:r w:rsidRPr="001B7712">
        <w:rPr>
          <w:rFonts w:cs="Calibri"/>
          <w:strike/>
          <w:color w:val="000000" w:themeColor="text1"/>
          <w:sz w:val="24"/>
          <w:szCs w:val="24"/>
          <w:vertAlign w:val="superscript"/>
        </w:rPr>
        <w:t>th</w:t>
      </w:r>
      <w:r w:rsidRPr="001B7712">
        <w:rPr>
          <w:rFonts w:cs="Calibri"/>
          <w:strike/>
          <w:color w:val="000000" w:themeColor="text1"/>
          <w:sz w:val="24"/>
          <w:szCs w:val="24"/>
        </w:rPr>
        <w:t xml:space="preserve"> percentiles of the sampled values.</w:t>
      </w:r>
    </w:p>
    <w:p w14:paraId="5BD03B91" w14:textId="77777777" w:rsidR="00CB5EEE" w:rsidRPr="001B7712" w:rsidRDefault="00CB5EEE" w:rsidP="003A4AB3">
      <w:pPr>
        <w:spacing w:line="480" w:lineRule="auto"/>
        <w:ind w:firstLine="720"/>
        <w:jc w:val="both"/>
        <w:rPr>
          <w:rFonts w:cs="Calibri"/>
          <w:strike/>
          <w:sz w:val="24"/>
          <w:szCs w:val="24"/>
        </w:rPr>
      </w:pPr>
      <w:r w:rsidRPr="001B7712">
        <w:rPr>
          <w:rFonts w:cs="Calibri"/>
          <w:strike/>
          <w:sz w:val="24"/>
          <w:szCs w:val="24"/>
        </w:rPr>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(Supplementary Table 2), and therefore we did not run models using these alternatives. </w:t>
      </w:r>
    </w:p>
    <w:p w14:paraId="74479BFD" w14:textId="77777777" w:rsidR="00CB5EEE" w:rsidRPr="001B7712" w:rsidRDefault="00CB5EEE" w:rsidP="00CB5EEE">
      <w:pPr>
        <w:spacing w:line="480" w:lineRule="auto"/>
        <w:jc w:val="both"/>
        <w:rPr>
          <w:rFonts w:cs="Calibri"/>
          <w:strike/>
          <w:sz w:val="24"/>
          <w:szCs w:val="24"/>
        </w:rPr>
      </w:pPr>
      <w:r w:rsidRPr="001B7712">
        <w:rPr>
          <w:rFonts w:cs="Calibri"/>
          <w:strike/>
          <w:sz w:val="24"/>
          <w:szCs w:val="24"/>
        </w:rPr>
        <w:t>Together with temperature anomaly based on daily mean temperatures, we also included a second measure of anomaly in the model. The additional measures were related to extreme anomalous temperature:</w:t>
      </w:r>
    </w:p>
    <w:p w14:paraId="7A381D03" w14:textId="6717BA7B" w:rsidR="00CB5EEE" w:rsidRPr="001B7712" w:rsidRDefault="00CB5EEE" w:rsidP="003A4AB3">
      <w:pPr>
        <w:pStyle w:val="ListParagraph"/>
        <w:numPr>
          <w:ilvl w:val="0"/>
          <w:numId w:val="43"/>
        </w:numPr>
        <w:spacing w:line="480" w:lineRule="auto"/>
        <w:jc w:val="both"/>
        <w:rPr>
          <w:rFonts w:cs="Calibri"/>
          <w:i/>
          <w:strike/>
          <w:color w:val="000000" w:themeColor="text1"/>
          <w:sz w:val="24"/>
          <w:szCs w:val="24"/>
        </w:rPr>
      </w:pPr>
      <w:r w:rsidRPr="001B7712">
        <w:rPr>
          <w:rFonts w:cs="Calibri"/>
          <w:strike/>
          <w:color w:val="000000" w:themeColor="text1"/>
          <w:sz w:val="24"/>
          <w:szCs w:val="24"/>
        </w:rPr>
        <w:t>temperature anomaly based on</w:t>
      </w:r>
      <w:r w:rsidRPr="001B7712" w:rsidDel="00F36612">
        <w:rPr>
          <w:rFonts w:cs="Calibri"/>
          <w:strike/>
          <w:color w:val="000000" w:themeColor="text1"/>
          <w:sz w:val="24"/>
          <w:szCs w:val="24"/>
        </w:rPr>
        <w:t xml:space="preserve"> </w:t>
      </w:r>
      <w:r w:rsidRPr="001B7712">
        <w:rPr>
          <w:rFonts w:cs="Calibri"/>
          <w:strike/>
          <w:color w:val="000000" w:themeColor="text1"/>
          <w:sz w:val="24"/>
          <w:szCs w:val="24"/>
        </w:rPr>
        <w:t>90</w:t>
      </w:r>
      <w:r w:rsidRPr="001B7712">
        <w:rPr>
          <w:rFonts w:cs="Calibri"/>
          <w:strike/>
          <w:color w:val="000000" w:themeColor="text1"/>
          <w:sz w:val="24"/>
          <w:szCs w:val="24"/>
          <w:vertAlign w:val="superscript"/>
        </w:rPr>
        <w:t>th</w:t>
      </w:r>
      <w:r w:rsidRPr="001B7712">
        <w:rPr>
          <w:rFonts w:cs="Calibri"/>
          <w:strike/>
          <w:color w:val="000000" w:themeColor="text1"/>
          <w:sz w:val="24"/>
          <w:szCs w:val="24"/>
        </w:rPr>
        <w:t xml:space="preserve"> percentile (°C) of daily mean temperatures within a month, compared to 30-year (long-term) norm of 90</w:t>
      </w:r>
      <w:r w:rsidRPr="001B7712">
        <w:rPr>
          <w:rFonts w:cs="Calibri"/>
          <w:strike/>
          <w:color w:val="000000" w:themeColor="text1"/>
          <w:sz w:val="24"/>
          <w:szCs w:val="24"/>
          <w:vertAlign w:val="superscript"/>
        </w:rPr>
        <w:t>th</w:t>
      </w:r>
      <w:r w:rsidRPr="001B7712">
        <w:rPr>
          <w:rFonts w:cs="Calibri"/>
          <w:strike/>
          <w:color w:val="000000" w:themeColor="text1"/>
          <w:sz w:val="24"/>
          <w:szCs w:val="24"/>
        </w:rPr>
        <w:t xml:space="preserve"> percentile for each state and month </w:t>
      </w:r>
    </w:p>
    <w:p w14:paraId="55BDEFB4" w14:textId="2C1064BC" w:rsidR="00CB5EEE" w:rsidRPr="001B7712" w:rsidRDefault="00CB5EEE" w:rsidP="003A4AB3">
      <w:pPr>
        <w:pStyle w:val="ListParagraph"/>
        <w:numPr>
          <w:ilvl w:val="0"/>
          <w:numId w:val="43"/>
        </w:numPr>
        <w:spacing w:line="480" w:lineRule="auto"/>
        <w:jc w:val="both"/>
        <w:rPr>
          <w:rFonts w:cs="Calibri"/>
          <w:i/>
          <w:strike/>
          <w:color w:val="000000" w:themeColor="text1"/>
          <w:sz w:val="24"/>
          <w:szCs w:val="24"/>
        </w:rPr>
      </w:pPr>
      <w:r w:rsidRPr="001B7712">
        <w:rPr>
          <w:rFonts w:cs="Calibri"/>
          <w:strike/>
          <w:sz w:val="24"/>
          <w:szCs w:val="24"/>
        </w:rPr>
        <w:t>number of days in a month above the long-term 90</w:t>
      </w:r>
      <w:r w:rsidRPr="001B7712">
        <w:rPr>
          <w:rFonts w:cs="Calibri"/>
          <w:strike/>
          <w:sz w:val="24"/>
          <w:szCs w:val="24"/>
          <w:vertAlign w:val="superscript"/>
        </w:rPr>
        <w:t>th</w:t>
      </w:r>
      <w:r w:rsidRPr="001B7712">
        <w:rPr>
          <w:rFonts w:cs="Calibri"/>
          <w:strike/>
          <w:sz w:val="24"/>
          <w:szCs w:val="24"/>
        </w:rPr>
        <w:t xml:space="preserve"> percentile of norm temperature (adjusted for length of month)</w:t>
      </w:r>
    </w:p>
    <w:p w14:paraId="72A1B0B8" w14:textId="77777777" w:rsidR="00CB5EEE" w:rsidRPr="001B7712" w:rsidRDefault="00CB5EEE" w:rsidP="003A4AB3">
      <w:pPr>
        <w:pStyle w:val="ListParagraph"/>
        <w:numPr>
          <w:ilvl w:val="0"/>
          <w:numId w:val="43"/>
        </w:numPr>
        <w:spacing w:line="480" w:lineRule="auto"/>
        <w:jc w:val="both"/>
        <w:rPr>
          <w:rFonts w:cs="Calibri"/>
          <w:i/>
          <w:strike/>
          <w:color w:val="000000" w:themeColor="text1"/>
          <w:sz w:val="24"/>
          <w:szCs w:val="24"/>
        </w:rPr>
      </w:pPr>
      <w:r w:rsidRPr="001B7712">
        <w:rPr>
          <w:rFonts w:cs="Calibri"/>
          <w:strike/>
          <w:sz w:val="24"/>
          <w:szCs w:val="24"/>
        </w:rPr>
        <w:t>number of 3+ day episodes above the long-term 90</w:t>
      </w:r>
      <w:r w:rsidRPr="001B7712">
        <w:rPr>
          <w:rFonts w:cs="Calibri"/>
          <w:strike/>
          <w:sz w:val="24"/>
          <w:szCs w:val="24"/>
          <w:vertAlign w:val="superscript"/>
        </w:rPr>
        <w:t>th</w:t>
      </w:r>
      <w:r w:rsidRPr="001B7712">
        <w:rPr>
          <w:rFonts w:cs="Calibri"/>
          <w:strike/>
          <w:sz w:val="24"/>
          <w:szCs w:val="24"/>
        </w:rPr>
        <w:t xml:space="preserve"> percentile of norm temperature (adjusted for length of month)</w:t>
      </w:r>
    </w:p>
    <w:p w14:paraId="0E6BA521" w14:textId="40056500" w:rsidR="00B971FF" w:rsidRPr="001B7712" w:rsidRDefault="00CB5EEE" w:rsidP="003A4AB3">
      <w:pPr>
        <w:spacing w:line="480" w:lineRule="auto"/>
        <w:ind w:firstLine="360"/>
        <w:jc w:val="both"/>
        <w:rPr>
          <w:rFonts w:cs="Calibri"/>
          <w:strike/>
          <w:color w:val="000000" w:themeColor="text1"/>
          <w:sz w:val="24"/>
          <w:szCs w:val="24"/>
        </w:rPr>
      </w:pPr>
      <w:r w:rsidRPr="001B7712">
        <w:rPr>
          <w:rFonts w:cs="Calibri"/>
          <w:strike/>
          <w:sz w:val="24"/>
          <w:szCs w:val="24"/>
        </w:rPr>
        <w:t>The correlations among the variables and anomaly based on mean were between 0.6 and 0.89 (Supplementary Table 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6C84221" w14:textId="3247A8DE" w:rsidR="00B971FF" w:rsidRPr="001B7712" w:rsidRDefault="00B971FF" w:rsidP="00E03939">
      <w:pPr>
        <w:spacing w:line="480" w:lineRule="auto"/>
        <w:ind w:firstLine="360"/>
        <w:jc w:val="both"/>
        <w:rPr>
          <w:rFonts w:cs="Calibri"/>
          <w:strike/>
          <w:color w:val="000000" w:themeColor="text1"/>
          <w:sz w:val="24"/>
          <w:szCs w:val="24"/>
        </w:rPr>
      </w:pPr>
      <w:r w:rsidRPr="001B7712">
        <w:rPr>
          <w:rFonts w:cs="Calibri"/>
          <w:strike/>
          <w:color w:val="000000" w:themeColor="text1"/>
          <w:sz w:val="24"/>
          <w:szCs w:val="24"/>
        </w:rPr>
        <w:lastRenderedPageBreak/>
        <w:t>We first defined a measure of anomalous temperature for each state and month compared to</w:t>
      </w:r>
      <w:r w:rsidRPr="001B7712">
        <w:rPr>
          <w:rFonts w:cs="Calibri"/>
          <w:strike/>
          <w:sz w:val="24"/>
          <w:szCs w:val="24"/>
        </w:rPr>
        <w:t xml:space="preserve"> long-term norm temperature of the state in that month (Figure 3)</w:t>
      </w:r>
      <w:r w:rsidRPr="001B7712">
        <w:rPr>
          <w:rFonts w:cs="Calibri"/>
          <w:strike/>
          <w:color w:val="000000" w:themeColor="text1"/>
          <w:sz w:val="24"/>
          <w:szCs w:val="24"/>
        </w:rPr>
        <w:t>. 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1B7712">
        <w:rPr>
          <w:rFonts w:cs="Calibri"/>
          <w:bCs/>
          <w:strike/>
          <w:color w:val="000000" w:themeColor="text1"/>
          <w:sz w:val="24"/>
          <w:szCs w:val="24"/>
        </w:rPr>
        <w:t>°C</w:t>
      </w:r>
      <w:r w:rsidRPr="001B7712">
        <w:rPr>
          <w:rFonts w:cs="Calibri"/>
          <w:strike/>
          <w:color w:val="000000" w:themeColor="text1"/>
          <w:sz w:val="24"/>
          <w:szCs w:val="24"/>
        </w:rPr>
        <w:t xml:space="preserve"> for Florida in September, to 3.4</w:t>
      </w:r>
      <w:r w:rsidRPr="001B7712">
        <w:rPr>
          <w:rFonts w:cs="Calibri"/>
          <w:bCs/>
          <w:strike/>
          <w:color w:val="000000" w:themeColor="text1"/>
          <w:sz w:val="24"/>
          <w:szCs w:val="24"/>
        </w:rPr>
        <w:t>°C</w:t>
      </w:r>
      <w:r w:rsidRPr="001B7712">
        <w:rPr>
          <w:rFonts w:cs="Calibri"/>
          <w:strike/>
          <w:color w:val="000000" w:themeColor="text1"/>
          <w:sz w:val="24"/>
          <w:szCs w:val="24"/>
        </w:rPr>
        <w:t xml:space="preserve"> for North Dakota in February (Figure 4). The average size of anomaly had a median value of 1.2</w:t>
      </w:r>
      <w:r w:rsidRPr="001B7712">
        <w:rPr>
          <w:rFonts w:cs="Calibri"/>
          <w:bCs/>
          <w:strike/>
          <w:color w:val="000000" w:themeColor="text1"/>
          <w:sz w:val="24"/>
          <w:szCs w:val="24"/>
        </w:rPr>
        <w:t xml:space="preserve">°C across all states and months, with 27% less than 1°C and 90% less than </w:t>
      </w:r>
      <w:r w:rsidRPr="001B7712">
        <w:rPr>
          <w:rFonts w:cs="Calibri"/>
          <w:strike/>
          <w:color w:val="000000" w:themeColor="text1"/>
          <w:sz w:val="24"/>
          <w:szCs w:val="24"/>
        </w:rPr>
        <w:t>2</w:t>
      </w:r>
      <w:r w:rsidRPr="001B7712">
        <w:rPr>
          <w:rFonts w:cs="Calibri"/>
          <w:bCs/>
          <w:strike/>
          <w:color w:val="000000" w:themeColor="text1"/>
          <w:sz w:val="24"/>
          <w:szCs w:val="24"/>
        </w:rPr>
        <w:t>°C (Figure 4)</w:t>
      </w:r>
      <w:r w:rsidRPr="001B7712">
        <w:rPr>
          <w:rFonts w:cs="Calibri"/>
          <w:strike/>
          <w:color w:val="000000" w:themeColor="text1"/>
          <w:sz w:val="24"/>
          <w:szCs w:val="24"/>
        </w:rPr>
        <w:t>. Temperature anomalies were largest in January and December and smallest in August and September. They were larger in northern and central states than in southern and coastal ones.</w:t>
      </w:r>
    </w:p>
    <w:p w14:paraId="7B9DF3D4" w14:textId="77777777" w:rsidR="00B971FF" w:rsidRPr="001B7712" w:rsidRDefault="00B971FF" w:rsidP="00E03939">
      <w:pPr>
        <w:spacing w:line="480" w:lineRule="auto"/>
        <w:ind w:firstLine="360"/>
        <w:jc w:val="both"/>
        <w:rPr>
          <w:rFonts w:cs="Calibri"/>
          <w:strike/>
          <w:sz w:val="24"/>
          <w:szCs w:val="24"/>
        </w:rPr>
      </w:pPr>
      <w:r w:rsidRPr="001B7712">
        <w:rPr>
          <w:rFonts w:cs="Calibri"/>
          <w:strike/>
          <w:color w:val="000000" w:themeColor="text1"/>
          <w:sz w:val="24"/>
          <w:szCs w:val="24"/>
        </w:rPr>
        <w:t>We then analysed the association of monthly injury death rates with anomalous temperature using a Bayesian spatio-temporal model,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 Analyses were done separately by injury type, sex and age group. We used the resultant risk estimates and the age-sex-specific death rates from each injury in 2016, to calculate additional deaths if each month in each state were +1</w:t>
      </w:r>
      <w:r w:rsidRPr="001B7712">
        <w:rPr>
          <w:rFonts w:eastAsia="Times New Roman" w:cs="Calibri"/>
          <w:bCs/>
          <w:strike/>
          <w:color w:val="222222"/>
          <w:sz w:val="24"/>
          <w:szCs w:val="24"/>
          <w:shd w:val="clear" w:color="auto" w:fill="FFFFFF"/>
        </w:rPr>
        <w:t>°</w:t>
      </w:r>
      <w:r w:rsidRPr="001B7712">
        <w:rPr>
          <w:rFonts w:cs="Calibri"/>
          <w:strike/>
          <w:color w:val="000000" w:themeColor="text1"/>
          <w:sz w:val="24"/>
          <w:szCs w:val="24"/>
        </w:rPr>
        <w:t>C above its long-term norm, by type of injury, sex, age group, state and month.</w:t>
      </w:r>
      <w:r w:rsidRPr="001B7712">
        <w:rPr>
          <w:rFonts w:cs="Calibri"/>
          <w:strike/>
          <w:sz w:val="24"/>
          <w:szCs w:val="24"/>
        </w:rPr>
        <w:t xml:space="preserve"> </w:t>
      </w:r>
    </w:p>
    <w:p w14:paraId="75A0185A" w14:textId="5F73751F" w:rsidR="00B971FF" w:rsidRDefault="002A14D7" w:rsidP="002A14D7">
      <w:pPr>
        <w:pStyle w:val="Heading2"/>
      </w:pPr>
      <w:bookmarkStart w:id="13" w:name="_Toc6171731"/>
      <w:r>
        <w:t>Results</w:t>
      </w:r>
      <w:bookmarkEnd w:id="13"/>
    </w:p>
    <w:p w14:paraId="7CAC7D87" w14:textId="7CEF2CA8" w:rsidR="006851BD" w:rsidRPr="000377CB" w:rsidRDefault="006851BD" w:rsidP="006851BD">
      <w:pPr>
        <w:spacing w:line="480" w:lineRule="auto"/>
        <w:ind w:firstLine="720"/>
        <w:jc w:val="both"/>
        <w:rPr>
          <w:rFonts w:cs="Calibri"/>
          <w:sz w:val="24"/>
          <w:szCs w:val="24"/>
        </w:rPr>
      </w:pPr>
      <w:r w:rsidRPr="000377CB">
        <w:rPr>
          <w:rFonts w:cs="Calibri"/>
          <w:color w:val="000000" w:themeColor="text1"/>
          <w:sz w:val="24"/>
          <w:szCs w:val="24"/>
        </w:rPr>
        <w:t>Injuries from transport, falls, drownings, assault, and intentional self-harm accounted for 79.0% of injury deaths in males and 72.1% in females. The remainder were from a heterogeneous group of “other unintentional injuries” (</w:t>
      </w:r>
      <w:r w:rsidR="00E23283">
        <w:rPr>
          <w:rFonts w:cs="Calibri"/>
          <w:color w:val="000000" w:themeColor="text1"/>
          <w:sz w:val="24"/>
          <w:szCs w:val="24"/>
        </w:rPr>
        <w:fldChar w:fldCharType="begin"/>
      </w:r>
      <w:r w:rsidR="00E23283">
        <w:rPr>
          <w:rFonts w:cs="Calibri"/>
          <w:color w:val="000000" w:themeColor="text1"/>
          <w:sz w:val="24"/>
          <w:szCs w:val="24"/>
        </w:rPr>
        <w:instrText xml:space="preserve"> REF _Ref6323550 \h </w:instrText>
      </w:r>
      <w:r w:rsidR="00E23283">
        <w:rPr>
          <w:rFonts w:cs="Calibri"/>
          <w:color w:val="000000" w:themeColor="text1"/>
          <w:sz w:val="24"/>
          <w:szCs w:val="24"/>
        </w:rPr>
      </w:r>
      <w:r w:rsidR="00E23283">
        <w:rPr>
          <w:rFonts w:cs="Calibri"/>
          <w:color w:val="000000" w:themeColor="text1"/>
          <w:sz w:val="24"/>
          <w:szCs w:val="24"/>
        </w:rPr>
        <w:fldChar w:fldCharType="separate"/>
      </w:r>
      <w:r w:rsidR="00E23283" w:rsidRPr="00C1349F">
        <w:rPr>
          <w:b/>
        </w:rPr>
        <w:t xml:space="preserve">Figure </w:t>
      </w:r>
      <w:r w:rsidR="00E23283" w:rsidRPr="00C1349F">
        <w:rPr>
          <w:b/>
          <w:noProof/>
        </w:rPr>
        <w:t>1</w:t>
      </w:r>
      <w:r w:rsidR="00E23283">
        <w:rPr>
          <w:rFonts w:cs="Calibri"/>
          <w:color w:val="000000" w:themeColor="text1"/>
          <w:sz w:val="24"/>
          <w:szCs w:val="24"/>
        </w:rPr>
        <w:fldChar w:fldCharType="end"/>
      </w:r>
      <w:r w:rsidRPr="000377CB">
        <w:rPr>
          <w:rFonts w:cs="Calibri"/>
          <w:color w:val="000000" w:themeColor="text1"/>
          <w:sz w:val="24"/>
          <w:szCs w:val="24"/>
        </w:rPr>
        <w:t xml:space="preserve">), within which </w:t>
      </w:r>
      <w:r w:rsidRPr="000377CB">
        <w:rPr>
          <w:rFonts w:cs="Calibri"/>
          <w:sz w:val="24"/>
          <w:szCs w:val="24"/>
        </w:rPr>
        <w:t xml:space="preserve">the type of </w:t>
      </w:r>
      <w:r w:rsidRPr="000377CB">
        <w:rPr>
          <w:rFonts w:cs="Calibri"/>
          <w:sz w:val="24"/>
          <w:szCs w:val="24"/>
        </w:rPr>
        <w:lastRenderedPageBreak/>
        <w:t xml:space="preserve">injury that led to death varied by sex and age group.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p>
    <w:p w14:paraId="0058AA2B" w14:textId="77777777" w:rsidR="006851BD" w:rsidRPr="000377CB" w:rsidRDefault="006851BD" w:rsidP="006851BD">
      <w:pPr>
        <w:spacing w:line="480" w:lineRule="auto"/>
        <w:ind w:firstLine="720"/>
        <w:jc w:val="both"/>
        <w:rPr>
          <w:rFonts w:cs="Calibri"/>
          <w:sz w:val="24"/>
          <w:szCs w:val="24"/>
        </w:rPr>
      </w:pPr>
      <w:r w:rsidRPr="000377CB">
        <w:rPr>
          <w:rFonts w:cs="Calibri"/>
          <w:sz w:val="24"/>
          <w:szCs w:val="24"/>
        </w:rPr>
        <w:t>There was a decline in age-standardised death rates of three out of five major injuries (transport, drownings and assault) from 1980 to 2016 (Figure 2). In contrast, age-standardised death rates from falls increased over time while those from intentional self-harm initially decreased followed by an increase to surpass 1980 levels. The largest overall decline over time was for transport deaths, which declined by over 50% from 1980 to 2016. Age-standardised death rates for transport and drownings peaked in summer months but deaths from other major injuries did not have clear seasonal patterns.</w:t>
      </w:r>
    </w:p>
    <w:p w14:paraId="0BA14D65" w14:textId="77777777" w:rsidR="0065279F" w:rsidRDefault="006851BD" w:rsidP="006851BD">
      <w:pPr>
        <w:spacing w:line="480" w:lineRule="auto"/>
        <w:ind w:firstLine="720"/>
        <w:jc w:val="both"/>
        <w:rPr>
          <w:rFonts w:cs="Calibri"/>
          <w:color w:val="000000" w:themeColor="text1"/>
          <w:sz w:val="24"/>
          <w:szCs w:val="24"/>
        </w:rPr>
        <w:sectPr w:rsidR="0065279F" w:rsidSect="0083190B">
          <w:pgSz w:w="11900" w:h="16840"/>
          <w:pgMar w:top="1440" w:right="1440" w:bottom="1440" w:left="1440" w:header="720" w:footer="720" w:gutter="0"/>
          <w:lnNumType w:countBy="1" w:restart="continuous"/>
          <w:cols w:space="720"/>
          <w:docGrid w:linePitch="360"/>
        </w:sectPr>
      </w:pPr>
      <w:r w:rsidRPr="000377CB">
        <w:rPr>
          <w:rFonts w:cs="Calibri"/>
          <w:color w:val="000000" w:themeColor="text1"/>
          <w:sz w:val="24"/>
          <w:szCs w:val="24"/>
        </w:rPr>
        <w:t>With few exceptions</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2015)","previouslyFormattedCitation":"&lt;sup&gt;8,13&lt;/sup&gt;"},"properties":{"noteIndex":0},"schema":"https://github.com/citation-style-language/schema/raw/master/csl-citation.json"}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(Burke et al., 2018; Shi, Kloog, Zanobetti, Liu, &amp; Schwartz, 2015)</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current climate change risk assessments typically extrapolate from changes in mortality in relation to daily temperature</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2012)","previouslyFormattedCitation":"&lt;sup&gt;1,4,5,14,15&lt;/sup&gt;"},"properties":{"noteIndex":0},"schema":"https://github.com/citation-style-language/schema/raw/master/csl-citation.json"}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(Basu, 2009; Gasparrini et al., 2015, 2017; Huang et al., 2011; Ye et al., 2012)</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76D07B8C" w14:textId="77777777" w:rsidR="00EA12B7" w:rsidRDefault="0065279F" w:rsidP="007847A2">
      <w:pPr>
        <w:keepNext/>
        <w:suppressLineNumbers/>
        <w:spacing w:line="480" w:lineRule="auto"/>
        <w:ind w:firstLine="720"/>
      </w:pPr>
      <w:r>
        <w:rPr>
          <w:rFonts w:cs="Calibri"/>
          <w:noProof/>
          <w:color w:val="000000" w:themeColor="text1"/>
          <w:sz w:val="24"/>
          <w:szCs w:val="24"/>
        </w:rPr>
        <w:lastRenderedPageBreak/>
        <w:drawing>
          <wp:inline distT="0" distB="0" distL="0" distR="0" wp14:anchorId="6E9E1374" wp14:editId="789EAAD3">
            <wp:extent cx="8775603" cy="569692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rotWithShape="1">
                    <a:blip r:embed="rId14">
                      <a:extLst>
                        <a:ext uri="{28A0092B-C50C-407E-A947-70E740481C1C}">
                          <a14:useLocalDpi xmlns:a14="http://schemas.microsoft.com/office/drawing/2010/main" val="0"/>
                        </a:ext>
                      </a:extLst>
                    </a:blip>
                    <a:srcRect t="3625" b="4623"/>
                    <a:stretch/>
                  </pic:blipFill>
                  <pic:spPr bwMode="auto">
                    <a:xfrm>
                      <a:off x="0" y="0"/>
                      <a:ext cx="8776800" cy="5697704"/>
                    </a:xfrm>
                    <a:prstGeom prst="rect">
                      <a:avLst/>
                    </a:prstGeom>
                    <a:ln>
                      <a:noFill/>
                    </a:ln>
                    <a:extLst>
                      <a:ext uri="{53640926-AAD7-44D8-BBD7-CCE9431645EC}">
                        <a14:shadowObscured xmlns:a14="http://schemas.microsoft.com/office/drawing/2010/main"/>
                      </a:ext>
                    </a:extLst>
                  </pic:spPr>
                </pic:pic>
              </a:graphicData>
            </a:graphic>
          </wp:inline>
        </w:drawing>
      </w:r>
    </w:p>
    <w:p w14:paraId="5EE8E0DD" w14:textId="42291B83" w:rsidR="0065279F" w:rsidRDefault="00EA12B7" w:rsidP="007847A2">
      <w:pPr>
        <w:suppressLineNumbers/>
        <w:jc w:val="center"/>
        <w:rPr>
          <w:rFonts w:cs="Calibri"/>
          <w:color w:val="000000" w:themeColor="text1"/>
          <w:sz w:val="24"/>
          <w:szCs w:val="24"/>
        </w:rPr>
        <w:sectPr w:rsidR="0065279F" w:rsidSect="0065279F">
          <w:pgSz w:w="16840" w:h="11900" w:orient="landscape"/>
          <w:pgMar w:top="720" w:right="720" w:bottom="720" w:left="720" w:header="720" w:footer="720" w:gutter="0"/>
          <w:lnNumType w:countBy="1" w:restart="continuous"/>
          <w:cols w:space="720"/>
          <w:docGrid w:linePitch="360"/>
        </w:sectPr>
      </w:pPr>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CC3E7E">
        <w:rPr>
          <w:b/>
          <w:noProof/>
        </w:rPr>
        <w:t>2</w:t>
      </w:r>
      <w:r w:rsidRPr="00EA12B7">
        <w:rPr>
          <w:b/>
        </w:rPr>
        <w:fldChar w:fldCharType="end"/>
      </w:r>
      <w:r>
        <w:t xml:space="preserve">. </w:t>
      </w:r>
      <w:r w:rsidRPr="003235E7">
        <w:t>National age-standardised death rates from 1980 to 2016, by type of injury and month</w:t>
      </w:r>
    </w:p>
    <w:p w14:paraId="19D33D24" w14:textId="3C27BF55" w:rsidR="00B971FF" w:rsidRPr="000377CB" w:rsidRDefault="00B971FF" w:rsidP="00FE26DD">
      <w:pPr>
        <w:spacing w:line="480" w:lineRule="auto"/>
        <w:ind w:firstLine="720"/>
        <w:jc w:val="both"/>
        <w:rPr>
          <w:rFonts w:cs="Calibri"/>
          <w:sz w:val="24"/>
          <w:szCs w:val="24"/>
        </w:rPr>
      </w:pPr>
      <w:r w:rsidRPr="006851BD">
        <w:rPr>
          <w:rFonts w:cs="Calibri"/>
          <w:sz w:val="24"/>
          <w:szCs w:val="24"/>
          <w:highlight w:val="yellow"/>
        </w:rPr>
        <w:lastRenderedPageBreak/>
        <w:t>Based on these calculations</w:t>
      </w:r>
      <w:r w:rsidRPr="000377CB">
        <w:rPr>
          <w:rFonts w:cs="Calibri"/>
          <w:sz w:val="24"/>
          <w:szCs w:val="24"/>
        </w:rPr>
        <w:t xml:space="preserve">, there would be an estimated 941 (95% </w:t>
      </w:r>
      <w:proofErr w:type="spellStart"/>
      <w:r w:rsidRPr="000377CB">
        <w:rPr>
          <w:rFonts w:cs="Calibri"/>
          <w:sz w:val="24"/>
          <w:szCs w:val="24"/>
        </w:rPr>
        <w:t>CrI</w:t>
      </w:r>
      <w:proofErr w:type="spellEnd"/>
      <w:r w:rsidRPr="000377CB">
        <w:rPr>
          <w:rFonts w:cs="Calibri"/>
          <w:sz w:val="24"/>
          <w:szCs w:val="24"/>
        </w:rPr>
        <w:t xml:space="preserve"> 831, 1,053) excess injury deaths, equivalent to 0.47% of all injury deaths in 2016,</w:t>
      </w:r>
      <w:r w:rsidRPr="000377CB">
        <w:rPr>
          <w:rFonts w:cs="Calibri"/>
          <w:color w:val="000000" w:themeColor="text1"/>
          <w:sz w:val="24"/>
          <w:szCs w:val="24"/>
        </w:rPr>
        <w:t xml:space="preserve">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w:t>
      </w:r>
      <w:r w:rsidRPr="000377CB">
        <w:rPr>
          <w:rFonts w:cs="Calibri"/>
          <w:sz w:val="24"/>
          <w:szCs w:val="24"/>
        </w:rPr>
        <w:t xml:space="preserve"> (</w:t>
      </w:r>
      <w:r w:rsidR="00703016">
        <w:rPr>
          <w:rFonts w:cs="Calibri"/>
          <w:sz w:val="24"/>
          <w:szCs w:val="24"/>
        </w:rPr>
        <w:fldChar w:fldCharType="begin"/>
      </w:r>
      <w:r w:rsidR="00703016">
        <w:rPr>
          <w:rFonts w:cs="Calibri"/>
          <w:sz w:val="24"/>
          <w:szCs w:val="24"/>
        </w:rPr>
        <w:instrText xml:space="preserve"> REF _Ref6324596 \h </w:instrText>
      </w:r>
      <w:r w:rsidR="00703016">
        <w:rPr>
          <w:rFonts w:cs="Calibri"/>
          <w:sz w:val="24"/>
          <w:szCs w:val="24"/>
        </w:rPr>
      </w:r>
      <w:r w:rsidR="00703016">
        <w:rPr>
          <w:rFonts w:cs="Calibri"/>
          <w:sz w:val="24"/>
          <w:szCs w:val="24"/>
        </w:rPr>
        <w:fldChar w:fldCharType="separate"/>
      </w:r>
      <w:r w:rsidR="00703016" w:rsidRPr="00CC3E7E">
        <w:rPr>
          <w:b/>
        </w:rPr>
        <w:t xml:space="preserve">Figure </w:t>
      </w:r>
      <w:r w:rsidR="00703016" w:rsidRPr="00CC3E7E">
        <w:rPr>
          <w:b/>
          <w:noProof/>
        </w:rPr>
        <w:t>3</w:t>
      </w:r>
      <w:r w:rsidR="00703016">
        <w:rPr>
          <w:rFonts w:cs="Calibri"/>
          <w:sz w:val="24"/>
          <w:szCs w:val="24"/>
        </w:rPr>
        <w:fldChar w:fldCharType="end"/>
      </w:r>
      <w:r w:rsidRPr="000377CB">
        <w:rPr>
          <w:rFonts w:cs="Calibri"/>
          <w:sz w:val="24"/>
          <w:szCs w:val="24"/>
        </w:rPr>
        <w:t>). Deaths from drowning, transport, assault and intentional self-harm would be predicted to increase, partly offset by a decline in deaths from falls in middle and older ages and in winter months (</w:t>
      </w:r>
      <w:r w:rsidR="00EA0991">
        <w:rPr>
          <w:rFonts w:cs="Calibri"/>
          <w:sz w:val="24"/>
          <w:szCs w:val="24"/>
        </w:rPr>
        <w:fldChar w:fldCharType="begin"/>
      </w:r>
      <w:r w:rsidR="00EA0991">
        <w:rPr>
          <w:rFonts w:cs="Calibri"/>
          <w:sz w:val="24"/>
          <w:szCs w:val="24"/>
        </w:rPr>
        <w:instrText xml:space="preserve"> REF _Ref6324596 \h </w:instrText>
      </w:r>
      <w:r w:rsidR="00EA0991">
        <w:rPr>
          <w:rFonts w:cs="Calibri"/>
          <w:sz w:val="24"/>
          <w:szCs w:val="24"/>
        </w:rPr>
      </w:r>
      <w:r w:rsidR="00EA0991">
        <w:rPr>
          <w:rFonts w:cs="Calibri"/>
          <w:sz w:val="24"/>
          <w:szCs w:val="24"/>
        </w:rPr>
        <w:fldChar w:fldCharType="separate"/>
      </w:r>
      <w:r w:rsidR="00EA0991" w:rsidRPr="00CC3E7E">
        <w:rPr>
          <w:b/>
        </w:rPr>
        <w:t xml:space="preserve">Figure </w:t>
      </w:r>
      <w:r w:rsidR="00EA0991" w:rsidRPr="00CC3E7E">
        <w:rPr>
          <w:b/>
          <w:noProof/>
        </w:rPr>
        <w:t>3</w:t>
      </w:r>
      <w:r w:rsidR="00EA0991">
        <w:rPr>
          <w:rFonts w:cs="Calibri"/>
          <w:sz w:val="24"/>
          <w:szCs w:val="24"/>
        </w:rPr>
        <w:fldChar w:fldCharType="end"/>
      </w:r>
      <w:r w:rsidRPr="000377CB">
        <w:rPr>
          <w:rFonts w:cs="Calibri"/>
          <w:sz w:val="24"/>
          <w:szCs w:val="24"/>
        </w:rPr>
        <w:t xml:space="preserve">). 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50F1A28E" w14:textId="77777777" w:rsidR="00CC3E7E" w:rsidRDefault="00B971FF" w:rsidP="002A14D7">
      <w:pPr>
        <w:spacing w:line="480" w:lineRule="auto"/>
        <w:ind w:firstLine="720"/>
        <w:jc w:val="both"/>
        <w:rPr>
          <w:rFonts w:cs="Calibri"/>
          <w:sz w:val="24"/>
          <w:szCs w:val="24"/>
        </w:rPr>
        <w:sectPr w:rsidR="00CC3E7E" w:rsidSect="0083190B">
          <w:pgSz w:w="11900" w:h="16840"/>
          <w:pgMar w:top="1440" w:right="1440" w:bottom="1440" w:left="1440" w:header="720" w:footer="720" w:gutter="0"/>
          <w:lnNumType w:countBy="1" w:restart="continuous"/>
          <w:cols w:space="720"/>
          <w:docGrid w:linePitch="360"/>
        </w:sectPr>
      </w:pPr>
      <w:r w:rsidRPr="000377CB">
        <w:rPr>
          <w:rFonts w:cs="Calibri"/>
          <w:sz w:val="24"/>
          <w:szCs w:val="24"/>
        </w:rPr>
        <w:t xml:space="preserve">Proportionally, deaths from drownings are predicted to increase more than those of other injury types, by as much 8.3% (7.3, 9.3) in men aged 15-24 years (Supplementary Figure 1); the smallest proportional increase was that of assault and intentional self-harm (less than 2% in all age and sex groups). There was a larger percent increase in transport deaths for males than for females, especially in young and middle-ages (~e.g., </w:t>
      </w:r>
      <w:r w:rsidRPr="000377CB">
        <w:rPr>
          <w:rFonts w:eastAsia="Times New Roman" w:cs="Calibri"/>
          <w:color w:val="000000"/>
          <w:sz w:val="24"/>
          <w:szCs w:val="24"/>
        </w:rPr>
        <w:t>1.25% (0.90, 1.60)</w:t>
      </w:r>
      <w:r w:rsidRPr="000377CB">
        <w:rPr>
          <w:rFonts w:cs="Calibri"/>
          <w:sz w:val="24"/>
          <w:szCs w:val="24"/>
        </w:rPr>
        <w:t xml:space="preserve"> for </w:t>
      </w:r>
      <w:proofErr w:type="gramStart"/>
      <w:r w:rsidRPr="000377CB">
        <w:rPr>
          <w:rFonts w:cs="Calibri"/>
          <w:sz w:val="24"/>
          <w:szCs w:val="24"/>
        </w:rPr>
        <w:t>25-34 year old</w:t>
      </w:r>
      <w:proofErr w:type="gramEnd"/>
      <w:r w:rsidRPr="000377CB">
        <w:rPr>
          <w:rFonts w:cs="Calibri"/>
          <w:sz w:val="24"/>
          <w:szCs w:val="24"/>
        </w:rPr>
        <w:t xml:space="preserve"> men versus 0.23% (-0.28, 0.76) for women of the same age) (Supplementary Figure 1).</w:t>
      </w:r>
    </w:p>
    <w:p w14:paraId="487F19B0" w14:textId="77777777" w:rsidR="00CC3E7E" w:rsidRDefault="00CC3E7E" w:rsidP="0078701D">
      <w:pPr>
        <w:keepNext/>
        <w:suppressLineNumbers/>
        <w:spacing w:line="480" w:lineRule="auto"/>
        <w:ind w:firstLine="720"/>
      </w:pPr>
      <w:r>
        <w:rPr>
          <w:rFonts w:cs="Calibri"/>
          <w:noProof/>
          <w:sz w:val="24"/>
          <w:szCs w:val="24"/>
        </w:rPr>
        <w:lastRenderedPageBreak/>
        <w:drawing>
          <wp:inline distT="0" distB="0" distL="0" distR="0" wp14:anchorId="538BC3CD" wp14:editId="7A32EE87">
            <wp:extent cx="8496411" cy="55695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5">
                      <a:extLst>
                        <a:ext uri="{28A0092B-C50C-407E-A947-70E740481C1C}">
                          <a14:useLocalDpi xmlns:a14="http://schemas.microsoft.com/office/drawing/2010/main" val="0"/>
                        </a:ext>
                      </a:extLst>
                    </a:blip>
                    <a:srcRect t="3564" b="3779"/>
                    <a:stretch/>
                  </pic:blipFill>
                  <pic:spPr bwMode="auto">
                    <a:xfrm>
                      <a:off x="0" y="0"/>
                      <a:ext cx="8573106" cy="5619860"/>
                    </a:xfrm>
                    <a:prstGeom prst="rect">
                      <a:avLst/>
                    </a:prstGeom>
                    <a:ln>
                      <a:noFill/>
                    </a:ln>
                    <a:extLst>
                      <a:ext uri="{53640926-AAD7-44D8-BBD7-CCE9431645EC}">
                        <a14:shadowObscured xmlns:a14="http://schemas.microsoft.com/office/drawing/2010/main"/>
                      </a:ext>
                    </a:extLst>
                  </pic:spPr>
                </pic:pic>
              </a:graphicData>
            </a:graphic>
          </wp:inline>
        </w:drawing>
      </w:r>
    </w:p>
    <w:p w14:paraId="40F2CD77" w14:textId="0D6F3D96" w:rsidR="00CC3E7E" w:rsidRDefault="00CC3E7E" w:rsidP="00976997">
      <w:pPr>
        <w:suppressLineNumbers/>
        <w:jc w:val="center"/>
        <w:rPr>
          <w:rFonts w:cs="Calibri"/>
          <w:sz w:val="24"/>
          <w:szCs w:val="24"/>
        </w:rPr>
        <w:sectPr w:rsidR="00CC3E7E" w:rsidSect="00CC3E7E">
          <w:pgSz w:w="16840" w:h="11900" w:orient="landscape"/>
          <w:pgMar w:top="720" w:right="720" w:bottom="720" w:left="720" w:header="720" w:footer="720" w:gutter="0"/>
          <w:lnNumType w:countBy="1" w:restart="continuous"/>
          <w:cols w:space="720"/>
          <w:docGrid w:linePitch="360"/>
        </w:sectPr>
      </w:pPr>
      <w:bookmarkStart w:id="14" w:name="_Ref6324596"/>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Pr="00CC3E7E">
        <w:rPr>
          <w:b/>
          <w:noProof/>
        </w:rPr>
        <w:t>3</w:t>
      </w:r>
      <w:r w:rsidRPr="00CC3E7E">
        <w:rPr>
          <w:b/>
        </w:rPr>
        <w:fldChar w:fldCharType="end"/>
      </w:r>
      <w:bookmarkEnd w:id="14"/>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r w:rsidRPr="00636C9B">
        <w:t>.</w:t>
      </w:r>
    </w:p>
    <w:p w14:paraId="5B931221" w14:textId="28089504" w:rsidR="004E50AE" w:rsidRDefault="00DB2AF1" w:rsidP="00DB2AF1">
      <w:pPr>
        <w:pStyle w:val="Heading2"/>
        <w:jc w:val="center"/>
        <w:sectPr w:rsidR="004E50AE" w:rsidSect="004E50AE">
          <w:pgSz w:w="16840" w:h="11900" w:orient="landscape"/>
          <w:pgMar w:top="1440" w:right="1440" w:bottom="1440" w:left="1440" w:header="720" w:footer="720" w:gutter="0"/>
          <w:lnNumType w:countBy="1" w:restart="continuous"/>
          <w:cols w:space="720"/>
          <w:docGrid w:linePitch="360"/>
        </w:sectPr>
      </w:pPr>
      <w:bookmarkStart w:id="15" w:name="_Toc6171732"/>
      <w:r>
        <w:rPr>
          <w:noProof/>
        </w:rPr>
        <w:lastRenderedPageBreak/>
        <w:drawing>
          <wp:inline distT="0" distB="0" distL="0" distR="0" wp14:anchorId="6C498B73" wp14:editId="281BC124">
            <wp:extent cx="8095615" cy="572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6">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73ADEF77" w14:textId="4596CF8C" w:rsidR="004E50AE" w:rsidRDefault="00DB2AF1" w:rsidP="00DB2AF1">
      <w:pPr>
        <w:pStyle w:val="Heading2"/>
        <w:jc w:val="center"/>
        <w:sectPr w:rsidR="004E50AE" w:rsidSect="004E50AE">
          <w:pgSz w:w="16840" w:h="11900" w:orient="landscape"/>
          <w:pgMar w:top="1440" w:right="1440" w:bottom="1440" w:left="1440" w:header="720" w:footer="720" w:gutter="0"/>
          <w:lnNumType w:countBy="1" w:restart="continuous"/>
          <w:cols w:space="720"/>
          <w:docGrid w:linePitch="360"/>
        </w:sectPr>
      </w:pPr>
      <w:bookmarkStart w:id="16" w:name="_GoBack"/>
      <w:r>
        <w:rPr>
          <w:noProof/>
        </w:rPr>
        <w:lastRenderedPageBreak/>
        <w:drawing>
          <wp:inline distT="0" distB="0" distL="0" distR="0" wp14:anchorId="45A5188F" wp14:editId="4305B7B8">
            <wp:extent cx="8095615" cy="572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bookmarkEnd w:id="16"/>
    </w:p>
    <w:p w14:paraId="6C45DB60" w14:textId="1A240A5A" w:rsidR="000732F9" w:rsidRPr="000377CB" w:rsidRDefault="000732F9" w:rsidP="000732F9">
      <w:pPr>
        <w:pStyle w:val="Heading2"/>
        <w:rPr>
          <w:rFonts w:ascii="Calibri" w:hAnsi="Calibri"/>
        </w:rPr>
      </w:pPr>
      <w:r>
        <w:lastRenderedPageBreak/>
        <w:t>Discussion</w:t>
      </w:r>
      <w:bookmarkEnd w:id="15"/>
    </w:p>
    <w:p w14:paraId="2C33E344" w14:textId="6BDFACBD"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°C higher 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01634A" w:rsidRPr="000377CB">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2018)","previouslyFormattedCitation":"&lt;sup&gt;8&lt;/sup&gt;"},"properties":{"noteIndex":0},"schema":"https://github.com/citation-style-language/schema/raw/master/csl-citation.json"}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2007)","previouslyFormattedCitation":"&lt;sup&gt;9&lt;/sup&gt;"},"properties":{"noteIndex":0},"schema":"https://github.com/citation-style-language/schema/raw/master/csl-citation.json"}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2017)","previouslyFormattedCitation":"&lt;sup&gt;10&lt;/sup&gt;"},"properties":{"noteIndex":0},"schema":"https://github.com/citation-style-language/schema/raw/master/csl-citation.json"}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310E00DD" w:rsidR="00B971FF" w:rsidRPr="000377CB" w:rsidRDefault="00B971FF" w:rsidP="002A14D7">
      <w:pPr>
        <w:spacing w:line="480" w:lineRule="auto"/>
        <w:ind w:firstLine="720"/>
        <w:jc w:val="both"/>
        <w:rPr>
          <w:rFonts w:cs="Calibri"/>
          <w:sz w:val="24"/>
          <w:szCs w:val="24"/>
        </w:rPr>
      </w:pPr>
      <w:r w:rsidRPr="000377CB">
        <w:rPr>
          <w:rFonts w:cs="Calibri"/>
          <w:sz w:val="24"/>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2014)","previouslyFormattedCitation":"&lt;sup&gt;16&lt;/sup&gt;"},"properties":{"noteIndex":0},"schema":"https://github.com/citation-style-language/schema/raw/master/csl-citation.json"}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2010)","previouslyFormattedCitation":"&lt;sup&gt;17–19&lt;/sup&gt;"},"properties":{"noteIndex":0},"schema":"https://github.com/citation-style-language/schema/raw/master/csl-citation.json"}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4CB15BBD"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1991)","previouslyFormattedCitation":"&lt;sup&gt;20–23&lt;/sup&gt;"},"properties":{"noteIndex":0},"schema":"https://github.com/citation-style-language/schema/raw/master/csl-citation.json"}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 xml:space="preserve">(Daanen, Van De Vliert, &amp; </w:t>
      </w:r>
      <w:r w:rsidR="0001634A" w:rsidRPr="000377CB">
        <w:rPr>
          <w:rFonts w:cs="Calibri"/>
          <w:noProof/>
          <w:sz w:val="24"/>
          <w:szCs w:val="24"/>
        </w:rPr>
        <w:lastRenderedPageBreak/>
        <w:t>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2018)","previouslyFormattedCitation":"&lt;sup&gt;24&lt;/sup&gt;"},"properties":{"noteIndex":0},"schema":"https://github.com/citation-style-language/schema/raw/master/csl-citation.json"}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2012)","previouslyFormattedCitation":"&lt;sup&gt;25&lt;/sup&gt;"},"properties":{"noteIndex":0},"schema":"https://github.com/citation-style-language/schema/raw/master/csl-citation.json"}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2016)","previouslyFormattedCitation":"&lt;sup&gt;26–29&lt;/sup&gt;"},"properties":{"noteIndex":0},"schema":"https://github.com/citation-style-language/schema/raw/master/csl-citation.json"}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2014)","previouslyFormattedCitation":"&lt;sup&gt;30&lt;/sup&gt;"},"properties":{"noteIndex":0},"schema":"https://github.com/citation-style-language/schema/raw/master/csl-citation.json"}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22356D97"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2003)","previouslyFormattedCitation":"&lt;sup&gt;31,32&lt;/sup&gt;"},"properties":{"noteIndex":0},"schema":"https://github.com/citation-style-language/schema/raw/master/csl-citation.json"}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1976)","previouslyFormattedCitation":"&lt;sup&gt;33,34&lt;/sup&gt;"},"properties":{"noteIndex":0},"schema":"https://github.com/citation-style-language/schema/raw/master/csl-citation.json"}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2017)","previouslyFormattedCitation":"&lt;sup&gt;35&lt;/sup&gt;"},"properties":{"noteIndex":0},"schema":"https://github.com/citation-style-language/schema/raw/master/csl-citation.json"}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2018)","previouslyFormattedCitation":"&lt;sup&gt;36&lt;/sup&gt;"},"properties":{"noteIndex":0},"schema":"https://github.com/citation-style-language/schema/raw/master/csl-citation.json"}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5A3FE14"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 w:val="24"/>
          <w:szCs w:val="24"/>
        </w:rPr>
        <w:lastRenderedPageBreak/>
        <w:t>stat</w:t>
      </w:r>
      <w:r w:rsidR="000C3F34">
        <w:rPr>
          <w:rFonts w:cs="Calibri"/>
          <w:sz w:val="24"/>
          <w:szCs w:val="24"/>
        </w:rPr>
        <w:t xml:space="preserve">e, </w:t>
      </w:r>
      <w:r w:rsidRPr="000377CB">
        <w:rPr>
          <w:rFonts w:cs="Calibri"/>
          <w:sz w:val="24"/>
          <w:szCs w:val="24"/>
        </w:rPr>
        <w:t>and</w:t>
      </w:r>
      <w:proofErr w:type="gramEnd"/>
      <w:r w:rsidRPr="000377CB">
        <w:rPr>
          <w:rFonts w:cs="Calibri"/>
          <w:sz w:val="24"/>
          <w:szCs w:val="24"/>
        </w:rP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proofErr w:type="gramStart"/>
      <w:r w:rsidRPr="000377CB">
        <w:rPr>
          <w:rFonts w:cs="Calibri"/>
          <w:sz w:val="24"/>
          <w:szCs w:val="24"/>
        </w:rPr>
        <w:t>), and</w:t>
      </w:r>
      <w:proofErr w:type="gramEnd"/>
      <w:r w:rsidRPr="000377CB">
        <w:rPr>
          <w:rFonts w:cs="Calibri"/>
          <w:sz w:val="24"/>
          <w:szCs w:val="24"/>
        </w:rPr>
        <w:t xml:space="preserve">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4D8665F" w14:textId="0CD6287F" w:rsidR="00B971FF" w:rsidRPr="009B0930" w:rsidRDefault="00B971FF" w:rsidP="009B0930">
      <w:pPr>
        <w:spacing w:line="480" w:lineRule="auto"/>
        <w:ind w:firstLine="720"/>
        <w:jc w:val="both"/>
        <w:rPr>
          <w:rFonts w:cs="Calibri"/>
          <w:sz w:val="24"/>
          <w:szCs w:val="24"/>
        </w:r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p>
    <w:p w14:paraId="368CC578" w14:textId="182CAC3D" w:rsidR="006675AE" w:rsidRPr="00127064" w:rsidRDefault="006675AE" w:rsidP="006675AE">
      <w:pPr>
        <w:pStyle w:val="Heading2"/>
      </w:pPr>
      <w:bookmarkStart w:id="17" w:name="_Toc6171733"/>
      <w:r w:rsidRPr="00127064">
        <w:t>References</w:t>
      </w:r>
      <w:bookmarkEnd w:id="7"/>
      <w:bookmarkEnd w:id="17"/>
    </w:p>
    <w:p w14:paraId="2EE99C03" w14:textId="4E52254E" w:rsidR="0001634A" w:rsidRPr="0001634A" w:rsidRDefault="006675AE" w:rsidP="0001634A">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01634A" w:rsidRPr="0001634A">
        <w:rPr>
          <w:rFonts w:cs="Calibri"/>
          <w:noProof/>
          <w:sz w:val="24"/>
          <w:lang w:val="en-US"/>
        </w:rPr>
        <w:t xml:space="preserve">Ambrose, A. F., Paul, G., &amp; Hausdorff, J. M. (2013). Risk factors for falls among older adults: A review of the literature. </w:t>
      </w:r>
      <w:r w:rsidR="0001634A" w:rsidRPr="0001634A">
        <w:rPr>
          <w:rFonts w:cs="Calibri"/>
          <w:i/>
          <w:iCs/>
          <w:noProof/>
          <w:sz w:val="24"/>
          <w:lang w:val="en-US"/>
        </w:rPr>
        <w:t>Maturitas</w:t>
      </w:r>
      <w:r w:rsidR="0001634A" w:rsidRPr="0001634A">
        <w:rPr>
          <w:rFonts w:cs="Calibri"/>
          <w:noProof/>
          <w:sz w:val="24"/>
          <w:lang w:val="en-US"/>
        </w:rPr>
        <w:t>. https://doi.org/10.1016/j.maturitas.2013.02.009</w:t>
      </w:r>
    </w:p>
    <w:p w14:paraId="5312F6D4"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Anderson, C. A. (1989). Temperature and aggression: Ubiquitous effects of heat on occurrence of human violence. </w:t>
      </w:r>
      <w:r w:rsidRPr="0001634A">
        <w:rPr>
          <w:rFonts w:cs="Calibri"/>
          <w:i/>
          <w:iCs/>
          <w:noProof/>
          <w:sz w:val="24"/>
          <w:lang w:val="en-US"/>
        </w:rPr>
        <w:t>Psychological Bulletin</w:t>
      </w:r>
      <w:r w:rsidRPr="0001634A">
        <w:rPr>
          <w:rFonts w:cs="Calibri"/>
          <w:noProof/>
          <w:sz w:val="24"/>
          <w:lang w:val="en-US"/>
        </w:rPr>
        <w:t>. https://doi.org/10.1037/0033-2909.106.1.74</w:t>
      </w:r>
    </w:p>
    <w:p w14:paraId="199417C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Baron, R. A., &amp; Bell, P. A. (1976). Aggression and heat: The influence of ambient temperature, negative affect, and a cooling drink on physical aggression. </w:t>
      </w:r>
      <w:r w:rsidRPr="0001634A">
        <w:rPr>
          <w:rFonts w:cs="Calibri"/>
          <w:i/>
          <w:iCs/>
          <w:noProof/>
          <w:sz w:val="24"/>
          <w:lang w:val="en-US"/>
        </w:rPr>
        <w:t>Journal of Personality and Social Psychology</w:t>
      </w:r>
      <w:r w:rsidRPr="0001634A">
        <w:rPr>
          <w:rFonts w:cs="Calibri"/>
          <w:noProof/>
          <w:sz w:val="24"/>
          <w:lang w:val="en-US"/>
        </w:rPr>
        <w:t>. https://doi.org/10.1037/0022-3514.33.3.245</w:t>
      </w:r>
    </w:p>
    <w:p w14:paraId="616020CD"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Basu, R. (2009). High ambient temperature and mortality: A review of epidemiologic studies from 2001 to 2008. </w:t>
      </w:r>
      <w:r w:rsidRPr="0001634A">
        <w:rPr>
          <w:rFonts w:cs="Calibri"/>
          <w:i/>
          <w:iCs/>
          <w:noProof/>
          <w:sz w:val="24"/>
          <w:lang w:val="en-US"/>
        </w:rPr>
        <w:t>Environmental Health: A Global Access Science Source</w:t>
      </w:r>
      <w:r w:rsidRPr="0001634A">
        <w:rPr>
          <w:rFonts w:cs="Calibri"/>
          <w:noProof/>
          <w:sz w:val="24"/>
          <w:lang w:val="en-US"/>
        </w:rPr>
        <w:t xml:space="preserve">, </w:t>
      </w:r>
      <w:r w:rsidRPr="0001634A">
        <w:rPr>
          <w:rFonts w:cs="Calibri"/>
          <w:i/>
          <w:iCs/>
          <w:noProof/>
          <w:sz w:val="24"/>
          <w:lang w:val="en-US"/>
        </w:rPr>
        <w:t>8</w:t>
      </w:r>
      <w:r w:rsidRPr="0001634A">
        <w:rPr>
          <w:rFonts w:cs="Calibri"/>
          <w:noProof/>
          <w:sz w:val="24"/>
          <w:lang w:val="en-US"/>
        </w:rPr>
        <w:t xml:space="preserve">(1), 40. </w:t>
      </w:r>
      <w:r w:rsidRPr="0001634A">
        <w:rPr>
          <w:rFonts w:cs="Calibri"/>
          <w:noProof/>
          <w:sz w:val="24"/>
          <w:lang w:val="en-US"/>
        </w:rPr>
        <w:lastRenderedPageBreak/>
        <w:t>https://doi.org/10.1186/1476-069X-8-40</w:t>
      </w:r>
    </w:p>
    <w:p w14:paraId="3FD742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Berry, H. L., Waite, T. D., Dear, K. B. G., Capon, A. G., &amp; Murray, V. (2018). The case for systems thinking about climate change and mental health. </w:t>
      </w:r>
      <w:r w:rsidRPr="0001634A">
        <w:rPr>
          <w:rFonts w:cs="Calibri"/>
          <w:i/>
          <w:iCs/>
          <w:noProof/>
          <w:sz w:val="24"/>
          <w:lang w:val="en-US"/>
        </w:rPr>
        <w:t>Nature Climate Change</w:t>
      </w:r>
      <w:r w:rsidRPr="0001634A">
        <w:rPr>
          <w:rFonts w:cs="Calibri"/>
          <w:noProof/>
          <w:sz w:val="24"/>
          <w:lang w:val="en-US"/>
        </w:rPr>
        <w:t>. https://doi.org/10.1038/s41558-018-0102-4</w:t>
      </w:r>
    </w:p>
    <w:p w14:paraId="4021BCA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Besag, J. (1974). Spatial interaction and the statistical snalysis of lattice systems.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https://doi.org/10.2307/2984812</w:t>
      </w:r>
    </w:p>
    <w:p w14:paraId="694FDFF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01634A">
        <w:rPr>
          <w:rFonts w:cs="Calibri"/>
          <w:i/>
          <w:iCs/>
          <w:noProof/>
          <w:sz w:val="24"/>
          <w:lang w:val="en-US"/>
        </w:rPr>
        <w:t>American Journal of Epidemiology</w:t>
      </w:r>
      <w:r w:rsidRPr="0001634A">
        <w:rPr>
          <w:rFonts w:cs="Calibri"/>
          <w:noProof/>
          <w:sz w:val="24"/>
          <w:lang w:val="en-US"/>
        </w:rPr>
        <w:t xml:space="preserve">, </w:t>
      </w:r>
      <w:r w:rsidRPr="0001634A">
        <w:rPr>
          <w:rFonts w:cs="Calibri"/>
          <w:i/>
          <w:iCs/>
          <w:noProof/>
          <w:sz w:val="24"/>
          <w:lang w:val="en-US"/>
        </w:rPr>
        <w:t>185</w:t>
      </w:r>
      <w:r w:rsidRPr="0001634A">
        <w:rPr>
          <w:rFonts w:cs="Calibri"/>
          <w:noProof/>
          <w:sz w:val="24"/>
          <w:lang w:val="en-US"/>
        </w:rPr>
        <w:t>(4), 283–294. https://doi.org/10.1093/aje/kww219</w:t>
      </w:r>
    </w:p>
    <w:p w14:paraId="384FB32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Burke, M., González, F., Baylis, P., Heft-Neal, S., Baysan, C., Basu, S., &amp; Hsiang, S. (2018). Higher temperatures increase suicide rates in the United States and Mexico. </w:t>
      </w:r>
      <w:r w:rsidRPr="0001634A">
        <w:rPr>
          <w:rFonts w:cs="Calibri"/>
          <w:i/>
          <w:iCs/>
          <w:noProof/>
          <w:sz w:val="24"/>
          <w:lang w:val="en-US"/>
        </w:rPr>
        <w:t>Nature Climate Change</w:t>
      </w:r>
      <w:r w:rsidRPr="0001634A">
        <w:rPr>
          <w:rFonts w:cs="Calibri"/>
          <w:noProof/>
          <w:sz w:val="24"/>
          <w:lang w:val="en-US"/>
        </w:rPr>
        <w:t>. https://doi.org/10.1038/s41558-018-0222-x</w:t>
      </w:r>
    </w:p>
    <w:p w14:paraId="6499211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Daanen, H. A. M., Van De Vliert, E., &amp; Huang, X. (2003). Driving performance in cold, warm, and thermoneutral environments. </w:t>
      </w:r>
      <w:r w:rsidRPr="0001634A">
        <w:rPr>
          <w:rFonts w:cs="Calibri"/>
          <w:i/>
          <w:iCs/>
          <w:noProof/>
          <w:sz w:val="24"/>
          <w:lang w:val="en-US"/>
        </w:rPr>
        <w:t>Applied Ergonomics</w:t>
      </w:r>
      <w:r w:rsidRPr="0001634A">
        <w:rPr>
          <w:rFonts w:cs="Calibri"/>
          <w:noProof/>
          <w:sz w:val="24"/>
          <w:lang w:val="en-US"/>
        </w:rPr>
        <w:t>. https://doi.org/10.1016/S0003-6870(03)00055-3</w:t>
      </w:r>
    </w:p>
    <w:p w14:paraId="6196FFC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Datla, S., Sahu, P., Roh, H.-J., &amp; Sharma, S. (2013). A comprehensive analysis of the association of highway traffic with winter weather conditions. </w:t>
      </w:r>
      <w:r w:rsidRPr="0001634A">
        <w:rPr>
          <w:rFonts w:cs="Calibri"/>
          <w:i/>
          <w:iCs/>
          <w:noProof/>
          <w:sz w:val="24"/>
          <w:lang w:val="en-US"/>
        </w:rPr>
        <w:t>Procedia - Social and Behavioral Sciences</w:t>
      </w:r>
      <w:r w:rsidRPr="0001634A">
        <w:rPr>
          <w:rFonts w:cs="Calibri"/>
          <w:noProof/>
          <w:sz w:val="24"/>
          <w:lang w:val="en-US"/>
        </w:rPr>
        <w:t>. https://doi.org/10.1016/j.sbspro.2013.11.143</w:t>
      </w:r>
    </w:p>
    <w:p w14:paraId="78DED3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Dee, D. P., Uppala, S. M., Simmons, A. J., Berrisford, P., Poli, P., Kobayashi, S., … Vitart, F. (2011). The ERA-Interim reanalysis: configuration and performance of the data assimilation system. </w:t>
      </w:r>
      <w:r w:rsidRPr="0001634A">
        <w:rPr>
          <w:rFonts w:cs="Calibri"/>
          <w:i/>
          <w:iCs/>
          <w:noProof/>
          <w:sz w:val="24"/>
          <w:lang w:val="en-US"/>
        </w:rPr>
        <w:t>Quarterly Journal of the Royal Meteorological Society</w:t>
      </w:r>
      <w:r w:rsidRPr="0001634A">
        <w:rPr>
          <w:rFonts w:cs="Calibri"/>
          <w:noProof/>
          <w:sz w:val="24"/>
          <w:lang w:val="en-US"/>
        </w:rPr>
        <w:t xml:space="preserve">, </w:t>
      </w:r>
      <w:r w:rsidRPr="0001634A">
        <w:rPr>
          <w:rFonts w:cs="Calibri"/>
          <w:i/>
          <w:iCs/>
          <w:noProof/>
          <w:sz w:val="24"/>
          <w:lang w:val="en-US"/>
        </w:rPr>
        <w:t>137</w:t>
      </w:r>
      <w:r w:rsidRPr="0001634A">
        <w:rPr>
          <w:rFonts w:cs="Calibri"/>
          <w:noProof/>
          <w:sz w:val="24"/>
          <w:lang w:val="en-US"/>
        </w:rPr>
        <w:t>(656), 553–597. https://doi.org/10.1002/qj.828</w:t>
      </w:r>
    </w:p>
    <w:p w14:paraId="1767924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386</w:t>
      </w:r>
      <w:r w:rsidRPr="0001634A">
        <w:rPr>
          <w:rFonts w:cs="Calibri"/>
          <w:noProof/>
          <w:sz w:val="24"/>
          <w:lang w:val="en-US"/>
        </w:rPr>
        <w:t>(9991), 369–375. https://doi.org/10.1016/S0140-6736(14)62114-0</w:t>
      </w:r>
    </w:p>
    <w:p w14:paraId="7B63B2F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Gasparrini, A., Guo, Y., Sera, F., Vicedo-Cabrera, A. M., Huber, V., Tong, S., … Armstrong, B. (2017). Projections of temperature-related excess mortality under climate change scenarios. </w:t>
      </w:r>
      <w:r w:rsidRPr="0001634A">
        <w:rPr>
          <w:rFonts w:cs="Calibri"/>
          <w:i/>
          <w:iCs/>
          <w:noProof/>
          <w:sz w:val="24"/>
          <w:lang w:val="en-US"/>
        </w:rPr>
        <w:t>The Lancet Planetary Health</w:t>
      </w:r>
      <w:r w:rsidRPr="0001634A">
        <w:rPr>
          <w:rFonts w:cs="Calibri"/>
          <w:noProof/>
          <w:sz w:val="24"/>
          <w:lang w:val="en-US"/>
        </w:rPr>
        <w:t>. https://doi.org/10.1016/S2542-5196(17)30156-0</w:t>
      </w:r>
    </w:p>
    <w:p w14:paraId="3AD498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Glaeser, E. L., Sacerdote, B., &amp; Scheinkman, J. A. (1996). Crime and social interactions. </w:t>
      </w:r>
      <w:r w:rsidRPr="0001634A">
        <w:rPr>
          <w:rFonts w:cs="Calibri"/>
          <w:i/>
          <w:iCs/>
          <w:noProof/>
          <w:sz w:val="24"/>
          <w:lang w:val="en-US"/>
        </w:rPr>
        <w:t>The Quarterly Journal of Economics</w:t>
      </w:r>
      <w:r w:rsidRPr="0001634A">
        <w:rPr>
          <w:rFonts w:cs="Calibri"/>
          <w:noProof/>
          <w:sz w:val="24"/>
          <w:lang w:val="en-US"/>
        </w:rPr>
        <w:t>. https://doi.org/10.2307/2946686</w:t>
      </w:r>
    </w:p>
    <w:p w14:paraId="08F5B9E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Graff Zivin, J., &amp; Neidell, M. (2014). Temperature and the allocation of time: Implications for climate change. </w:t>
      </w:r>
      <w:r w:rsidRPr="0001634A">
        <w:rPr>
          <w:rFonts w:cs="Calibri"/>
          <w:i/>
          <w:iCs/>
          <w:noProof/>
          <w:sz w:val="24"/>
          <w:lang w:val="en-US"/>
        </w:rPr>
        <w:t>Journal of Labor Economics</w:t>
      </w:r>
      <w:r w:rsidRPr="0001634A">
        <w:rPr>
          <w:rFonts w:cs="Calibri"/>
          <w:noProof/>
          <w:sz w:val="24"/>
          <w:lang w:val="en-US"/>
        </w:rPr>
        <w:t>. https://doi.org/10.1086/671766</w:t>
      </w:r>
    </w:p>
    <w:p w14:paraId="55E886F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Haines, A., &amp; Ebi, K. (2019). The imperative for climate action to protect health. </w:t>
      </w:r>
      <w:r w:rsidRPr="0001634A">
        <w:rPr>
          <w:rFonts w:cs="Calibri"/>
          <w:i/>
          <w:iCs/>
          <w:noProof/>
          <w:sz w:val="24"/>
          <w:lang w:val="en-US"/>
        </w:rPr>
        <w:t>New England Journal of Medicine</w:t>
      </w:r>
      <w:r w:rsidRPr="0001634A">
        <w:rPr>
          <w:rFonts w:cs="Calibri"/>
          <w:noProof/>
          <w:sz w:val="24"/>
          <w:lang w:val="en-US"/>
        </w:rPr>
        <w:t>, (380), 263–273.</w:t>
      </w:r>
    </w:p>
    <w:p w14:paraId="548E7B3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lastRenderedPageBreak/>
        <w:t xml:space="preserve">Huang, C., Barnett, A. G., Wang, X., Vaneckova, P., Fitzgerald, G., &amp; Tong, S. (2011). Projecting future heat-related mortality under climate change scenarios: A systematic review. </w:t>
      </w:r>
      <w:r w:rsidRPr="0001634A">
        <w:rPr>
          <w:rFonts w:cs="Calibri"/>
          <w:i/>
          <w:iCs/>
          <w:noProof/>
          <w:sz w:val="24"/>
          <w:lang w:val="en-US"/>
        </w:rPr>
        <w:t>Environmental Health Perspectives</w:t>
      </w:r>
      <w:r w:rsidRPr="0001634A">
        <w:rPr>
          <w:rFonts w:cs="Calibri"/>
          <w:noProof/>
          <w:sz w:val="24"/>
          <w:lang w:val="en-US"/>
        </w:rPr>
        <w:t>. https://doi.org/10.1289/ehp.1103456</w:t>
      </w:r>
    </w:p>
    <w:p w14:paraId="791A8DE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IPCC. (2018). IPCC special report on the impacts of global warming of 1.5 °C - Summary for policy makers, (October 2018). Retrieved from http://www.ipcc.ch/report/sr15/</w:t>
      </w:r>
    </w:p>
    <w:p w14:paraId="0AC2C05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01634A">
        <w:rPr>
          <w:rFonts w:cs="Calibri"/>
          <w:i/>
          <w:iCs/>
          <w:noProof/>
          <w:sz w:val="24"/>
          <w:lang w:val="en-US"/>
        </w:rPr>
        <w:t>Journal of the American Geriatrics Society</w:t>
      </w:r>
      <w:r w:rsidRPr="0001634A">
        <w:rPr>
          <w:rFonts w:cs="Calibri"/>
          <w:noProof/>
          <w:sz w:val="24"/>
          <w:lang w:val="en-US"/>
        </w:rPr>
        <w:t>. https://doi.org/10.1111/j.1532-5415.2010.03062.x</w:t>
      </w:r>
    </w:p>
    <w:p w14:paraId="6C59B95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01634A">
        <w:rPr>
          <w:rFonts w:cs="Calibri"/>
          <w:i/>
          <w:iCs/>
          <w:noProof/>
          <w:sz w:val="24"/>
          <w:lang w:val="en-US"/>
        </w:rPr>
        <w:t>The Lancet</w:t>
      </w:r>
      <w:r w:rsidRPr="0001634A">
        <w:rPr>
          <w:rFonts w:cs="Calibri"/>
          <w:noProof/>
          <w:sz w:val="24"/>
          <w:lang w:val="en-US"/>
        </w:rPr>
        <w:t>. https://doi.org/10.1016/S0140-6736(12)61728-0</w:t>
      </w:r>
    </w:p>
    <w:p w14:paraId="4927785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Mackie, R. R., &amp; Hanlon, J. F. . O. (1976). A study of the combined effects of extented driving and heat stress on driver arousal and performance. In </w:t>
      </w:r>
      <w:r w:rsidRPr="0001634A">
        <w:rPr>
          <w:rFonts w:cs="Calibri"/>
          <w:i/>
          <w:iCs/>
          <w:noProof/>
          <w:sz w:val="24"/>
          <w:lang w:val="en-US"/>
        </w:rPr>
        <w:t>Symposium on relationships among theory, physiological correlates, and operational performance</w:t>
      </w:r>
      <w:r w:rsidRPr="0001634A">
        <w:rPr>
          <w:rFonts w:cs="Calibri"/>
          <w:noProof/>
          <w:sz w:val="24"/>
          <w:lang w:val="en-US"/>
        </w:rPr>
        <w:t>. https://doi.org/10.1007/978-1-4684-2529-1_25</w:t>
      </w:r>
    </w:p>
    <w:p w14:paraId="0A3FD39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Majeed, H., &amp; Lee, J. (2017). The impact of climate change on youth depression and mental health. </w:t>
      </w:r>
      <w:r w:rsidRPr="0001634A">
        <w:rPr>
          <w:rFonts w:cs="Calibri"/>
          <w:i/>
          <w:iCs/>
          <w:noProof/>
          <w:sz w:val="24"/>
          <w:lang w:val="en-US"/>
        </w:rPr>
        <w:t>The Lancet Planetary Health</w:t>
      </w:r>
      <w:r w:rsidRPr="0001634A">
        <w:rPr>
          <w:rFonts w:cs="Calibri"/>
          <w:noProof/>
          <w:sz w:val="24"/>
          <w:lang w:val="en-US"/>
        </w:rPr>
        <w:t xml:space="preserve">, </w:t>
      </w:r>
      <w:r w:rsidRPr="0001634A">
        <w:rPr>
          <w:rFonts w:cs="Calibri"/>
          <w:i/>
          <w:iCs/>
          <w:noProof/>
          <w:sz w:val="24"/>
          <w:lang w:val="en-US"/>
        </w:rPr>
        <w:t>1</w:t>
      </w:r>
      <w:r w:rsidRPr="0001634A">
        <w:rPr>
          <w:rFonts w:cs="Calibri"/>
          <w:noProof/>
          <w:sz w:val="24"/>
          <w:lang w:val="en-US"/>
        </w:rPr>
        <w:t>(3), e94–e95. https://doi.org/10.1016/S2542-5196(17)30045-1</w:t>
      </w:r>
    </w:p>
    <w:p w14:paraId="4DA5B7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McMichael, A. J., Woodruff, R. E., &amp; Hales, S. (2006). Climate change and human health: Present and future risks. </w:t>
      </w:r>
      <w:r w:rsidRPr="0001634A">
        <w:rPr>
          <w:rFonts w:cs="Calibri"/>
          <w:i/>
          <w:iCs/>
          <w:noProof/>
          <w:sz w:val="24"/>
          <w:lang w:val="en-US"/>
        </w:rPr>
        <w:t>Lancet</w:t>
      </w:r>
      <w:r w:rsidRPr="0001634A">
        <w:rPr>
          <w:rFonts w:cs="Calibri"/>
          <w:noProof/>
          <w:sz w:val="24"/>
          <w:lang w:val="en-US"/>
        </w:rPr>
        <w:t>. https://doi.org/10.1016/S0140-6736(06)68079-3</w:t>
      </w:r>
    </w:p>
    <w:p w14:paraId="6988184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Opinium. (2018). Brits drink more alcohol in warmer weather. Retrieved January 10, 2019, from https://www.opinium.co.uk/brits-drink-more-alcohol-in-warmer-weather/</w:t>
      </w:r>
    </w:p>
    <w:p w14:paraId="2518EEA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Orru, H., &amp; Åström, D. O. (2017). Increases in external cause mortality due to high and low temperatures: evidence from northeastern Europe. </w:t>
      </w:r>
      <w:r w:rsidRPr="0001634A">
        <w:rPr>
          <w:rFonts w:cs="Calibri"/>
          <w:i/>
          <w:iCs/>
          <w:noProof/>
          <w:sz w:val="24"/>
          <w:lang w:val="en-US"/>
        </w:rPr>
        <w:t>International Journal of Biometeorology</w:t>
      </w:r>
      <w:r w:rsidRPr="0001634A">
        <w:rPr>
          <w:rFonts w:cs="Calibri"/>
          <w:noProof/>
          <w:sz w:val="24"/>
          <w:lang w:val="en-US"/>
        </w:rPr>
        <w:t>. https://doi.org/10.1007/s00484-016-1270-4</w:t>
      </w:r>
    </w:p>
    <w:p w14:paraId="4887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Parks, R. M., Bennett, J. E., Foreman, K. J., Toumi, R., &amp; Ezzati, M. (2018). National and regional seasonal dynamics of all-cause and cause-specific mortality in the USA from 1980 to 2016. </w:t>
      </w:r>
      <w:r w:rsidRPr="0001634A">
        <w:rPr>
          <w:rFonts w:cs="Calibri"/>
          <w:i/>
          <w:iCs/>
          <w:noProof/>
          <w:sz w:val="24"/>
          <w:lang w:val="en-US"/>
        </w:rPr>
        <w:t>ELife</w:t>
      </w:r>
      <w:r w:rsidRPr="0001634A">
        <w:rPr>
          <w:rFonts w:cs="Calibri"/>
          <w:noProof/>
          <w:sz w:val="24"/>
          <w:lang w:val="en-US"/>
        </w:rPr>
        <w:t xml:space="preserve">, </w:t>
      </w:r>
      <w:r w:rsidRPr="0001634A">
        <w:rPr>
          <w:rFonts w:cs="Calibri"/>
          <w:i/>
          <w:iCs/>
          <w:noProof/>
          <w:sz w:val="24"/>
          <w:lang w:val="en-US"/>
        </w:rPr>
        <w:t>7</w:t>
      </w:r>
      <w:r w:rsidRPr="0001634A">
        <w:rPr>
          <w:rFonts w:cs="Calibri"/>
          <w:noProof/>
          <w:sz w:val="24"/>
          <w:lang w:val="en-US"/>
        </w:rPr>
        <w:t>. https://doi.org/10.7554/eLife.35500</w:t>
      </w:r>
    </w:p>
    <w:p w14:paraId="1068871F"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Rau, R. (2004). Seasonality in human mortality. A demographic approach. </w:t>
      </w:r>
      <w:r w:rsidRPr="0001634A">
        <w:rPr>
          <w:rFonts w:cs="Calibri"/>
          <w:i/>
          <w:iCs/>
          <w:noProof/>
          <w:sz w:val="24"/>
          <w:lang w:val="en-US"/>
        </w:rPr>
        <w:t>Wirtschafts- Und Sozialwissenschaftlichen Fakultät</w:t>
      </w:r>
      <w:r w:rsidRPr="0001634A">
        <w:rPr>
          <w:rFonts w:cs="Calibri"/>
          <w:noProof/>
          <w:sz w:val="24"/>
          <w:lang w:val="en-US"/>
        </w:rPr>
        <w:t xml:space="preserve">, </w:t>
      </w:r>
      <w:r w:rsidRPr="0001634A">
        <w:rPr>
          <w:rFonts w:cs="Calibri"/>
          <w:i/>
          <w:iCs/>
          <w:noProof/>
          <w:sz w:val="24"/>
          <w:lang w:val="en-US"/>
        </w:rPr>
        <w:t>PhD</w:t>
      </w:r>
      <w:r w:rsidRPr="0001634A">
        <w:rPr>
          <w:rFonts w:cs="Calibri"/>
          <w:noProof/>
          <w:sz w:val="24"/>
          <w:lang w:val="en-US"/>
        </w:rPr>
        <w:t>, 361. https://doi.org/10.1007/978-3-540-44902-7</w:t>
      </w:r>
    </w:p>
    <w:p w14:paraId="15145C6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01634A">
        <w:rPr>
          <w:rFonts w:cs="Calibri"/>
          <w:i/>
          <w:iCs/>
          <w:noProof/>
          <w:sz w:val="24"/>
          <w:lang w:val="en-US"/>
        </w:rPr>
        <w:t>International Archives of Occupational and Environmental Health</w:t>
      </w:r>
      <w:r w:rsidRPr="0001634A">
        <w:rPr>
          <w:rFonts w:cs="Calibri"/>
          <w:noProof/>
          <w:sz w:val="24"/>
          <w:lang w:val="en-US"/>
        </w:rPr>
        <w:t>. https://doi.org/10.1007/s00420-007-0173-4</w:t>
      </w:r>
    </w:p>
    <w:p w14:paraId="49296801"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Datla, S., &amp; Sharma, S. (2013). Effect of snow, temperature and their interaction on highway truck traffic. </w:t>
      </w:r>
      <w:r w:rsidRPr="0001634A">
        <w:rPr>
          <w:rFonts w:cs="Calibri"/>
          <w:i/>
          <w:iCs/>
          <w:noProof/>
          <w:sz w:val="24"/>
          <w:lang w:val="en-US"/>
        </w:rPr>
        <w:t>J. Transport. Techn.</w:t>
      </w:r>
      <w:r w:rsidRPr="0001634A">
        <w:rPr>
          <w:rFonts w:cs="Calibri"/>
          <w:noProof/>
          <w:sz w:val="24"/>
          <w:lang w:val="en-US"/>
        </w:rPr>
        <w:t xml:space="preserve"> https://doi.org/10.4236/jtts.2013.31003</w:t>
      </w:r>
    </w:p>
    <w:p w14:paraId="5487DBF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lastRenderedPageBreak/>
        <w:t xml:space="preserve">Roh, H.-J., Sahu, P. K., Sharma, S., Datla, S., &amp; Mehran, B. (2016). Statistical investigations of snowfall and temperature interaction with passenger car and truck traffic on primary highways in Canada. </w:t>
      </w:r>
      <w:r w:rsidRPr="0001634A">
        <w:rPr>
          <w:rFonts w:cs="Calibri"/>
          <w:i/>
          <w:iCs/>
          <w:noProof/>
          <w:sz w:val="24"/>
          <w:lang w:val="en-US"/>
        </w:rPr>
        <w:t>Journal of Cold Regions Engineering</w:t>
      </w:r>
      <w:r w:rsidRPr="0001634A">
        <w:rPr>
          <w:rFonts w:cs="Calibri"/>
          <w:noProof/>
          <w:sz w:val="24"/>
          <w:lang w:val="en-US"/>
        </w:rPr>
        <w:t>. https://doi.org/10.1061/(ASCE)CR.1943-5495.0000099</w:t>
      </w:r>
    </w:p>
    <w:p w14:paraId="7B0F226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 J., Sharma, S., &amp; Sahu, P. K. (2016). Modeling snow and cold effects for classified highway traffic volumes. </w:t>
      </w:r>
      <w:r w:rsidRPr="0001634A">
        <w:rPr>
          <w:rFonts w:cs="Calibri"/>
          <w:i/>
          <w:iCs/>
          <w:noProof/>
          <w:sz w:val="24"/>
          <w:lang w:val="en-US"/>
        </w:rPr>
        <w:t>KSCE Journal of Civil Engineering</w:t>
      </w:r>
      <w:r w:rsidRPr="0001634A">
        <w:rPr>
          <w:rFonts w:cs="Calibri"/>
          <w:noProof/>
          <w:sz w:val="24"/>
          <w:lang w:val="en-US"/>
        </w:rPr>
        <w:t>. https://doi.org/10.1007/s12205-015-0236-0</w:t>
      </w:r>
    </w:p>
    <w:p w14:paraId="0EA854D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Rotton, J., &amp; Cohn, E. G. (2003). Global warming and U.S. crime rates: An application of routine activity theory. </w:t>
      </w:r>
      <w:r w:rsidRPr="0001634A">
        <w:rPr>
          <w:rFonts w:cs="Calibri"/>
          <w:i/>
          <w:iCs/>
          <w:noProof/>
          <w:sz w:val="24"/>
          <w:lang w:val="en-US"/>
        </w:rPr>
        <w:t>Environment and Behavior</w:t>
      </w:r>
      <w:r w:rsidRPr="0001634A">
        <w:rPr>
          <w:rFonts w:cs="Calibri"/>
          <w:noProof/>
          <w:sz w:val="24"/>
          <w:lang w:val="en-US"/>
        </w:rPr>
        <w:t>. https://doi.org/10.1177/0013916503255565</w:t>
      </w:r>
    </w:p>
    <w:p w14:paraId="6ACB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&amp; Held, L. (2005). </w:t>
      </w:r>
      <w:r w:rsidRPr="0001634A">
        <w:rPr>
          <w:rFonts w:cs="Calibri"/>
          <w:i/>
          <w:iCs/>
          <w:noProof/>
          <w:sz w:val="24"/>
          <w:lang w:val="en-US"/>
        </w:rPr>
        <w:t>Gaussian Markov random fields. Theory and applications</w:t>
      </w:r>
      <w:r w:rsidRPr="0001634A">
        <w:rPr>
          <w:rFonts w:cs="Calibri"/>
          <w:noProof/>
          <w:sz w:val="24"/>
          <w:lang w:val="en-US"/>
        </w:rPr>
        <w:t xml:space="preserve">. </w:t>
      </w:r>
      <w:r w:rsidRPr="0001634A">
        <w:rPr>
          <w:rFonts w:cs="Calibri"/>
          <w:i/>
          <w:iCs/>
          <w:noProof/>
          <w:sz w:val="24"/>
          <w:lang w:val="en-US"/>
        </w:rPr>
        <w:t>Chapman &amp; Hall</w:t>
      </w:r>
      <w:r w:rsidRPr="0001634A">
        <w:rPr>
          <w:rFonts w:cs="Calibri"/>
          <w:noProof/>
          <w:sz w:val="24"/>
          <w:lang w:val="en-US"/>
        </w:rPr>
        <w:t>. https://doi.org/10.1007/s00184-007-0162-3</w:t>
      </w:r>
    </w:p>
    <w:p w14:paraId="1B1CA67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Martino, S., &amp; Chopin, N. (2009). Approximate Bayesian inference for latent Gaussian models by using integrated nested Laplace approximations.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https://doi.org/10.1111/j.1467-9868.2008.00700.x</w:t>
      </w:r>
    </w:p>
    <w:p w14:paraId="3529E65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Shi, L., Kloog, I., Zanobetti, A., Liu, P., &amp; Schwartz, J. D. (2015). Impacts of temperature and its variability on mortality in New England. </w:t>
      </w:r>
      <w:r w:rsidRPr="0001634A">
        <w:rPr>
          <w:rFonts w:cs="Calibri"/>
          <w:i/>
          <w:iCs/>
          <w:noProof/>
          <w:sz w:val="24"/>
          <w:lang w:val="en-US"/>
        </w:rPr>
        <w:t>Nature Climate Change</w:t>
      </w:r>
      <w:r w:rsidRPr="0001634A">
        <w:rPr>
          <w:rFonts w:cs="Calibri"/>
          <w:noProof/>
          <w:sz w:val="24"/>
          <w:lang w:val="en-US"/>
        </w:rPr>
        <w:t xml:space="preserve">, </w:t>
      </w:r>
      <w:r w:rsidRPr="0001634A">
        <w:rPr>
          <w:rFonts w:cs="Calibri"/>
          <w:i/>
          <w:iCs/>
          <w:noProof/>
          <w:sz w:val="24"/>
          <w:lang w:val="en-US"/>
        </w:rPr>
        <w:t>5</w:t>
      </w:r>
      <w:r w:rsidRPr="0001634A">
        <w:rPr>
          <w:rFonts w:cs="Calibri"/>
          <w:noProof/>
          <w:sz w:val="24"/>
          <w:lang w:val="en-US"/>
        </w:rPr>
        <w:t>(11), 988–991. https://doi.org/10.1038/nclimate2704</w:t>
      </w:r>
    </w:p>
    <w:p w14:paraId="23764E4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Smith, K. R., Woodward, A., Campbell-Lendrum, D., Chadee, D. D., Honda, Y., Liu, Q., … Rocklov, J. (2015). Human health: Impacts, adaptation, and co-benefits. In </w:t>
      </w:r>
      <w:r w:rsidRPr="0001634A">
        <w:rPr>
          <w:rFonts w:cs="Calibri"/>
          <w:i/>
          <w:iCs/>
          <w:noProof/>
          <w:sz w:val="24"/>
          <w:lang w:val="en-US"/>
        </w:rPr>
        <w:t>Climate Change 2014 Impacts, Adaptation and Vulnerability: Part A: Global and Sectoral Aspects</w:t>
      </w:r>
      <w:r w:rsidRPr="0001634A">
        <w:rPr>
          <w:rFonts w:cs="Calibri"/>
          <w:noProof/>
          <w:sz w:val="24"/>
          <w:lang w:val="en-US"/>
        </w:rPr>
        <w:t>. https://doi.org/10.1017/CBO9781107415379.016</w:t>
      </w:r>
    </w:p>
    <w:p w14:paraId="0CA6D0B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Voas, R. B., Torres, P., Romano, E., &amp; Lacey, J. H. (2012). Alcohol-related risk of driver fatalities: An update using 2007 data. </w:t>
      </w:r>
      <w:r w:rsidRPr="0001634A">
        <w:rPr>
          <w:rFonts w:cs="Calibri"/>
          <w:i/>
          <w:iCs/>
          <w:noProof/>
          <w:sz w:val="24"/>
          <w:lang w:val="en-US"/>
        </w:rPr>
        <w:t>Journal of Studies on Alcohol and Drugs</w:t>
      </w:r>
      <w:r w:rsidRPr="0001634A">
        <w:rPr>
          <w:rFonts w:cs="Calibri"/>
          <w:noProof/>
          <w:sz w:val="24"/>
          <w:lang w:val="en-US"/>
        </w:rPr>
        <w:t>. https://doi.org/10.15288/jsad.2012.73.341</w:t>
      </w:r>
    </w:p>
    <w:p w14:paraId="76A2CAA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Wallace, J. M., &amp; Hobbs, P. V. (2006).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i/>
          <w:iCs/>
          <w:noProof/>
          <w:sz w:val="24"/>
          <w:lang w:val="en-US"/>
        </w:rPr>
        <w:t>Atmospheric Science: An Introductory Survey: Second Edition</w:t>
      </w:r>
      <w:r w:rsidRPr="0001634A">
        <w:rPr>
          <w:rFonts w:cs="Calibri"/>
          <w:noProof/>
          <w:sz w:val="24"/>
          <w:lang w:val="en-US"/>
        </w:rPr>
        <w:t>. https://doi.org/10.1016/C2009-0-00034-8</w:t>
      </w:r>
    </w:p>
    <w:p w14:paraId="5E4593B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6736</w:t>
      </w:r>
      <w:r w:rsidRPr="0001634A">
        <w:rPr>
          <w:rFonts w:cs="Calibri"/>
          <w:noProof/>
          <w:sz w:val="24"/>
          <w:lang w:val="en-US"/>
        </w:rPr>
        <w:t>(18), 1–4. https://doi.org/10.1016/S0140-6736(18)32594-7</w:t>
      </w:r>
    </w:p>
    <w:p w14:paraId="2E413AC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Wyon, D. P., Wyon, I., &amp; Norin, F. (1996). Effects of moderate heat stress on driver vigilance in a moving vehicle. </w:t>
      </w:r>
      <w:r w:rsidRPr="0001634A">
        <w:rPr>
          <w:rFonts w:cs="Calibri"/>
          <w:i/>
          <w:iCs/>
          <w:noProof/>
          <w:sz w:val="24"/>
          <w:lang w:val="en-US"/>
        </w:rPr>
        <w:t>Ergonomics</w:t>
      </w:r>
      <w:r w:rsidRPr="0001634A">
        <w:rPr>
          <w:rFonts w:cs="Calibri"/>
          <w:noProof/>
          <w:sz w:val="24"/>
          <w:lang w:val="en-US"/>
        </w:rPr>
        <w:t>. https://doi.org/10.1080/00140139608964434</w:t>
      </w:r>
    </w:p>
    <w:p w14:paraId="1779004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Xu, J. (2014). Unintentional drowning deaths in the United States, 1999-2010. </w:t>
      </w:r>
      <w:r w:rsidRPr="0001634A">
        <w:rPr>
          <w:rFonts w:cs="Calibri"/>
          <w:i/>
          <w:iCs/>
          <w:noProof/>
          <w:sz w:val="24"/>
          <w:lang w:val="en-US"/>
        </w:rPr>
        <w:t>NCHS Data Brief</w:t>
      </w:r>
      <w:r w:rsidRPr="0001634A">
        <w:rPr>
          <w:rFonts w:cs="Calibri"/>
          <w:noProof/>
          <w:sz w:val="24"/>
          <w:lang w:val="en-US"/>
        </w:rPr>
        <w:t>.</w:t>
      </w:r>
    </w:p>
    <w:p w14:paraId="180D1DD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Ye, X., Wolff, R., Yu, W., Vaneckova, P., Pan, X., &amp; Tong, S. (2012). Ambient temperature and morbidity: a review of epidemiological evidence. </w:t>
      </w:r>
      <w:r w:rsidRPr="0001634A">
        <w:rPr>
          <w:rFonts w:cs="Calibri"/>
          <w:i/>
          <w:iCs/>
          <w:noProof/>
          <w:sz w:val="24"/>
          <w:lang w:val="en-US"/>
        </w:rPr>
        <w:t>Environmental Health Perspectives</w:t>
      </w:r>
      <w:r w:rsidRPr="0001634A">
        <w:rPr>
          <w:rFonts w:cs="Calibri"/>
          <w:noProof/>
          <w:sz w:val="24"/>
          <w:lang w:val="en-US"/>
        </w:rPr>
        <w:t xml:space="preserve">, </w:t>
      </w:r>
      <w:r w:rsidRPr="0001634A">
        <w:rPr>
          <w:rFonts w:cs="Calibri"/>
          <w:i/>
          <w:iCs/>
          <w:noProof/>
          <w:sz w:val="24"/>
          <w:lang w:val="en-US"/>
        </w:rPr>
        <w:lastRenderedPageBreak/>
        <w:t>120</w:t>
      </w:r>
      <w:r w:rsidRPr="0001634A">
        <w:rPr>
          <w:rFonts w:cs="Calibri"/>
          <w:noProof/>
          <w:sz w:val="24"/>
          <w:lang w:val="en-US"/>
        </w:rPr>
        <w:t>(1), 19–28. https://doi.org/10.1289/ehp.1003198</w:t>
      </w:r>
    </w:p>
    <w:p w14:paraId="4A3E2D06" w14:textId="77777777" w:rsidR="0001634A" w:rsidRPr="0001634A" w:rsidRDefault="0001634A" w:rsidP="0001634A">
      <w:pPr>
        <w:widowControl w:val="0"/>
        <w:autoSpaceDE w:val="0"/>
        <w:autoSpaceDN w:val="0"/>
        <w:adjustRightInd w:val="0"/>
        <w:spacing w:line="240" w:lineRule="auto"/>
        <w:ind w:left="480" w:hanging="480"/>
        <w:rPr>
          <w:rFonts w:cs="Calibri"/>
          <w:noProof/>
          <w:sz w:val="24"/>
        </w:rPr>
      </w:pPr>
      <w:r w:rsidRPr="0001634A">
        <w:rPr>
          <w:rFonts w:cs="Calibri"/>
          <w:noProof/>
          <w:sz w:val="24"/>
          <w:lang w:val="en-US"/>
        </w:rPr>
        <w:t xml:space="preserve">Zlatoper, T. J. (1991). Determinants of motor vehicle deaths in the United States: A cross-sectional analysis. </w:t>
      </w:r>
      <w:r w:rsidRPr="0001634A">
        <w:rPr>
          <w:rFonts w:cs="Calibri"/>
          <w:i/>
          <w:iCs/>
          <w:noProof/>
          <w:sz w:val="24"/>
          <w:lang w:val="en-US"/>
        </w:rPr>
        <w:t>Accident Analysis and Prevention</w:t>
      </w:r>
      <w:r w:rsidRPr="0001634A">
        <w:rPr>
          <w:rFonts w:cs="Calibri"/>
          <w:noProof/>
          <w:sz w:val="24"/>
          <w:lang w:val="en-US"/>
        </w:rPr>
        <w:t>. https://doi.org/10.1016/0001-4575(91)90062-A</w:t>
      </w:r>
    </w:p>
    <w:p w14:paraId="2B228869" w14:textId="5E491F0C" w:rsidR="006675AE" w:rsidRPr="00127064" w:rsidRDefault="006675AE" w:rsidP="0001634A">
      <w:pPr>
        <w:spacing w:line="240" w:lineRule="auto"/>
        <w:jc w:val="both"/>
      </w:pPr>
      <w:r w:rsidRPr="00736834">
        <w:rPr>
          <w:sz w:val="24"/>
          <w:szCs w:val="24"/>
        </w:rPr>
        <w:fldChar w:fldCharType="end"/>
      </w:r>
    </w:p>
    <w:sectPr w:rsidR="006675AE" w:rsidRPr="00127064"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77CBF6" w14:textId="77777777" w:rsidR="00B93194" w:rsidRDefault="00B93194">
      <w:pPr>
        <w:spacing w:after="0" w:line="240" w:lineRule="auto"/>
      </w:pPr>
      <w:r>
        <w:separator/>
      </w:r>
    </w:p>
    <w:p w14:paraId="62D882CB" w14:textId="77777777" w:rsidR="00B93194" w:rsidRDefault="00B93194"/>
  </w:endnote>
  <w:endnote w:type="continuationSeparator" w:id="0">
    <w:p w14:paraId="59CEFB1E" w14:textId="77777777" w:rsidR="00B93194" w:rsidRDefault="00B93194">
      <w:pPr>
        <w:spacing w:after="0" w:line="240" w:lineRule="auto"/>
      </w:pPr>
      <w:r>
        <w:continuationSeparator/>
      </w:r>
    </w:p>
    <w:p w14:paraId="748494B2" w14:textId="77777777" w:rsidR="00B93194" w:rsidRDefault="00B931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3193116"/>
      <w:docPartObj>
        <w:docPartGallery w:val="Page Numbers (Bottom of Page)"/>
        <w:docPartUnique/>
      </w:docPartObj>
    </w:sdtPr>
    <w:sdtEndPr>
      <w:rPr>
        <w:rStyle w:val="PageNumber"/>
      </w:rPr>
    </w:sdtEndPr>
    <w:sdtContent>
      <w:p w14:paraId="1BBB362A" w14:textId="0B3117DE"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905DF6" w:rsidRDefault="00905DF6"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6341741"/>
      <w:docPartObj>
        <w:docPartGallery w:val="Page Numbers (Bottom of Page)"/>
        <w:docPartUnique/>
      </w:docPartObj>
    </w:sdtPr>
    <w:sdtEndPr>
      <w:rPr>
        <w:rStyle w:val="PageNumber"/>
      </w:rPr>
    </w:sdtEndPr>
    <w:sdtContent>
      <w:p w14:paraId="2C828E9F" w14:textId="5660A313"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905DF6" w:rsidRDefault="00905DF6"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AEDBBC" w14:textId="77777777" w:rsidR="00B93194" w:rsidRDefault="00B93194">
      <w:pPr>
        <w:spacing w:after="0" w:line="240" w:lineRule="auto"/>
      </w:pPr>
      <w:r>
        <w:separator/>
      </w:r>
    </w:p>
    <w:p w14:paraId="77309249" w14:textId="77777777" w:rsidR="00B93194" w:rsidRDefault="00B93194"/>
  </w:footnote>
  <w:footnote w:type="continuationSeparator" w:id="0">
    <w:p w14:paraId="5EBDC482" w14:textId="77777777" w:rsidR="00B93194" w:rsidRDefault="00B93194">
      <w:pPr>
        <w:spacing w:after="0" w:line="240" w:lineRule="auto"/>
      </w:pPr>
      <w:r>
        <w:continuationSeparator/>
      </w:r>
    </w:p>
    <w:p w14:paraId="31289594" w14:textId="77777777" w:rsidR="00B93194" w:rsidRDefault="00B9319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C50"/>
    <w:rsid w:val="00056C5A"/>
    <w:rsid w:val="00060181"/>
    <w:rsid w:val="0006104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F07"/>
    <w:rsid w:val="000A2462"/>
    <w:rsid w:val="000A2637"/>
    <w:rsid w:val="000A2E51"/>
    <w:rsid w:val="000A300F"/>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C70"/>
    <w:rsid w:val="00107E64"/>
    <w:rsid w:val="00110568"/>
    <w:rsid w:val="0011057A"/>
    <w:rsid w:val="0011072B"/>
    <w:rsid w:val="00111170"/>
    <w:rsid w:val="00111694"/>
    <w:rsid w:val="00111FB4"/>
    <w:rsid w:val="00112077"/>
    <w:rsid w:val="00112085"/>
    <w:rsid w:val="001121F5"/>
    <w:rsid w:val="00112CB4"/>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40EE"/>
    <w:rsid w:val="002B42BF"/>
    <w:rsid w:val="002B5115"/>
    <w:rsid w:val="002B526B"/>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60A89"/>
    <w:rsid w:val="00361098"/>
    <w:rsid w:val="0036143F"/>
    <w:rsid w:val="00361EAF"/>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6C35"/>
    <w:rsid w:val="003B71FE"/>
    <w:rsid w:val="003C0251"/>
    <w:rsid w:val="003C0448"/>
    <w:rsid w:val="003C1333"/>
    <w:rsid w:val="003C1415"/>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4A2C"/>
    <w:rsid w:val="004752C7"/>
    <w:rsid w:val="00475442"/>
    <w:rsid w:val="00475B09"/>
    <w:rsid w:val="00475FD8"/>
    <w:rsid w:val="0047610E"/>
    <w:rsid w:val="00476919"/>
    <w:rsid w:val="0047730B"/>
    <w:rsid w:val="0047730E"/>
    <w:rsid w:val="004802FF"/>
    <w:rsid w:val="004813ED"/>
    <w:rsid w:val="004814FB"/>
    <w:rsid w:val="00481829"/>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336D"/>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26F3"/>
    <w:rsid w:val="007128A0"/>
    <w:rsid w:val="00712E39"/>
    <w:rsid w:val="00713F87"/>
    <w:rsid w:val="00714146"/>
    <w:rsid w:val="0071475B"/>
    <w:rsid w:val="00714847"/>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815"/>
    <w:rsid w:val="00744B09"/>
    <w:rsid w:val="00744CD4"/>
    <w:rsid w:val="0074519E"/>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D43"/>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5DF6"/>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2278"/>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264"/>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59B7"/>
    <w:rsid w:val="00CE666A"/>
    <w:rsid w:val="00CE6961"/>
    <w:rsid w:val="00CE77F8"/>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47B9F"/>
    <w:rsid w:val="00E47BAD"/>
    <w:rsid w:val="00E507B1"/>
    <w:rsid w:val="00E50CDD"/>
    <w:rsid w:val="00E50E8E"/>
    <w:rsid w:val="00E516CA"/>
    <w:rsid w:val="00E518A8"/>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C21"/>
    <w:rsid w:val="00E744E2"/>
    <w:rsid w:val="00E7481F"/>
    <w:rsid w:val="00E74C0C"/>
    <w:rsid w:val="00E7505A"/>
    <w:rsid w:val="00E75CC4"/>
    <w:rsid w:val="00E76273"/>
    <w:rsid w:val="00E76588"/>
    <w:rsid w:val="00E76992"/>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census.gov/data/developers/data-sets/popest-popproj/popest.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dvs_data_release.htm" TargetMode="Externa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98DC3AA-20A7-344B-86C5-E0E920324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23</Pages>
  <Words>30543</Words>
  <Characters>174099</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217</cp:revision>
  <cp:lastPrinted>2019-04-05T14:52:00Z</cp:lastPrinted>
  <dcterms:created xsi:type="dcterms:W3CDTF">2019-04-13T13:22:00Z</dcterms:created>
  <dcterms:modified xsi:type="dcterms:W3CDTF">2019-04-16T15:30:00Z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