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7FBA0188" w14:textId="77777777" w:rsidR="00803F1E" w:rsidRDefault="00102468" w:rsidP="00061A3A">
          <w:pPr>
            <w:pStyle w:val="TOCHeading"/>
            <w:suppressLineNumbers/>
            <w:rPr>
              <w:noProof/>
            </w:rPr>
          </w:pPr>
          <w:r>
            <w:t>Table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bookmarkStart w:id="0" w:name="_GoBack"/>
        <w:bookmarkEnd w:id="0"/>
        <w:p w14:paraId="1DD9AFED" w14:textId="06709625" w:rsidR="00803F1E" w:rsidRDefault="00803F1E">
          <w:pPr>
            <w:pStyle w:val="TOC2"/>
            <w:tabs>
              <w:tab w:val="right" w:leader="dot" w:pos="9010"/>
            </w:tabs>
            <w:rPr>
              <w:rFonts w:eastAsiaTheme="minorEastAsia" w:cstheme="minorBidi"/>
              <w:b w:val="0"/>
              <w:bCs w:val="0"/>
              <w:noProof/>
              <w:sz w:val="24"/>
              <w:szCs w:val="24"/>
            </w:rPr>
          </w:pPr>
          <w:r w:rsidRPr="0038089D">
            <w:rPr>
              <w:rStyle w:val="Hyperlink"/>
              <w:noProof/>
            </w:rPr>
            <w:fldChar w:fldCharType="begin"/>
          </w:r>
          <w:r w:rsidRPr="0038089D">
            <w:rPr>
              <w:rStyle w:val="Hyperlink"/>
              <w:noProof/>
            </w:rPr>
            <w:instrText xml:space="preserve"> </w:instrText>
          </w:r>
          <w:r>
            <w:rPr>
              <w:noProof/>
            </w:rPr>
            <w:instrText>HYPERLINK \l "_Toc6395707"</w:instrText>
          </w:r>
          <w:r w:rsidRPr="0038089D">
            <w:rPr>
              <w:rStyle w:val="Hyperlink"/>
              <w:noProof/>
            </w:rPr>
            <w:instrText xml:space="preserve"> </w:instrText>
          </w:r>
          <w:r w:rsidRPr="0038089D">
            <w:rPr>
              <w:rStyle w:val="Hyperlink"/>
              <w:noProof/>
            </w:rPr>
          </w:r>
          <w:r w:rsidRPr="0038089D">
            <w:rPr>
              <w:rStyle w:val="Hyperlink"/>
              <w:noProof/>
            </w:rPr>
            <w:fldChar w:fldCharType="separate"/>
          </w:r>
          <w:r w:rsidRPr="0038089D">
            <w:rPr>
              <w:rStyle w:val="Hyperlink"/>
              <w:noProof/>
            </w:rPr>
            <w:t>List of figures</w:t>
          </w:r>
          <w:r>
            <w:rPr>
              <w:noProof/>
              <w:webHidden/>
            </w:rPr>
            <w:tab/>
          </w:r>
          <w:r>
            <w:rPr>
              <w:noProof/>
              <w:webHidden/>
            </w:rPr>
            <w:fldChar w:fldCharType="begin"/>
          </w:r>
          <w:r>
            <w:rPr>
              <w:noProof/>
              <w:webHidden/>
            </w:rPr>
            <w:instrText xml:space="preserve"> PAGEREF _Toc6395707 \h </w:instrText>
          </w:r>
          <w:r>
            <w:rPr>
              <w:noProof/>
              <w:webHidden/>
            </w:rPr>
          </w:r>
          <w:r>
            <w:rPr>
              <w:noProof/>
              <w:webHidden/>
            </w:rPr>
            <w:fldChar w:fldCharType="separate"/>
          </w:r>
          <w:r>
            <w:rPr>
              <w:noProof/>
              <w:webHidden/>
            </w:rPr>
            <w:t>1</w:t>
          </w:r>
          <w:r>
            <w:rPr>
              <w:noProof/>
              <w:webHidden/>
            </w:rPr>
            <w:fldChar w:fldCharType="end"/>
          </w:r>
          <w:r w:rsidRPr="0038089D">
            <w:rPr>
              <w:rStyle w:val="Hyperlink"/>
              <w:noProof/>
            </w:rPr>
            <w:fldChar w:fldCharType="end"/>
          </w:r>
        </w:p>
        <w:p w14:paraId="433ED1C4" w14:textId="2C454D63" w:rsidR="00803F1E" w:rsidRDefault="00803F1E">
          <w:pPr>
            <w:pStyle w:val="TOC2"/>
            <w:tabs>
              <w:tab w:val="right" w:leader="dot" w:pos="9010"/>
            </w:tabs>
            <w:rPr>
              <w:rFonts w:eastAsiaTheme="minorEastAsia" w:cstheme="minorBidi"/>
              <w:b w:val="0"/>
              <w:bCs w:val="0"/>
              <w:noProof/>
              <w:sz w:val="24"/>
              <w:szCs w:val="24"/>
            </w:rPr>
          </w:pPr>
          <w:hyperlink w:anchor="_Toc6395708" w:history="1">
            <w:r w:rsidRPr="0038089D">
              <w:rPr>
                <w:rStyle w:val="Hyperlink"/>
                <w:noProof/>
              </w:rPr>
              <w:t>List of tables</w:t>
            </w:r>
            <w:r>
              <w:rPr>
                <w:noProof/>
                <w:webHidden/>
              </w:rPr>
              <w:tab/>
            </w:r>
            <w:r>
              <w:rPr>
                <w:noProof/>
                <w:webHidden/>
              </w:rPr>
              <w:fldChar w:fldCharType="begin"/>
            </w:r>
            <w:r>
              <w:rPr>
                <w:noProof/>
                <w:webHidden/>
              </w:rPr>
              <w:instrText xml:space="preserve"> PAGEREF _Toc6395708 \h </w:instrText>
            </w:r>
            <w:r>
              <w:rPr>
                <w:noProof/>
                <w:webHidden/>
              </w:rPr>
            </w:r>
            <w:r>
              <w:rPr>
                <w:noProof/>
                <w:webHidden/>
              </w:rPr>
              <w:fldChar w:fldCharType="separate"/>
            </w:r>
            <w:r>
              <w:rPr>
                <w:noProof/>
                <w:webHidden/>
              </w:rPr>
              <w:t>1</w:t>
            </w:r>
            <w:r>
              <w:rPr>
                <w:noProof/>
                <w:webHidden/>
              </w:rPr>
              <w:fldChar w:fldCharType="end"/>
            </w:r>
          </w:hyperlink>
        </w:p>
        <w:p w14:paraId="5C022EA8" w14:textId="61831541" w:rsidR="00803F1E" w:rsidRDefault="00803F1E">
          <w:pPr>
            <w:pStyle w:val="TOC2"/>
            <w:tabs>
              <w:tab w:val="right" w:leader="dot" w:pos="9010"/>
            </w:tabs>
            <w:rPr>
              <w:rFonts w:eastAsiaTheme="minorEastAsia" w:cstheme="minorBidi"/>
              <w:b w:val="0"/>
              <w:bCs w:val="0"/>
              <w:noProof/>
              <w:sz w:val="24"/>
              <w:szCs w:val="24"/>
            </w:rPr>
          </w:pPr>
          <w:hyperlink w:anchor="_Toc6395709" w:history="1">
            <w:r w:rsidRPr="0038089D">
              <w:rPr>
                <w:rStyle w:val="Hyperlink"/>
                <w:noProof/>
              </w:rPr>
              <w:t>List of equations</w:t>
            </w:r>
            <w:r>
              <w:rPr>
                <w:noProof/>
                <w:webHidden/>
              </w:rPr>
              <w:tab/>
            </w:r>
            <w:r>
              <w:rPr>
                <w:noProof/>
                <w:webHidden/>
              </w:rPr>
              <w:fldChar w:fldCharType="begin"/>
            </w:r>
            <w:r>
              <w:rPr>
                <w:noProof/>
                <w:webHidden/>
              </w:rPr>
              <w:instrText xml:space="preserve"> PAGEREF _Toc6395709 \h </w:instrText>
            </w:r>
            <w:r>
              <w:rPr>
                <w:noProof/>
                <w:webHidden/>
              </w:rPr>
            </w:r>
            <w:r>
              <w:rPr>
                <w:noProof/>
                <w:webHidden/>
              </w:rPr>
              <w:fldChar w:fldCharType="separate"/>
            </w:r>
            <w:r>
              <w:rPr>
                <w:noProof/>
                <w:webHidden/>
              </w:rPr>
              <w:t>1</w:t>
            </w:r>
            <w:r>
              <w:rPr>
                <w:noProof/>
                <w:webHidden/>
              </w:rPr>
              <w:fldChar w:fldCharType="end"/>
            </w:r>
          </w:hyperlink>
        </w:p>
        <w:p w14:paraId="5AC4D6CB" w14:textId="47F03A47" w:rsidR="00803F1E" w:rsidRDefault="00803F1E">
          <w:pPr>
            <w:pStyle w:val="TOC1"/>
            <w:rPr>
              <w:rFonts w:eastAsiaTheme="minorEastAsia" w:cstheme="minorBidi"/>
              <w:b w:val="0"/>
              <w:bCs w:val="0"/>
              <w:noProof/>
            </w:rPr>
          </w:pPr>
          <w:hyperlink w:anchor="_Toc6395710" w:history="1">
            <w:r w:rsidRPr="0038089D">
              <w:rPr>
                <w:rStyle w:val="Hyperlink"/>
                <w:noProof/>
              </w:rPr>
              <w:t>1. Anomalous temperature and injury mortality in the USA: age-, sex- and state-specific impacts</w:t>
            </w:r>
            <w:r>
              <w:rPr>
                <w:noProof/>
                <w:webHidden/>
              </w:rPr>
              <w:tab/>
            </w:r>
            <w:r>
              <w:rPr>
                <w:noProof/>
                <w:webHidden/>
              </w:rPr>
              <w:fldChar w:fldCharType="begin"/>
            </w:r>
            <w:r>
              <w:rPr>
                <w:noProof/>
                <w:webHidden/>
              </w:rPr>
              <w:instrText xml:space="preserve"> PAGEREF _Toc6395710 \h </w:instrText>
            </w:r>
            <w:r>
              <w:rPr>
                <w:noProof/>
                <w:webHidden/>
              </w:rPr>
            </w:r>
            <w:r>
              <w:rPr>
                <w:noProof/>
                <w:webHidden/>
              </w:rPr>
              <w:fldChar w:fldCharType="separate"/>
            </w:r>
            <w:r>
              <w:rPr>
                <w:noProof/>
                <w:webHidden/>
              </w:rPr>
              <w:t>2</w:t>
            </w:r>
            <w:r>
              <w:rPr>
                <w:noProof/>
                <w:webHidden/>
              </w:rPr>
              <w:fldChar w:fldCharType="end"/>
            </w:r>
          </w:hyperlink>
        </w:p>
        <w:p w14:paraId="4C711BF0" w14:textId="51FD4ACB" w:rsidR="00803F1E" w:rsidRDefault="00803F1E">
          <w:pPr>
            <w:pStyle w:val="TOC2"/>
            <w:tabs>
              <w:tab w:val="right" w:leader="dot" w:pos="9010"/>
            </w:tabs>
            <w:rPr>
              <w:rFonts w:eastAsiaTheme="minorEastAsia" w:cstheme="minorBidi"/>
              <w:b w:val="0"/>
              <w:bCs w:val="0"/>
              <w:noProof/>
              <w:sz w:val="24"/>
              <w:szCs w:val="24"/>
            </w:rPr>
          </w:pPr>
          <w:hyperlink w:anchor="_Toc6395711" w:history="1">
            <w:r w:rsidRPr="0038089D">
              <w:rPr>
                <w:rStyle w:val="Hyperlink"/>
                <w:noProof/>
              </w:rPr>
              <w:t>Overview</w:t>
            </w:r>
            <w:r>
              <w:rPr>
                <w:noProof/>
                <w:webHidden/>
              </w:rPr>
              <w:tab/>
            </w:r>
            <w:r>
              <w:rPr>
                <w:noProof/>
                <w:webHidden/>
              </w:rPr>
              <w:fldChar w:fldCharType="begin"/>
            </w:r>
            <w:r>
              <w:rPr>
                <w:noProof/>
                <w:webHidden/>
              </w:rPr>
              <w:instrText xml:space="preserve"> PAGEREF _Toc6395711 \h </w:instrText>
            </w:r>
            <w:r>
              <w:rPr>
                <w:noProof/>
                <w:webHidden/>
              </w:rPr>
            </w:r>
            <w:r>
              <w:rPr>
                <w:noProof/>
                <w:webHidden/>
              </w:rPr>
              <w:fldChar w:fldCharType="separate"/>
            </w:r>
            <w:r>
              <w:rPr>
                <w:noProof/>
                <w:webHidden/>
              </w:rPr>
              <w:t>2</w:t>
            </w:r>
            <w:r>
              <w:rPr>
                <w:noProof/>
                <w:webHidden/>
              </w:rPr>
              <w:fldChar w:fldCharType="end"/>
            </w:r>
          </w:hyperlink>
        </w:p>
        <w:p w14:paraId="2A499923" w14:textId="1D5388AE" w:rsidR="00803F1E" w:rsidRDefault="00803F1E">
          <w:pPr>
            <w:pStyle w:val="TOC2"/>
            <w:tabs>
              <w:tab w:val="right" w:leader="dot" w:pos="9010"/>
            </w:tabs>
            <w:rPr>
              <w:rFonts w:eastAsiaTheme="minorEastAsia" w:cstheme="minorBidi"/>
              <w:b w:val="0"/>
              <w:bCs w:val="0"/>
              <w:noProof/>
              <w:sz w:val="24"/>
              <w:szCs w:val="24"/>
            </w:rPr>
          </w:pPr>
          <w:hyperlink w:anchor="_Toc6395712" w:history="1">
            <w:r w:rsidRPr="0038089D">
              <w:rPr>
                <w:rStyle w:val="Hyperlink"/>
                <w:noProof/>
              </w:rPr>
              <w:t>Introduction</w:t>
            </w:r>
            <w:r>
              <w:rPr>
                <w:noProof/>
                <w:webHidden/>
              </w:rPr>
              <w:tab/>
            </w:r>
            <w:r>
              <w:rPr>
                <w:noProof/>
                <w:webHidden/>
              </w:rPr>
              <w:fldChar w:fldCharType="begin"/>
            </w:r>
            <w:r>
              <w:rPr>
                <w:noProof/>
                <w:webHidden/>
              </w:rPr>
              <w:instrText xml:space="preserve"> PAGEREF _Toc6395712 \h </w:instrText>
            </w:r>
            <w:r>
              <w:rPr>
                <w:noProof/>
                <w:webHidden/>
              </w:rPr>
            </w:r>
            <w:r>
              <w:rPr>
                <w:noProof/>
                <w:webHidden/>
              </w:rPr>
              <w:fldChar w:fldCharType="separate"/>
            </w:r>
            <w:r>
              <w:rPr>
                <w:noProof/>
                <w:webHidden/>
              </w:rPr>
              <w:t>2</w:t>
            </w:r>
            <w:r>
              <w:rPr>
                <w:noProof/>
                <w:webHidden/>
              </w:rPr>
              <w:fldChar w:fldCharType="end"/>
            </w:r>
          </w:hyperlink>
        </w:p>
        <w:p w14:paraId="64848A1C" w14:textId="1B34CE76" w:rsidR="00803F1E" w:rsidRDefault="00803F1E">
          <w:pPr>
            <w:pStyle w:val="TOC2"/>
            <w:tabs>
              <w:tab w:val="right" w:leader="dot" w:pos="9010"/>
            </w:tabs>
            <w:rPr>
              <w:rFonts w:eastAsiaTheme="minorEastAsia" w:cstheme="minorBidi"/>
              <w:b w:val="0"/>
              <w:bCs w:val="0"/>
              <w:noProof/>
              <w:sz w:val="24"/>
              <w:szCs w:val="24"/>
            </w:rPr>
          </w:pPr>
          <w:hyperlink w:anchor="_Toc6395713" w:history="1">
            <w:r w:rsidRPr="0038089D">
              <w:rPr>
                <w:rStyle w:val="Hyperlink"/>
                <w:noProof/>
              </w:rPr>
              <w:t>Data</w:t>
            </w:r>
            <w:r>
              <w:rPr>
                <w:noProof/>
                <w:webHidden/>
              </w:rPr>
              <w:tab/>
            </w:r>
            <w:r>
              <w:rPr>
                <w:noProof/>
                <w:webHidden/>
              </w:rPr>
              <w:fldChar w:fldCharType="begin"/>
            </w:r>
            <w:r>
              <w:rPr>
                <w:noProof/>
                <w:webHidden/>
              </w:rPr>
              <w:instrText xml:space="preserve"> PAGEREF _Toc6395713 \h </w:instrText>
            </w:r>
            <w:r>
              <w:rPr>
                <w:noProof/>
                <w:webHidden/>
              </w:rPr>
            </w:r>
            <w:r>
              <w:rPr>
                <w:noProof/>
                <w:webHidden/>
              </w:rPr>
              <w:fldChar w:fldCharType="separate"/>
            </w:r>
            <w:r>
              <w:rPr>
                <w:noProof/>
                <w:webHidden/>
              </w:rPr>
              <w:t>3</w:t>
            </w:r>
            <w:r>
              <w:rPr>
                <w:noProof/>
                <w:webHidden/>
              </w:rPr>
              <w:fldChar w:fldCharType="end"/>
            </w:r>
          </w:hyperlink>
        </w:p>
        <w:p w14:paraId="4BB34F6E" w14:textId="34937F04" w:rsidR="00803F1E" w:rsidRDefault="00803F1E">
          <w:pPr>
            <w:pStyle w:val="TOC2"/>
            <w:tabs>
              <w:tab w:val="right" w:leader="dot" w:pos="9010"/>
            </w:tabs>
            <w:rPr>
              <w:rFonts w:eastAsiaTheme="minorEastAsia" w:cstheme="minorBidi"/>
              <w:b w:val="0"/>
              <w:bCs w:val="0"/>
              <w:noProof/>
              <w:sz w:val="24"/>
              <w:szCs w:val="24"/>
            </w:rPr>
          </w:pPr>
          <w:hyperlink w:anchor="_Toc6395714" w:history="1">
            <w:r w:rsidRPr="0038089D">
              <w:rPr>
                <w:rStyle w:val="Hyperlink"/>
                <w:noProof/>
              </w:rPr>
              <w:t>Statistical methods</w:t>
            </w:r>
            <w:r>
              <w:rPr>
                <w:noProof/>
                <w:webHidden/>
              </w:rPr>
              <w:tab/>
            </w:r>
            <w:r>
              <w:rPr>
                <w:noProof/>
                <w:webHidden/>
              </w:rPr>
              <w:fldChar w:fldCharType="begin"/>
            </w:r>
            <w:r>
              <w:rPr>
                <w:noProof/>
                <w:webHidden/>
              </w:rPr>
              <w:instrText xml:space="preserve"> PAGEREF _Toc6395714 \h </w:instrText>
            </w:r>
            <w:r>
              <w:rPr>
                <w:noProof/>
                <w:webHidden/>
              </w:rPr>
            </w:r>
            <w:r>
              <w:rPr>
                <w:noProof/>
                <w:webHidden/>
              </w:rPr>
              <w:fldChar w:fldCharType="separate"/>
            </w:r>
            <w:r>
              <w:rPr>
                <w:noProof/>
                <w:webHidden/>
              </w:rPr>
              <w:t>6</w:t>
            </w:r>
            <w:r>
              <w:rPr>
                <w:noProof/>
                <w:webHidden/>
              </w:rPr>
              <w:fldChar w:fldCharType="end"/>
            </w:r>
          </w:hyperlink>
        </w:p>
        <w:p w14:paraId="38FB0115" w14:textId="0033230A" w:rsidR="00803F1E" w:rsidRDefault="00803F1E">
          <w:pPr>
            <w:pStyle w:val="TOC2"/>
            <w:tabs>
              <w:tab w:val="right" w:leader="dot" w:pos="9010"/>
            </w:tabs>
            <w:rPr>
              <w:rFonts w:eastAsiaTheme="minorEastAsia" w:cstheme="minorBidi"/>
              <w:b w:val="0"/>
              <w:bCs w:val="0"/>
              <w:noProof/>
              <w:sz w:val="24"/>
              <w:szCs w:val="24"/>
            </w:rPr>
          </w:pPr>
          <w:hyperlink w:anchor="_Toc6395715" w:history="1">
            <w:r w:rsidRPr="0038089D">
              <w:rPr>
                <w:rStyle w:val="Hyperlink"/>
                <w:noProof/>
              </w:rPr>
              <w:t>Results</w:t>
            </w:r>
            <w:r>
              <w:rPr>
                <w:noProof/>
                <w:webHidden/>
              </w:rPr>
              <w:tab/>
            </w:r>
            <w:r>
              <w:rPr>
                <w:noProof/>
                <w:webHidden/>
              </w:rPr>
              <w:fldChar w:fldCharType="begin"/>
            </w:r>
            <w:r>
              <w:rPr>
                <w:noProof/>
                <w:webHidden/>
              </w:rPr>
              <w:instrText xml:space="preserve"> PAGEREF _Toc6395715 \h </w:instrText>
            </w:r>
            <w:r>
              <w:rPr>
                <w:noProof/>
                <w:webHidden/>
              </w:rPr>
            </w:r>
            <w:r>
              <w:rPr>
                <w:noProof/>
                <w:webHidden/>
              </w:rPr>
              <w:fldChar w:fldCharType="separate"/>
            </w:r>
            <w:r>
              <w:rPr>
                <w:noProof/>
                <w:webHidden/>
              </w:rPr>
              <w:t>10</w:t>
            </w:r>
            <w:r>
              <w:rPr>
                <w:noProof/>
                <w:webHidden/>
              </w:rPr>
              <w:fldChar w:fldCharType="end"/>
            </w:r>
          </w:hyperlink>
        </w:p>
        <w:p w14:paraId="10655F78" w14:textId="72CF744E" w:rsidR="00803F1E" w:rsidRDefault="00803F1E">
          <w:pPr>
            <w:pStyle w:val="TOC2"/>
            <w:tabs>
              <w:tab w:val="right" w:leader="dot" w:pos="9010"/>
            </w:tabs>
            <w:rPr>
              <w:rFonts w:eastAsiaTheme="minorEastAsia" w:cstheme="minorBidi"/>
              <w:b w:val="0"/>
              <w:bCs w:val="0"/>
              <w:noProof/>
              <w:sz w:val="24"/>
              <w:szCs w:val="24"/>
            </w:rPr>
          </w:pPr>
          <w:hyperlink w:anchor="_Toc6395716" w:history="1">
            <w:r w:rsidRPr="0038089D">
              <w:rPr>
                <w:rStyle w:val="Hyperlink"/>
                <w:noProof/>
              </w:rPr>
              <w:t>Discussion</w:t>
            </w:r>
            <w:r>
              <w:rPr>
                <w:noProof/>
                <w:webHidden/>
              </w:rPr>
              <w:tab/>
            </w:r>
            <w:r>
              <w:rPr>
                <w:noProof/>
                <w:webHidden/>
              </w:rPr>
              <w:fldChar w:fldCharType="begin"/>
            </w:r>
            <w:r>
              <w:rPr>
                <w:noProof/>
                <w:webHidden/>
              </w:rPr>
              <w:instrText xml:space="preserve"> PAGEREF _Toc6395716 \h </w:instrText>
            </w:r>
            <w:r>
              <w:rPr>
                <w:noProof/>
                <w:webHidden/>
              </w:rPr>
            </w:r>
            <w:r>
              <w:rPr>
                <w:noProof/>
                <w:webHidden/>
              </w:rPr>
              <w:fldChar w:fldCharType="separate"/>
            </w:r>
            <w:r>
              <w:rPr>
                <w:noProof/>
                <w:webHidden/>
              </w:rPr>
              <w:t>17</w:t>
            </w:r>
            <w:r>
              <w:rPr>
                <w:noProof/>
                <w:webHidden/>
              </w:rPr>
              <w:fldChar w:fldCharType="end"/>
            </w:r>
          </w:hyperlink>
        </w:p>
        <w:p w14:paraId="1C0C3418" w14:textId="0106E373" w:rsidR="00803F1E" w:rsidRDefault="00803F1E">
          <w:pPr>
            <w:pStyle w:val="TOC2"/>
            <w:tabs>
              <w:tab w:val="right" w:leader="dot" w:pos="9010"/>
            </w:tabs>
            <w:rPr>
              <w:rFonts w:eastAsiaTheme="minorEastAsia" w:cstheme="minorBidi"/>
              <w:b w:val="0"/>
              <w:bCs w:val="0"/>
              <w:noProof/>
              <w:sz w:val="24"/>
              <w:szCs w:val="24"/>
            </w:rPr>
          </w:pPr>
          <w:hyperlink w:anchor="_Toc6395717" w:history="1">
            <w:r w:rsidRPr="0038089D">
              <w:rPr>
                <w:rStyle w:val="Hyperlink"/>
                <w:noProof/>
              </w:rPr>
              <w:t>References</w:t>
            </w:r>
            <w:r>
              <w:rPr>
                <w:noProof/>
                <w:webHidden/>
              </w:rPr>
              <w:tab/>
            </w:r>
            <w:r>
              <w:rPr>
                <w:noProof/>
                <w:webHidden/>
              </w:rPr>
              <w:fldChar w:fldCharType="begin"/>
            </w:r>
            <w:r>
              <w:rPr>
                <w:noProof/>
                <w:webHidden/>
              </w:rPr>
              <w:instrText xml:space="preserve"> PAGEREF _Toc6395717 \h </w:instrText>
            </w:r>
            <w:r>
              <w:rPr>
                <w:noProof/>
                <w:webHidden/>
              </w:rPr>
            </w:r>
            <w:r>
              <w:rPr>
                <w:noProof/>
                <w:webHidden/>
              </w:rPr>
              <w:fldChar w:fldCharType="separate"/>
            </w:r>
            <w:r>
              <w:rPr>
                <w:noProof/>
                <w:webHidden/>
              </w:rPr>
              <w:t>19</w:t>
            </w:r>
            <w:r>
              <w:rPr>
                <w:noProof/>
                <w:webHidden/>
              </w:rPr>
              <w:fldChar w:fldCharType="end"/>
            </w:r>
          </w:hyperlink>
        </w:p>
        <w:p w14:paraId="4E1CF970" w14:textId="3E19A5EB" w:rsidR="00B82FF5" w:rsidRPr="00755632" w:rsidRDefault="00102468" w:rsidP="00061A3A">
          <w:pPr>
            <w:suppressLineNumbers/>
            <w:rPr>
              <w:noProof/>
            </w:rPr>
          </w:pPr>
          <w:r w:rsidRPr="00755632">
            <w:rPr>
              <w:b/>
              <w:bCs/>
              <w:noProof/>
            </w:rPr>
            <w:fldChar w:fldCharType="end"/>
          </w:r>
        </w:p>
      </w:sdtContent>
    </w:sdt>
    <w:p w14:paraId="6AF3C94C" w14:textId="77777777" w:rsidR="00803F1E" w:rsidRDefault="00061A3A" w:rsidP="00061A3A">
      <w:pPr>
        <w:pStyle w:val="Heading2"/>
        <w:suppressLineNumbers/>
        <w:rPr>
          <w:noProof/>
        </w:rPr>
      </w:pPr>
      <w:bookmarkStart w:id="1" w:name="_Toc6395707"/>
      <w:r>
        <w:t xml:space="preserve">List of </w:t>
      </w:r>
      <w:r w:rsidR="009E7EC8">
        <w:t>f</w:t>
      </w:r>
      <w:r>
        <w:t>igures</w:t>
      </w:r>
      <w:bookmarkEnd w:id="1"/>
      <w:r w:rsidR="00B82FF5" w:rsidRPr="00755632">
        <w:rPr>
          <w:rFonts w:ascii="Calibri" w:eastAsia="Calibri" w:hAnsi="Calibri" w:cs="Times New Roman"/>
          <w:color w:val="auto"/>
          <w:sz w:val="22"/>
          <w:szCs w:val="22"/>
        </w:rPr>
        <w:fldChar w:fldCharType="begin"/>
      </w:r>
      <w:r w:rsidR="00B82FF5" w:rsidRPr="00755632">
        <w:instrText xml:space="preserve"> TOC \h \z \c "Figure" </w:instrText>
      </w:r>
      <w:r w:rsidR="00B82FF5" w:rsidRPr="00755632">
        <w:rPr>
          <w:rFonts w:ascii="Calibri" w:eastAsia="Calibri" w:hAnsi="Calibri" w:cs="Times New Roman"/>
          <w:color w:val="auto"/>
          <w:sz w:val="22"/>
          <w:szCs w:val="22"/>
        </w:rPr>
        <w:fldChar w:fldCharType="separate"/>
      </w:r>
    </w:p>
    <w:p w14:paraId="257E4B97" w14:textId="6F8666A0" w:rsidR="00803F1E" w:rsidRDefault="00803F1E">
      <w:pPr>
        <w:pStyle w:val="TableofFigures"/>
        <w:tabs>
          <w:tab w:val="right" w:leader="dot" w:pos="9010"/>
        </w:tabs>
        <w:rPr>
          <w:rFonts w:asciiTheme="minorHAnsi" w:eastAsiaTheme="minorEastAsia" w:hAnsiTheme="minorHAnsi" w:cstheme="minorBidi"/>
          <w:noProof/>
          <w:sz w:val="24"/>
          <w:szCs w:val="24"/>
        </w:rPr>
      </w:pPr>
      <w:hyperlink r:id="rId8" w:anchor="_Toc6395702" w:history="1">
        <w:r w:rsidRPr="00632974">
          <w:rPr>
            <w:rStyle w:val="Hyperlink"/>
            <w:b/>
            <w:noProof/>
          </w:rPr>
          <w:t>Figure 1</w:t>
        </w:r>
        <w:r w:rsidRPr="00632974">
          <w:rPr>
            <w:rStyle w:val="Hyperlink"/>
            <w:noProof/>
          </w:rPr>
          <w:t>. Number of injury deaths, by type of unintentional (transport, falls, drownings, and other) and intentional (assault and intentional self-harm) injury, by sex and age group in the contiguous USA for 1980-2016.</w:t>
        </w:r>
        <w:r>
          <w:rPr>
            <w:noProof/>
            <w:webHidden/>
          </w:rPr>
          <w:tab/>
        </w:r>
        <w:r>
          <w:rPr>
            <w:noProof/>
            <w:webHidden/>
          </w:rPr>
          <w:fldChar w:fldCharType="begin"/>
        </w:r>
        <w:r>
          <w:rPr>
            <w:noProof/>
            <w:webHidden/>
          </w:rPr>
          <w:instrText xml:space="preserve"> PAGEREF _Toc6395702 \h </w:instrText>
        </w:r>
        <w:r>
          <w:rPr>
            <w:noProof/>
            <w:webHidden/>
          </w:rPr>
        </w:r>
        <w:r>
          <w:rPr>
            <w:noProof/>
            <w:webHidden/>
          </w:rPr>
          <w:fldChar w:fldCharType="separate"/>
        </w:r>
        <w:r>
          <w:rPr>
            <w:noProof/>
            <w:webHidden/>
          </w:rPr>
          <w:t>4</w:t>
        </w:r>
        <w:r>
          <w:rPr>
            <w:noProof/>
            <w:webHidden/>
          </w:rPr>
          <w:fldChar w:fldCharType="end"/>
        </w:r>
      </w:hyperlink>
    </w:p>
    <w:p w14:paraId="7926B7BE" w14:textId="1962938D" w:rsidR="00803F1E" w:rsidRDefault="00803F1E">
      <w:pPr>
        <w:pStyle w:val="TableofFigures"/>
        <w:tabs>
          <w:tab w:val="right" w:leader="dot" w:pos="9010"/>
        </w:tabs>
        <w:rPr>
          <w:rFonts w:asciiTheme="minorHAnsi" w:eastAsiaTheme="minorEastAsia" w:hAnsiTheme="minorHAnsi" w:cstheme="minorBidi"/>
          <w:noProof/>
          <w:sz w:val="24"/>
          <w:szCs w:val="24"/>
        </w:rPr>
      </w:pPr>
      <w:hyperlink w:anchor="_Toc6395703" w:history="1">
        <w:r w:rsidRPr="00632974">
          <w:rPr>
            <w:rStyle w:val="Hyperlink"/>
            <w:b/>
            <w:noProof/>
          </w:rPr>
          <w:t>Figure 2</w:t>
        </w:r>
        <w:r w:rsidRPr="00632974">
          <w:rPr>
            <w:rStyle w:val="Hyperlink"/>
            <w:noProof/>
          </w:rPr>
          <w:t>. National age-standardised death rates from 1980 to 2016, by type of injury and month</w:t>
        </w:r>
        <w:r>
          <w:rPr>
            <w:noProof/>
            <w:webHidden/>
          </w:rPr>
          <w:tab/>
        </w:r>
        <w:r>
          <w:rPr>
            <w:noProof/>
            <w:webHidden/>
          </w:rPr>
          <w:fldChar w:fldCharType="begin"/>
        </w:r>
        <w:r>
          <w:rPr>
            <w:noProof/>
            <w:webHidden/>
          </w:rPr>
          <w:instrText xml:space="preserve"> PAGEREF _Toc6395703 \h </w:instrText>
        </w:r>
        <w:r>
          <w:rPr>
            <w:noProof/>
            <w:webHidden/>
          </w:rPr>
        </w:r>
        <w:r>
          <w:rPr>
            <w:noProof/>
            <w:webHidden/>
          </w:rPr>
          <w:fldChar w:fldCharType="separate"/>
        </w:r>
        <w:r>
          <w:rPr>
            <w:noProof/>
            <w:webHidden/>
          </w:rPr>
          <w:t>12</w:t>
        </w:r>
        <w:r>
          <w:rPr>
            <w:noProof/>
            <w:webHidden/>
          </w:rPr>
          <w:fldChar w:fldCharType="end"/>
        </w:r>
      </w:hyperlink>
    </w:p>
    <w:p w14:paraId="5D63F6B2" w14:textId="56AE6A8D" w:rsidR="00803F1E" w:rsidRDefault="00803F1E">
      <w:pPr>
        <w:pStyle w:val="TableofFigures"/>
        <w:tabs>
          <w:tab w:val="right" w:leader="dot" w:pos="9010"/>
        </w:tabs>
        <w:rPr>
          <w:rFonts w:asciiTheme="minorHAnsi" w:eastAsiaTheme="minorEastAsia" w:hAnsiTheme="minorHAnsi" w:cstheme="minorBidi"/>
          <w:noProof/>
          <w:sz w:val="24"/>
          <w:szCs w:val="24"/>
        </w:rPr>
      </w:pPr>
      <w:hyperlink w:anchor="_Toc6395704" w:history="1">
        <w:r w:rsidRPr="00632974">
          <w:rPr>
            <w:rStyle w:val="Hyperlink"/>
            <w:b/>
            <w:noProof/>
          </w:rPr>
          <w:t>Figure 3</w:t>
        </w:r>
        <w:r w:rsidRPr="00632974">
          <w:rPr>
            <w:rStyle w:val="Hyperlink"/>
            <w:noProof/>
          </w:rPr>
          <w:t>. Additional annual injury deaths for the 2016 US population in year in which each month was +</w:t>
        </w:r>
        <w:r w:rsidRPr="00632974">
          <w:rPr>
            <w:rStyle w:val="Hyperlink"/>
            <w:rFonts w:ascii="Helvetica" w:eastAsia="Times New Roman" w:hAnsi="Helvetica"/>
            <w:bCs/>
            <w:noProof/>
            <w:shd w:val="clear" w:color="auto" w:fill="FFFFFF"/>
          </w:rPr>
          <w:t>1</w:t>
        </w:r>
        <w:r w:rsidRPr="00632974">
          <w:rPr>
            <w:rStyle w:val="Hyperlink"/>
            <w:bCs/>
            <w:noProof/>
          </w:rPr>
          <w:t>°C</w:t>
        </w:r>
        <w:r w:rsidRPr="00632974">
          <w:rPr>
            <w:rStyle w:val="Hyperlink"/>
            <w:noProof/>
          </w:rPr>
          <w:t xml:space="preserve"> compared with 1980-2009 norm temperatures. The top row shows breakdown by type of injury, sex and age group. The bottom row shows the break down by type of injury, sex and month. Black dots represent net changes in deaths for each set of bars.</w:t>
        </w:r>
        <w:r>
          <w:rPr>
            <w:noProof/>
            <w:webHidden/>
          </w:rPr>
          <w:tab/>
        </w:r>
        <w:r>
          <w:rPr>
            <w:noProof/>
            <w:webHidden/>
          </w:rPr>
          <w:fldChar w:fldCharType="begin"/>
        </w:r>
        <w:r>
          <w:rPr>
            <w:noProof/>
            <w:webHidden/>
          </w:rPr>
          <w:instrText xml:space="preserve"> PAGEREF _Toc6395704 \h </w:instrText>
        </w:r>
        <w:r>
          <w:rPr>
            <w:noProof/>
            <w:webHidden/>
          </w:rPr>
        </w:r>
        <w:r>
          <w:rPr>
            <w:noProof/>
            <w:webHidden/>
          </w:rPr>
          <w:fldChar w:fldCharType="separate"/>
        </w:r>
        <w:r>
          <w:rPr>
            <w:noProof/>
            <w:webHidden/>
          </w:rPr>
          <w:t>14</w:t>
        </w:r>
        <w:r>
          <w:rPr>
            <w:noProof/>
            <w:webHidden/>
          </w:rPr>
          <w:fldChar w:fldCharType="end"/>
        </w:r>
      </w:hyperlink>
    </w:p>
    <w:p w14:paraId="5EFC0279" w14:textId="166FC20C" w:rsidR="00803F1E" w:rsidRDefault="00803F1E">
      <w:pPr>
        <w:pStyle w:val="TableofFigures"/>
        <w:tabs>
          <w:tab w:val="right" w:leader="dot" w:pos="9010"/>
        </w:tabs>
        <w:rPr>
          <w:rFonts w:asciiTheme="minorHAnsi" w:eastAsiaTheme="minorEastAsia" w:hAnsiTheme="minorHAnsi" w:cstheme="minorBidi"/>
          <w:noProof/>
          <w:sz w:val="24"/>
          <w:szCs w:val="24"/>
        </w:rPr>
      </w:pPr>
      <w:hyperlink w:anchor="_Toc6395705" w:history="1">
        <w:r w:rsidRPr="00632974">
          <w:rPr>
            <w:rStyle w:val="Hyperlink"/>
            <w:b/>
            <w:noProof/>
          </w:rPr>
          <w:t>Figure 4</w:t>
        </w:r>
        <w:r w:rsidRPr="00632974">
          <w:rPr>
            <w:rStyle w:val="Hyperlink"/>
            <w:noProof/>
          </w:rPr>
          <w:t>. Percent change in death rates in year in which each month was +1°C compared with 1980-2009 norm temperatures by type of injury, sex and age group.</w:t>
        </w:r>
        <w:r>
          <w:rPr>
            <w:noProof/>
            <w:webHidden/>
          </w:rPr>
          <w:tab/>
        </w:r>
        <w:r>
          <w:rPr>
            <w:noProof/>
            <w:webHidden/>
          </w:rPr>
          <w:fldChar w:fldCharType="begin"/>
        </w:r>
        <w:r>
          <w:rPr>
            <w:noProof/>
            <w:webHidden/>
          </w:rPr>
          <w:instrText xml:space="preserve"> PAGEREF _Toc6395705 \h </w:instrText>
        </w:r>
        <w:r>
          <w:rPr>
            <w:noProof/>
            <w:webHidden/>
          </w:rPr>
        </w:r>
        <w:r>
          <w:rPr>
            <w:noProof/>
            <w:webHidden/>
          </w:rPr>
          <w:fldChar w:fldCharType="separate"/>
        </w:r>
        <w:r>
          <w:rPr>
            <w:noProof/>
            <w:webHidden/>
          </w:rPr>
          <w:t>15</w:t>
        </w:r>
        <w:r>
          <w:rPr>
            <w:noProof/>
            <w:webHidden/>
          </w:rPr>
          <w:fldChar w:fldCharType="end"/>
        </w:r>
      </w:hyperlink>
    </w:p>
    <w:p w14:paraId="04F7C6CF" w14:textId="7904755E" w:rsidR="00803F1E" w:rsidRDefault="00803F1E">
      <w:pPr>
        <w:pStyle w:val="TableofFigures"/>
        <w:tabs>
          <w:tab w:val="right" w:leader="dot" w:pos="9010"/>
        </w:tabs>
        <w:rPr>
          <w:rFonts w:asciiTheme="minorHAnsi" w:eastAsiaTheme="minorEastAsia" w:hAnsiTheme="minorHAnsi" w:cstheme="minorBidi"/>
          <w:noProof/>
          <w:sz w:val="24"/>
          <w:szCs w:val="24"/>
        </w:rPr>
      </w:pPr>
      <w:hyperlink w:anchor="_Toc6395706" w:history="1">
        <w:r w:rsidRPr="00632974">
          <w:rPr>
            <w:rStyle w:val="Hyperlink"/>
            <w:b/>
            <w:noProof/>
          </w:rPr>
          <w:t>Figure 5</w:t>
        </w:r>
        <w:r w:rsidRPr="00632974">
          <w:rPr>
            <w:rStyle w:val="Hyperlink"/>
            <w:noProof/>
          </w:rPr>
          <w:t>. Percent change in death rates in year in which each month was +1°C compared with 1980-2009 norm temperatures by type of injury, sex and month.</w:t>
        </w:r>
        <w:r>
          <w:rPr>
            <w:noProof/>
            <w:webHidden/>
          </w:rPr>
          <w:tab/>
        </w:r>
        <w:r>
          <w:rPr>
            <w:noProof/>
            <w:webHidden/>
          </w:rPr>
          <w:fldChar w:fldCharType="begin"/>
        </w:r>
        <w:r>
          <w:rPr>
            <w:noProof/>
            <w:webHidden/>
          </w:rPr>
          <w:instrText xml:space="preserve"> PAGEREF _Toc6395706 \h </w:instrText>
        </w:r>
        <w:r>
          <w:rPr>
            <w:noProof/>
            <w:webHidden/>
          </w:rPr>
        </w:r>
        <w:r>
          <w:rPr>
            <w:noProof/>
            <w:webHidden/>
          </w:rPr>
          <w:fldChar w:fldCharType="separate"/>
        </w:r>
        <w:r>
          <w:rPr>
            <w:noProof/>
            <w:webHidden/>
          </w:rPr>
          <w:t>16</w:t>
        </w:r>
        <w:r>
          <w:rPr>
            <w:noProof/>
            <w:webHidden/>
          </w:rPr>
          <w:fldChar w:fldCharType="end"/>
        </w:r>
      </w:hyperlink>
    </w:p>
    <w:p w14:paraId="6BD35CDE" w14:textId="48FA5F13" w:rsidR="00BB73E3" w:rsidRDefault="00B82FF5" w:rsidP="006851BD">
      <w:r w:rsidRPr="00755632">
        <w:fldChar w:fldCharType="end"/>
      </w:r>
    </w:p>
    <w:p w14:paraId="12E4E292" w14:textId="77777777" w:rsidR="003460EE" w:rsidRDefault="00061A3A" w:rsidP="005660AA">
      <w:pPr>
        <w:pStyle w:val="Heading2"/>
        <w:suppressLineNumbers/>
        <w:rPr>
          <w:noProof/>
        </w:rPr>
      </w:pPr>
      <w:bookmarkStart w:id="2" w:name="_Toc6395708"/>
      <w:r>
        <w:t xml:space="preserve">List of </w:t>
      </w:r>
      <w:r w:rsidR="009E7EC8">
        <w:t>t</w:t>
      </w:r>
      <w:r>
        <w:t>ables</w:t>
      </w:r>
      <w:bookmarkEnd w:id="2"/>
      <w:r w:rsidR="00B82FF5" w:rsidRPr="00755632">
        <w:fldChar w:fldCharType="begin"/>
      </w:r>
      <w:r w:rsidR="00B82FF5" w:rsidRPr="00755632">
        <w:instrText xml:space="preserve"> TOC \h \z \c "Table" </w:instrText>
      </w:r>
      <w:r w:rsidR="00B82FF5" w:rsidRPr="00755632">
        <w:fldChar w:fldCharType="separate"/>
      </w:r>
    </w:p>
    <w:p w14:paraId="0AEF514B" w14:textId="09993436" w:rsidR="001A4B51" w:rsidRDefault="003460EE" w:rsidP="006851BD">
      <w:r>
        <w:rPr>
          <w:b/>
          <w:bCs/>
          <w:noProof/>
          <w:lang w:val="en-US"/>
        </w:rPr>
        <w:t>No table of figures entries found.</w:t>
      </w:r>
      <w:r w:rsidR="00B82FF5" w:rsidRPr="00755632">
        <w:fldChar w:fldCharType="end"/>
      </w:r>
    </w:p>
    <w:p w14:paraId="0B23770C" w14:textId="77777777" w:rsidR="002D35A5" w:rsidRDefault="001A4B51" w:rsidP="001A4B51">
      <w:pPr>
        <w:pStyle w:val="Heading2"/>
      </w:pPr>
      <w:bookmarkStart w:id="3" w:name="_Toc6395709"/>
      <w:r>
        <w:t>List of equations</w:t>
      </w:r>
      <w:bookmarkEnd w:id="3"/>
    </w:p>
    <w:p w14:paraId="02019DD7" w14:textId="604E3D81" w:rsidR="006675AE" w:rsidRDefault="002D35A5" w:rsidP="006851BD">
      <w:r>
        <w:fldChar w:fldCharType="begin"/>
      </w:r>
      <w:r>
        <w:instrText xml:space="preserve"> TOC \h \z \c "Equation" </w:instrText>
      </w:r>
      <w:r>
        <w:fldChar w:fldCharType="separate"/>
      </w:r>
      <w:r w:rsidR="003460EE">
        <w:rPr>
          <w:b/>
          <w:bCs/>
          <w:noProof/>
          <w:lang w:val="en-US"/>
        </w:rPr>
        <w:t>No table of figures entries found.</w:t>
      </w:r>
      <w:r>
        <w:fldChar w:fldCharType="end"/>
      </w:r>
      <w:r w:rsidR="00C0748B" w:rsidRPr="00755632">
        <w:br w:type="page"/>
      </w:r>
    </w:p>
    <w:p w14:paraId="661D8067" w14:textId="1539F6F4" w:rsidR="004B4DC1" w:rsidRDefault="004B4DC1" w:rsidP="004B4DC1">
      <w:pPr>
        <w:pStyle w:val="Heading1"/>
      </w:pPr>
      <w:bookmarkStart w:id="4" w:name="_Toc6045006"/>
      <w:bookmarkStart w:id="5" w:name="_Toc6395710"/>
      <w:r>
        <w:lastRenderedPageBreak/>
        <w:t>1. A</w:t>
      </w:r>
      <w:r w:rsidRPr="00636C9B">
        <w:t xml:space="preserve">nomalous temperature </w:t>
      </w:r>
      <w:r>
        <w:t>and</w:t>
      </w:r>
      <w:r w:rsidRPr="00636C9B">
        <w:t xml:space="preserve"> injury mortality in the USA</w:t>
      </w:r>
      <w:r>
        <w:t>: age-, sex- and state-specific impacts</w:t>
      </w:r>
      <w:bookmarkEnd w:id="5"/>
    </w:p>
    <w:p w14:paraId="6A6B2026" w14:textId="77777777" w:rsidR="006675AE" w:rsidRDefault="006675AE" w:rsidP="006675AE">
      <w:pPr>
        <w:pStyle w:val="Heading2"/>
      </w:pPr>
    </w:p>
    <w:p w14:paraId="1310F75B" w14:textId="46DB6980" w:rsidR="006675AE" w:rsidRPr="00127064" w:rsidRDefault="006675AE" w:rsidP="006675AE">
      <w:pPr>
        <w:pStyle w:val="Heading2"/>
      </w:pPr>
      <w:bookmarkStart w:id="6" w:name="_Toc6395711"/>
      <w:r w:rsidRPr="00127064">
        <w:t>Overview</w:t>
      </w:r>
      <w:bookmarkEnd w:id="4"/>
      <w:bookmarkEnd w:id="6"/>
    </w:p>
    <w:p w14:paraId="646EA9F8" w14:textId="7BE67A5A" w:rsidR="00B971FF" w:rsidRDefault="00161129" w:rsidP="00113E25">
      <w:pPr>
        <w:spacing w:line="480" w:lineRule="auto"/>
        <w:ind w:firstLine="720"/>
        <w:jc w:val="both"/>
        <w:rPr>
          <w:rFonts w:cs="Calibri"/>
          <w:sz w:val="24"/>
          <w:szCs w:val="24"/>
        </w:rPr>
      </w:pPr>
      <w:bookmarkStart w:id="7" w:name="_Toc6045007"/>
      <w:r w:rsidRPr="000377CB">
        <w:rPr>
          <w:rFonts w:cs="Calibri"/>
          <w:sz w:val="24"/>
          <w:szCs w:val="24"/>
        </w:rPr>
        <w:t>Temperatures which deviate from long-term norms will be more frequent as the global climate changes, and may be associated with adverse health consequences</w:t>
      </w:r>
      <w:r w:rsidR="0001634A" w:rsidRPr="000377CB">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2015)","previouslyFormattedCitation":"&lt;sup&gt;1&lt;/sup&gt;"},"properties":{"noteIndex":0},"schema":"https://github.com/citation-style-language/schema/raw/master/csl-citation.json"}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(Gasparrini et al., 2015)</w:t>
      </w:r>
      <w:r w:rsidRPr="000377CB">
        <w:rPr>
          <w:rFonts w:cs="Calibri"/>
          <w:sz w:val="24"/>
          <w:szCs w:val="24"/>
        </w:rPr>
        <w:fldChar w:fldCharType="end"/>
      </w:r>
      <w:r w:rsidR="0001634A" w:rsidRPr="000377CB">
        <w:rPr>
          <w:rFonts w:cs="Calibri"/>
          <w:sz w:val="24"/>
          <w:szCs w:val="24"/>
        </w:rPr>
        <w:t>.</w:t>
      </w:r>
      <w:r w:rsidRPr="000377CB">
        <w:rPr>
          <w:rFonts w:cs="Calibri"/>
          <w:sz w:val="24"/>
          <w:szCs w:val="24"/>
        </w:rPr>
        <w:t xml:space="preserve"> There is limited data on how such deviations affect deaths from different injuries, especially by type of injury, month of year, age and sex. Here, we used data on mortality and temperature over a 37-year period (1980-2016) in the entire contiguous United States and formulated a Bayesian spatio-temporal model to estimate how deviations from the long-term norm of mean monthly temperature (anomalous temperatures) affect deaths from different injuries by age groups and sex. We found that a 1°C anomalously warm year would be associated with an estimated 941 (95% credible interval 831, 1053) additional injury deaths. 87% of deaths in males would be concentrated in adolescent to middle ages. These excess deaths would comprise of increases in drowning, transport injuries, assault and intentional self-harm offset partly by an overall decline in falls in older ages. The findings demonstrate the need for targeted public health interventions against injuries during periods of anomalously high temperatures, especially as these episodes increase with global climate change.</w:t>
      </w:r>
      <w:bookmarkStart w:id="8" w:name="_Toc6045013"/>
      <w:bookmarkEnd w:id="7"/>
    </w:p>
    <w:p w14:paraId="53F0D6FD" w14:textId="35A14933" w:rsidR="00BE6C9E" w:rsidRPr="00BE6C9E" w:rsidRDefault="00BE6C9E" w:rsidP="00BE6C9E">
      <w:pPr>
        <w:spacing w:line="480" w:lineRule="auto"/>
        <w:ind w:firstLine="720"/>
        <w:jc w:val="both"/>
        <w:rPr>
          <w:sz w:val="24"/>
          <w:szCs w:val="24"/>
        </w:rPr>
      </w:pPr>
      <w:r>
        <w:rPr>
          <w:sz w:val="24"/>
          <w:szCs w:val="24"/>
        </w:rPr>
        <w:t xml:space="preserve">This chapter is based on </w:t>
      </w:r>
      <w:r w:rsidR="003D18D1">
        <w:rPr>
          <w:sz w:val="24"/>
          <w:szCs w:val="24"/>
        </w:rPr>
        <w:t>a paper</w:t>
      </w:r>
      <w:r>
        <w:rPr>
          <w:sz w:val="24"/>
          <w:szCs w:val="24"/>
        </w:rPr>
        <w:t xml:space="preserve"> which is currently under review in Nature Climate Change.</w:t>
      </w:r>
    </w:p>
    <w:p w14:paraId="2C8ED6BF" w14:textId="49C97810" w:rsidR="000377CB" w:rsidRPr="000377CB" w:rsidRDefault="000377CB" w:rsidP="000377CB">
      <w:pPr>
        <w:pStyle w:val="Heading2"/>
        <w:rPr>
          <w:rFonts w:ascii="Calibri" w:hAnsi="Calibri"/>
        </w:rPr>
      </w:pPr>
      <w:bookmarkStart w:id="9" w:name="_Toc6395712"/>
      <w:r>
        <w:t>Introduction</w:t>
      </w:r>
      <w:bookmarkEnd w:id="9"/>
    </w:p>
    <w:p w14:paraId="573AC6C2" w14:textId="3F1F7F7B" w:rsidR="00B971FF" w:rsidRDefault="00B971FF" w:rsidP="00E06158">
      <w:pPr>
        <w:spacing w:line="480" w:lineRule="auto"/>
        <w:ind w:firstLine="720"/>
        <w:jc w:val="both"/>
        <w:rPr>
          <w:rFonts w:cs="Calibri"/>
          <w:color w:val="000000" w:themeColor="text1"/>
          <w:sz w:val="24"/>
          <w:szCs w:val="24"/>
        </w:rPr>
      </w:pPr>
      <w:r w:rsidRPr="000377CB">
        <w:rPr>
          <w:rFonts w:cs="Calibri"/>
          <w:color w:val="000000" w:themeColor="text1"/>
          <w:sz w:val="24"/>
          <w:szCs w:val="24"/>
        </w:rPr>
        <w:t xml:space="preserve">The potential health impacts of anthropogenic climate change are one of the key drivers for efforts to mitigate greenhouse gas emissions and for pursuing adaptation measures. Current assessments of the health effects of climate change largely focus on </w:t>
      </w:r>
      <w:r w:rsidRPr="000377CB">
        <w:rPr>
          <w:rFonts w:cs="Calibri"/>
          <w:color w:val="000000" w:themeColor="text1"/>
          <w:sz w:val="24"/>
          <w:szCs w:val="24"/>
        </w:rPr>
        <w:lastRenderedPageBreak/>
        <w:t>parasitic and infectious diseases, and cardiorespiratory and other chronic diseases</w:t>
      </w:r>
      <w:r w:rsidR="00F546CD">
        <w:rPr>
          <w:rFonts w:cs="Calibri"/>
          <w:color w:val="000000" w:themeColor="text1"/>
          <w:sz w:val="24"/>
          <w:szCs w:val="24"/>
        </w:rPr>
        <w:t xml:space="preserve"> </w:t>
      </w:r>
      <w:r w:rsidRPr="000377CB">
        <w:rPr>
          <w:rFonts w:cs="Calibri"/>
          <w:color w:val="000000" w:themeColor="text1"/>
          <w:sz w:val="24"/>
          <w:szCs w:val="24"/>
        </w:rPr>
        <w:fldChar w:fldCharType="begin" w:fldLock="1"/>
      </w:r>
      <w:r w:rsidR="0001634A" w:rsidRPr="000377CB">
        <w:rPr>
          <w:rFonts w:cs="Calibri"/>
          <w:color w:val="000000" w:themeColor="text1"/>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Woodruff, &amp; Hales, 2006; Smith et al., 2015; Watts et al., 2018)","plainTextFormattedCitation":"(Gasparrini et al., 2017; Haines &amp; Ebi, 2019; Huang et al., 2011; McMichael, Woodruff, &amp; Hales, 2006; Smith et al., 2015; Watts et al., 2018)","previouslyFormattedCitation":"&lt;sup&gt;2–7&lt;/sup&gt;"},"properties":{"noteIndex":0},"schema":"https://github.com/citation-style-language/schema/raw/master/csl-citation.json"}</w:instrText>
      </w:r>
      <w:r w:rsidRPr="000377CB">
        <w:rPr>
          <w:rFonts w:cs="Calibri"/>
          <w:color w:val="000000" w:themeColor="text1"/>
          <w:sz w:val="24"/>
          <w:szCs w:val="24"/>
        </w:rPr>
        <w:fldChar w:fldCharType="separate"/>
      </w:r>
      <w:r w:rsidR="0001634A" w:rsidRPr="000377CB">
        <w:rPr>
          <w:rFonts w:cs="Calibri"/>
          <w:noProof/>
          <w:color w:val="000000" w:themeColor="text1"/>
          <w:sz w:val="24"/>
          <w:szCs w:val="24"/>
        </w:rPr>
        <w:t>(Gasparrini et al., 2017; Haines &amp; Ebi, 2019; Huang et al., 2011; McMichael, Woodruff, &amp; Hales, 2006; Smith et al., 2015; Watts et al., 2018)</w:t>
      </w:r>
      <w:r w:rsidRPr="000377CB">
        <w:rPr>
          <w:rFonts w:cs="Calibri"/>
          <w:color w:val="000000" w:themeColor="text1"/>
          <w:sz w:val="24"/>
          <w:szCs w:val="24"/>
        </w:rPr>
        <w:fldChar w:fldCharType="end"/>
      </w:r>
      <w:r w:rsidR="00412C47">
        <w:rPr>
          <w:rFonts w:cs="Calibri"/>
          <w:color w:val="000000" w:themeColor="text1"/>
          <w:sz w:val="24"/>
          <w:szCs w:val="24"/>
        </w:rPr>
        <w:t>.</w:t>
      </w:r>
      <w:r w:rsidRPr="000377CB">
        <w:rPr>
          <w:rFonts w:cs="Calibri"/>
          <w:color w:val="000000" w:themeColor="text1"/>
          <w:sz w:val="24"/>
          <w:szCs w:val="24"/>
        </w:rPr>
        <w:t xml:space="preserve"> Less research has been conducted on injuries</w:t>
      </w:r>
      <w:r w:rsidR="00F546CD">
        <w:rPr>
          <w:rFonts w:cs="Calibri"/>
          <w:color w:val="000000" w:themeColor="text1"/>
          <w:sz w:val="24"/>
          <w:szCs w:val="24"/>
        </w:rPr>
        <w:t xml:space="preserve"> </w:t>
      </w:r>
      <w:r w:rsidRPr="000377CB">
        <w:rPr>
          <w:rFonts w:cs="Calibri"/>
          <w:color w:val="000000" w:themeColor="text1"/>
          <w:sz w:val="24"/>
          <w:szCs w:val="24"/>
        </w:rPr>
        <w:fldChar w:fldCharType="begin" w:fldLock="1"/>
      </w:r>
      <w:r w:rsidR="0001634A" w:rsidRPr="000377CB">
        <w:rPr>
          <w:rFonts w:cs="Calibri"/>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2007)","previouslyFormattedCitation":"&lt;sup&gt;8–10&lt;/sup&gt;"},"properties":{"noteIndex":0},"schema":"https://github.com/citation-style-language/schema/raw/master/csl-citation.json"}</w:instrText>
      </w:r>
      <w:r w:rsidRPr="000377CB">
        <w:rPr>
          <w:rFonts w:cs="Calibri"/>
          <w:color w:val="000000" w:themeColor="text1"/>
          <w:sz w:val="24"/>
          <w:szCs w:val="24"/>
        </w:rPr>
        <w:fldChar w:fldCharType="separate"/>
      </w:r>
      <w:r w:rsidR="0001634A" w:rsidRPr="000377CB">
        <w:rPr>
          <w:rFonts w:cs="Calibri"/>
          <w:noProof/>
          <w:color w:val="000000" w:themeColor="text1"/>
          <w:sz w:val="24"/>
          <w:szCs w:val="24"/>
        </w:rPr>
        <w:t>(Burke et al., 2018; Orru &amp; Åström, 2017; Rey et al., 2007)</w:t>
      </w:r>
      <w:r w:rsidRPr="000377CB">
        <w:rPr>
          <w:rFonts w:cs="Calibri"/>
          <w:color w:val="000000" w:themeColor="text1"/>
          <w:sz w:val="24"/>
          <w:szCs w:val="24"/>
        </w:rPr>
        <w:fldChar w:fldCharType="end"/>
      </w:r>
      <w:r w:rsidR="00B16BB3">
        <w:rPr>
          <w:rFonts w:cs="Calibri"/>
          <w:sz w:val="24"/>
          <w:szCs w:val="24"/>
        </w:rPr>
        <w:t xml:space="preserve">, </w:t>
      </w:r>
      <w:r w:rsidRPr="000377CB">
        <w:rPr>
          <w:rFonts w:cs="Calibri"/>
          <w:color w:val="000000" w:themeColor="text1"/>
          <w:sz w:val="24"/>
          <w:szCs w:val="24"/>
        </w:rPr>
        <w:t>especially in a consistent way across injury types and demographic subgroups of the population, even though death rates from injuries vary seasonally</w:t>
      </w:r>
      <w:r w:rsidR="00F546CD">
        <w:rPr>
          <w:rFonts w:cs="Calibri"/>
          <w:color w:val="000000" w:themeColor="text1"/>
          <w:sz w:val="24"/>
          <w:szCs w:val="24"/>
        </w:rPr>
        <w:t xml:space="preserve"> </w:t>
      </w:r>
      <w:r w:rsidRPr="000377CB">
        <w:rPr>
          <w:rFonts w:cs="Calibri"/>
          <w:color w:val="000000" w:themeColor="text1"/>
          <w:sz w:val="24"/>
          <w:szCs w:val="24"/>
        </w:rPr>
        <w:fldChar w:fldCharType="begin" w:fldLock="1"/>
      </w:r>
      <w:r w:rsidR="0001634A" w:rsidRPr="000377CB">
        <w:rPr>
          <w:rFonts w:cs="Calibri"/>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2004)","previouslyFormattedCitation":"&lt;sup&gt;11,12&lt;/sup&gt;"},"properties":{"noteIndex":0},"schema":"https://github.com/citation-style-language/schema/raw/master/csl-citation.json"}</w:instrText>
      </w:r>
      <w:r w:rsidRPr="000377CB">
        <w:rPr>
          <w:rFonts w:cs="Calibri"/>
          <w:color w:val="000000" w:themeColor="text1"/>
          <w:sz w:val="24"/>
          <w:szCs w:val="24"/>
        </w:rPr>
        <w:fldChar w:fldCharType="separate"/>
      </w:r>
      <w:r w:rsidR="0001634A" w:rsidRPr="000377CB">
        <w:rPr>
          <w:rFonts w:cs="Calibri"/>
          <w:noProof/>
          <w:color w:val="000000" w:themeColor="text1"/>
          <w:sz w:val="24"/>
          <w:szCs w:val="24"/>
        </w:rPr>
        <w:t>(Parks, Bennett, Foreman, Toumi, &amp; Ezzati, 2018; Rau, 2004)</w:t>
      </w:r>
      <w:r w:rsidRPr="000377CB">
        <w:rPr>
          <w:rFonts w:cs="Calibri"/>
          <w:color w:val="000000" w:themeColor="text1"/>
          <w:sz w:val="24"/>
          <w:szCs w:val="24"/>
        </w:rPr>
        <w:fldChar w:fldCharType="end"/>
      </w:r>
      <w:r w:rsidR="00CE59B7">
        <w:rPr>
          <w:rFonts w:cs="Calibri"/>
          <w:color w:val="000000" w:themeColor="text1"/>
          <w:sz w:val="24"/>
          <w:szCs w:val="24"/>
        </w:rPr>
        <w:t>,</w:t>
      </w:r>
      <w:r w:rsidRPr="000377CB">
        <w:rPr>
          <w:rFonts w:cs="Calibri"/>
          <w:color w:val="000000" w:themeColor="text1"/>
          <w:sz w:val="24"/>
          <w:szCs w:val="24"/>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366A6D2C" w14:textId="7FABEA47" w:rsidR="00E06158" w:rsidRPr="000377CB" w:rsidRDefault="00281101" w:rsidP="00281101">
      <w:pPr>
        <w:pStyle w:val="Heading2"/>
        <w:rPr>
          <w:rFonts w:ascii="Calibri" w:hAnsi="Calibri"/>
        </w:rPr>
      </w:pPr>
      <w:bookmarkStart w:id="10" w:name="_Toc6395713"/>
      <w:r>
        <w:t>Data</w:t>
      </w:r>
      <w:bookmarkEnd w:id="10"/>
    </w:p>
    <w:p w14:paraId="50FBE287" w14:textId="77777777" w:rsidR="006E3FA3" w:rsidRDefault="00B971FF" w:rsidP="006851BD">
      <w:pPr>
        <w:spacing w:line="480" w:lineRule="auto"/>
        <w:ind w:firstLine="720"/>
        <w:jc w:val="both"/>
        <w:rPr>
          <w:rFonts w:cs="Calibri"/>
          <w:color w:val="000000" w:themeColor="text1"/>
          <w:sz w:val="24"/>
          <w:szCs w:val="24"/>
        </w:rPr>
      </w:pPr>
      <w:r w:rsidRPr="000377CB">
        <w:rPr>
          <w:rFonts w:cs="Calibri"/>
          <w:color w:val="000000" w:themeColor="text1"/>
          <w:sz w:val="24"/>
          <w:szCs w:val="24"/>
        </w:rPr>
        <w:t>We used vital registration data on all injury deaths in the contiguous USA</w:t>
      </w:r>
      <w:r w:rsidRPr="000377CB">
        <w:rPr>
          <w:rFonts w:cs="Calibri"/>
          <w:sz w:val="24"/>
          <w:szCs w:val="24"/>
        </w:rPr>
        <w:t xml:space="preserve"> </w:t>
      </w:r>
      <w:r w:rsidRPr="000377CB">
        <w:rPr>
          <w:rFonts w:cs="Calibri"/>
          <w:color w:val="000000" w:themeColor="text1"/>
          <w:sz w:val="24"/>
          <w:szCs w:val="24"/>
        </w:rPr>
        <w:t>from 1980 to 2016, with information on sex, age at death, underlying cause of death and state of residence. During this period, 4,006,454 boys and men and 1,757,862 girls and women died from an injury in the contiguous USA (i.e., excluding Alaska and Hawaii), accounting for 9.2% and 4.2% of all male and female deaths respectively. 95.6% of male injury deaths and 93.9% of female injury deaths were in those aged 15 years and older, and over half (52.6%) of male injury deaths were in those aged 15-44 years (</w:t>
      </w:r>
      <w:r w:rsidR="00C152C4">
        <w:rPr>
          <w:rFonts w:cs="Calibri"/>
          <w:color w:val="000000" w:themeColor="text1"/>
          <w:sz w:val="24"/>
          <w:szCs w:val="24"/>
        </w:rPr>
        <w:fldChar w:fldCharType="begin"/>
      </w:r>
      <w:r w:rsidR="00C152C4">
        <w:rPr>
          <w:rFonts w:cs="Calibri"/>
          <w:color w:val="000000" w:themeColor="text1"/>
          <w:sz w:val="24"/>
          <w:szCs w:val="24"/>
        </w:rPr>
        <w:instrText xml:space="preserve"> REF _Ref6323550 \h </w:instrText>
      </w:r>
      <w:r w:rsidR="00C152C4">
        <w:rPr>
          <w:rFonts w:cs="Calibri"/>
          <w:color w:val="000000" w:themeColor="text1"/>
          <w:sz w:val="24"/>
          <w:szCs w:val="24"/>
        </w:rPr>
      </w:r>
      <w:r w:rsidR="00C152C4">
        <w:rPr>
          <w:rFonts w:cs="Calibri"/>
          <w:color w:val="000000" w:themeColor="text1"/>
          <w:sz w:val="24"/>
          <w:szCs w:val="24"/>
        </w:rPr>
        <w:fldChar w:fldCharType="separate"/>
      </w:r>
      <w:r w:rsidR="00C152C4" w:rsidRPr="00C1349F">
        <w:rPr>
          <w:b/>
        </w:rPr>
        <w:t xml:space="preserve">Figure </w:t>
      </w:r>
      <w:r w:rsidR="00C152C4" w:rsidRPr="00C1349F">
        <w:rPr>
          <w:b/>
          <w:noProof/>
        </w:rPr>
        <w:t>1</w:t>
      </w:r>
      <w:r w:rsidR="00C152C4">
        <w:rPr>
          <w:rFonts w:cs="Calibri"/>
          <w:color w:val="000000" w:themeColor="text1"/>
          <w:sz w:val="24"/>
          <w:szCs w:val="24"/>
        </w:rPr>
        <w:fldChar w:fldCharType="end"/>
      </w:r>
      <w:r w:rsidRPr="000377CB">
        <w:rPr>
          <w:rFonts w:cs="Calibri"/>
          <w:color w:val="000000" w:themeColor="text1"/>
          <w:sz w:val="24"/>
          <w:szCs w:val="24"/>
        </w:rPr>
        <w:t>). In contrast with males, there was less of an age gradient in females after 15 years of age, with women aged 15-24 years and 75-84 years, along with the age groups in between, having similar numbers of injury deaths.</w:t>
      </w:r>
    </w:p>
    <w:p w14:paraId="4978C9C3" w14:textId="77777777" w:rsidR="00CF1B92" w:rsidRDefault="00CF1B92" w:rsidP="006851BD">
      <w:pPr>
        <w:spacing w:line="480" w:lineRule="auto"/>
        <w:ind w:firstLine="720"/>
        <w:jc w:val="both"/>
        <w:rPr>
          <w:rFonts w:cs="Calibri"/>
          <w:color w:val="000000" w:themeColor="text1"/>
          <w:sz w:val="24"/>
          <w:szCs w:val="24"/>
        </w:rPr>
      </w:pPr>
    </w:p>
    <w:p w14:paraId="526B99EF" w14:textId="1470E11D" w:rsidR="00CF1B92" w:rsidRDefault="00CF1B92" w:rsidP="006851BD">
      <w:pPr>
        <w:spacing w:line="480" w:lineRule="auto"/>
        <w:ind w:firstLine="720"/>
        <w:jc w:val="both"/>
        <w:rPr>
          <w:rFonts w:cs="Calibri"/>
          <w:color w:val="000000" w:themeColor="text1"/>
          <w:sz w:val="24"/>
          <w:szCs w:val="24"/>
        </w:rPr>
        <w:sectPr w:rsidR="00CF1B92" w:rsidSect="0083190B">
          <w:footerReference w:type="even" r:id="rId9"/>
          <w:footerReference w:type="default" r:id="rId10"/>
          <w:pgSz w:w="11900" w:h="16840"/>
          <w:pgMar w:top="1440" w:right="1440" w:bottom="1440" w:left="1440" w:header="720" w:footer="720" w:gutter="0"/>
          <w:lnNumType w:countBy="1" w:restart="continuous"/>
          <w:cols w:space="720"/>
          <w:docGrid w:linePitch="360"/>
        </w:sectPr>
      </w:pPr>
    </w:p>
    <w:p w14:paraId="55FBA691" w14:textId="63F83C47" w:rsidR="006E3FA3" w:rsidRDefault="00303D4F" w:rsidP="00303D4F">
      <w:pPr>
        <w:suppressLineNumbers/>
        <w:spacing w:line="480" w:lineRule="auto"/>
        <w:ind w:firstLine="720"/>
        <w:rPr>
          <w:rFonts w:cs="Calibri"/>
          <w:color w:val="000000" w:themeColor="text1"/>
          <w:sz w:val="24"/>
          <w:szCs w:val="24"/>
        </w:rPr>
        <w:sectPr w:rsidR="006E3FA3" w:rsidSect="008A28F6">
          <w:pgSz w:w="16840" w:h="11900" w:orient="landscape"/>
          <w:pgMar w:top="720" w:right="720" w:bottom="720" w:left="720" w:header="720" w:footer="720" w:gutter="0"/>
          <w:lnNumType w:countBy="1" w:restart="continuous"/>
          <w:cols w:space="720"/>
          <w:docGrid w:linePitch="360"/>
        </w:sectPr>
      </w:pPr>
      <w:r w:rsidRPr="0065279F">
        <w:rPr>
          <w:rFonts w:cs="Calibri"/>
          <w:i/>
          <w:noProof/>
          <w:color w:val="000000" w:themeColor="text1"/>
          <w:sz w:val="24"/>
          <w:szCs w:val="24"/>
        </w:rPr>
        <w:lastRenderedPageBreak/>
        <w:drawing>
          <wp:inline distT="0" distB="0" distL="0" distR="0" wp14:anchorId="79DA3471" wp14:editId="6828D892">
            <wp:extent cx="8778240" cy="5932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1">
                      <a:extLst>
                        <a:ext uri="{28A0092B-C50C-407E-A947-70E740481C1C}">
                          <a14:useLocalDpi xmlns:a14="http://schemas.microsoft.com/office/drawing/2010/main" val="0"/>
                        </a:ext>
                      </a:extLst>
                    </a:blip>
                    <a:srcRect b="4471"/>
                    <a:stretch/>
                  </pic:blipFill>
                  <pic:spPr bwMode="auto">
                    <a:xfrm>
                      <a:off x="0" y="0"/>
                      <a:ext cx="8778240" cy="5932170"/>
                    </a:xfrm>
                    <a:prstGeom prst="rect">
                      <a:avLst/>
                    </a:prstGeom>
                    <a:ln>
                      <a:noFill/>
                    </a:ln>
                    <a:extLst>
                      <a:ext uri="{53640926-AAD7-44D8-BBD7-CCE9431645EC}">
                        <a14:shadowObscured xmlns:a14="http://schemas.microsoft.com/office/drawing/2010/main"/>
                      </a:ext>
                    </a:extLst>
                  </pic:spPr>
                </pic:pic>
              </a:graphicData>
            </a:graphic>
          </wp:inline>
        </w:drawing>
      </w:r>
      <w:r w:rsidR="005100CF">
        <w:rPr>
          <w:noProof/>
        </w:rPr>
        <mc:AlternateContent>
          <mc:Choice Requires="wps">
            <w:drawing>
              <wp:anchor distT="0" distB="0" distL="114300" distR="114300" simplePos="0" relativeHeight="251660288" behindDoc="0" locked="0" layoutInCell="1" allowOverlap="1" wp14:anchorId="71908916" wp14:editId="387D33EB">
                <wp:simplePos x="0" y="0"/>
                <wp:positionH relativeFrom="column">
                  <wp:posOffset>-77470</wp:posOffset>
                </wp:positionH>
                <wp:positionV relativeFrom="paragraph">
                  <wp:posOffset>5947947</wp:posOffset>
                </wp:positionV>
                <wp:extent cx="9387840" cy="635"/>
                <wp:effectExtent l="0" t="0" r="0" b="1270"/>
                <wp:wrapTopAndBottom/>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3922B494" w:rsidR="00C1349F" w:rsidRPr="00AC2AD1" w:rsidRDefault="00C1349F" w:rsidP="00303D4F">
                            <w:pPr>
                              <w:suppressLineNumbers/>
                              <w:jc w:val="center"/>
                              <w:rPr>
                                <w:rFonts w:cs="Calibri"/>
                                <w:noProof/>
                              </w:rPr>
                            </w:pPr>
                            <w:bookmarkStart w:id="11" w:name="_Ref6323550"/>
                            <w:bookmarkStart w:id="12" w:name="_Toc6395702"/>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ED73AC">
                              <w:rPr>
                                <w:b/>
                                <w:noProof/>
                              </w:rPr>
                              <w:t>1</w:t>
                            </w:r>
                            <w:r w:rsidRPr="00C1349F">
                              <w:rPr>
                                <w:b/>
                              </w:rPr>
                              <w:fldChar w:fldCharType="end"/>
                            </w:r>
                            <w:bookmarkEnd w:id="11"/>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intentional self-harm) injury, by sex and age group</w:t>
                            </w:r>
                            <w:r w:rsidRPr="00112CB4">
                              <w:t xml:space="preserve"> </w:t>
                            </w:r>
                            <w:r w:rsidRPr="00636C9B">
                              <w:t xml:space="preserve">in the </w:t>
                            </w:r>
                            <w:r>
                              <w:t xml:space="preserve">contiguous </w:t>
                            </w:r>
                            <w:r w:rsidRPr="00636C9B">
                              <w:t xml:space="preserve">USA for </w:t>
                            </w:r>
                            <w:r>
                              <w:t>1980</w:t>
                            </w:r>
                            <w:r w:rsidRPr="00636C9B">
                              <w:t>-2016.</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1pt;margin-top:468.35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" stroked="f">
                <v:textbox style="mso-fit-shape-to-text:t" inset="0,0,0,0">
                  <w:txbxContent>
                    <w:p w14:paraId="2900EFF1" w14:textId="3922B494" w:rsidR="00C1349F" w:rsidRPr="00AC2AD1" w:rsidRDefault="00C1349F" w:rsidP="00303D4F">
                      <w:pPr>
                        <w:suppressLineNumbers/>
                        <w:jc w:val="center"/>
                        <w:rPr>
                          <w:rFonts w:cs="Calibri"/>
                          <w:noProof/>
                        </w:rPr>
                      </w:pPr>
                      <w:bookmarkStart w:id="13" w:name="_Ref6323550"/>
                      <w:bookmarkStart w:id="14" w:name="_Toc6395702"/>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ED73AC">
                        <w:rPr>
                          <w:b/>
                          <w:noProof/>
                        </w:rPr>
                        <w:t>1</w:t>
                      </w:r>
                      <w:r w:rsidRPr="00C1349F">
                        <w:rPr>
                          <w:b/>
                        </w:rPr>
                        <w:fldChar w:fldCharType="end"/>
                      </w:r>
                      <w:bookmarkEnd w:id="13"/>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intentional self-harm) injury, by sex and age group</w:t>
                      </w:r>
                      <w:r w:rsidRPr="00112CB4">
                        <w:t xml:space="preserve"> </w:t>
                      </w:r>
                      <w:r w:rsidRPr="00636C9B">
                        <w:t xml:space="preserve">in the </w:t>
                      </w:r>
                      <w:r>
                        <w:t xml:space="preserve">contiguous </w:t>
                      </w:r>
                      <w:r w:rsidRPr="00636C9B">
                        <w:t xml:space="preserve">USA for </w:t>
                      </w:r>
                      <w:r>
                        <w:t>1980</w:t>
                      </w:r>
                      <w:r w:rsidRPr="00636C9B">
                        <w:t>-2016.</w:t>
                      </w:r>
                      <w:bookmarkEnd w:id="14"/>
                    </w:p>
                  </w:txbxContent>
                </v:textbox>
                <w10:wrap type="topAndBottom"/>
              </v:shape>
            </w:pict>
          </mc:Fallback>
        </mc:AlternateContent>
      </w:r>
    </w:p>
    <w:p w14:paraId="5BD91F86" w14:textId="0A93D748" w:rsidR="00CB5EEE" w:rsidRPr="003C1E36" w:rsidRDefault="00CB5EEE" w:rsidP="006E3FA3">
      <w:pPr>
        <w:spacing w:line="480" w:lineRule="auto"/>
        <w:ind w:firstLine="720"/>
        <w:jc w:val="both"/>
        <w:rPr>
          <w:rStyle w:val="apple-style-span"/>
          <w:rFonts w:cs="Calibri"/>
          <w:color w:val="000000" w:themeColor="text1"/>
          <w:sz w:val="24"/>
          <w:szCs w:val="24"/>
        </w:rPr>
      </w:pPr>
      <w:r w:rsidRPr="003C1E36">
        <w:rPr>
          <w:rStyle w:val="apple-style-span"/>
          <w:rFonts w:cs="Calibri"/>
          <w:color w:val="000000" w:themeColor="text1"/>
          <w:sz w:val="24"/>
          <w:szCs w:val="24"/>
        </w:rPr>
        <w:lastRenderedPageBreak/>
        <w:t>We used data on deaths by sex, age, underlying cause of death and state of residence in the contiguous USA from 1980 to 2016 through the National Center for Health Statistics (NCHS) (</w:t>
      </w:r>
      <w:hyperlink r:id="rId12" w:history="1">
        <w:r w:rsidRPr="003C1E36">
          <w:rPr>
            <w:rStyle w:val="Hyperlink"/>
            <w:rFonts w:cs="Calibri"/>
            <w:sz w:val="24"/>
            <w:szCs w:val="24"/>
          </w:rPr>
          <w:t>https://www.cdc.gov/nchs/nvss/dvs_data_release.htm</w:t>
        </w:r>
      </w:hyperlink>
      <w:r w:rsidRPr="003C1E36">
        <w:rPr>
          <w:rStyle w:val="apple-style-span"/>
          <w:rFonts w:cs="Calibri"/>
          <w:color w:val="000000" w:themeColor="text1"/>
          <w:sz w:val="24"/>
          <w:szCs w:val="24"/>
        </w:rPr>
        <w:t xml:space="preserve">) and on population from the NCHS bridged-race dataset </w:t>
      </w:r>
      <w:r w:rsidRPr="003C1E36">
        <w:rPr>
          <w:rFonts w:cs="Calibri"/>
          <w:color w:val="000000" w:themeColor="text1"/>
          <w:sz w:val="24"/>
          <w:szCs w:val="24"/>
        </w:rPr>
        <w:t>for 1990 to 2016 (</w:t>
      </w:r>
      <w:hyperlink r:id="rId13" w:history="1">
        <w:r w:rsidRPr="003C1E36">
          <w:rPr>
            <w:rStyle w:val="Hyperlink"/>
            <w:rFonts w:cs="Calibri"/>
            <w:sz w:val="24"/>
            <w:szCs w:val="24"/>
          </w:rPr>
          <w:t>https://www.cdc.gov/nchs/nvss/bridged_race.htm</w:t>
        </w:r>
      </w:hyperlink>
      <w:r w:rsidRPr="003C1E36">
        <w:rPr>
          <w:rFonts w:cs="Calibri"/>
          <w:color w:val="000000" w:themeColor="text1"/>
          <w:sz w:val="24"/>
          <w:szCs w:val="24"/>
        </w:rPr>
        <w:t>) and from the US Census Bureau prior to 1990 (</w:t>
      </w:r>
      <w:hyperlink r:id="rId14" w:history="1">
        <w:r w:rsidRPr="003C1E36">
          <w:rPr>
            <w:rStyle w:val="Hyperlink"/>
            <w:rFonts w:cs="Calibri"/>
            <w:sz w:val="24"/>
            <w:szCs w:val="24"/>
          </w:rPr>
          <w:t>https://www.census.gov/data/developers/data-sets/popest-popproj/popest.html</w:t>
        </w:r>
      </w:hyperlink>
      <w:r w:rsidRPr="003C1E36">
        <w:rPr>
          <w:rStyle w:val="Hyperlink"/>
          <w:rFonts w:cs="Calibri"/>
          <w:sz w:val="24"/>
          <w:szCs w:val="24"/>
        </w:rPr>
        <w:t>)</w:t>
      </w:r>
      <w:r w:rsidRPr="003C1E36">
        <w:rPr>
          <w:rFonts w:cs="Calibri"/>
          <w:color w:val="000000" w:themeColor="text1"/>
          <w:sz w:val="24"/>
          <w:szCs w:val="24"/>
        </w:rPr>
        <w:t>. We calculated monthly population counts through linear interpolation, assigning each yearly count to July.</w:t>
      </w:r>
    </w:p>
    <w:p w14:paraId="630415C8" w14:textId="1D7C09C2" w:rsidR="00CB5EEE" w:rsidRPr="003C1E36" w:rsidRDefault="00CB5EEE" w:rsidP="00E729FA">
      <w:pPr>
        <w:spacing w:line="480" w:lineRule="auto"/>
        <w:ind w:firstLine="720"/>
        <w:jc w:val="both"/>
        <w:rPr>
          <w:rFonts w:cs="Calibri"/>
          <w:color w:val="000000" w:themeColor="text1"/>
          <w:sz w:val="24"/>
          <w:szCs w:val="24"/>
        </w:rPr>
      </w:pPr>
      <w:r w:rsidRPr="003C1E36">
        <w:rPr>
          <w:rFonts w:cs="Calibri"/>
          <w:color w:val="000000" w:themeColor="text1"/>
          <w:sz w:val="24"/>
          <w:szCs w:val="24"/>
        </w:rPr>
        <w:t>The underlying cause of death was coded according to the international classification of diseases (ICD) system (9</w:t>
      </w:r>
      <w:r w:rsidRPr="003C1E36">
        <w:rPr>
          <w:rFonts w:cs="Calibri"/>
          <w:color w:val="000000" w:themeColor="text1"/>
          <w:sz w:val="24"/>
          <w:szCs w:val="24"/>
          <w:vertAlign w:val="superscript"/>
        </w:rPr>
        <w:t>th</w:t>
      </w:r>
      <w:r w:rsidRPr="003C1E36">
        <w:rPr>
          <w:rFonts w:cs="Calibri"/>
          <w:color w:val="000000" w:themeColor="text1"/>
          <w:sz w:val="24"/>
          <w:szCs w:val="24"/>
        </w:rPr>
        <w:t xml:space="preserve"> revision from 1980 to 1998 and 10</w:t>
      </w:r>
      <w:r w:rsidRPr="003C1E36">
        <w:rPr>
          <w:rFonts w:cs="Calibri"/>
          <w:color w:val="000000" w:themeColor="text1"/>
          <w:sz w:val="24"/>
          <w:szCs w:val="24"/>
          <w:vertAlign w:val="superscript"/>
        </w:rPr>
        <w:t>th</w:t>
      </w:r>
      <w:r w:rsidRPr="003C1E36">
        <w:rPr>
          <w:rFonts w:cs="Calibri"/>
          <w:color w:val="000000" w:themeColor="text1"/>
          <w:sz w:val="24"/>
          <w:szCs w:val="24"/>
        </w:rPr>
        <w:t xml:space="preserve"> revision thereafter). The 5.7 million </w:t>
      </w:r>
      <w:r w:rsidRPr="003C1E36">
        <w:rPr>
          <w:rStyle w:val="apple-style-span"/>
          <w:rFonts w:cs="Calibri"/>
          <w:color w:val="000000" w:themeColor="text1"/>
          <w:sz w:val="24"/>
          <w:szCs w:val="24"/>
        </w:rPr>
        <w:t>injury deaths fell into six categories: transport, falls, drownings, assault, intentional self-harm and an aggregate set of other unintentional injuries. We report the results of all of these categories except other unintentional injuries (1,329,200 deaths or 23% of total injury deaths during 1980-2016), because the composition of this aggregate group varies by sex, age group, state and time.</w:t>
      </w:r>
    </w:p>
    <w:p w14:paraId="433ECD69" w14:textId="5981B01C" w:rsidR="00CB5EEE" w:rsidRPr="00CF1B92" w:rsidRDefault="00CB5EEE" w:rsidP="00E97E74">
      <w:pPr>
        <w:spacing w:line="480" w:lineRule="auto"/>
        <w:ind w:firstLine="720"/>
        <w:jc w:val="both"/>
        <w:rPr>
          <w:rFonts w:cs="Calibri"/>
          <w:color w:val="000000" w:themeColor="text1"/>
          <w:sz w:val="24"/>
          <w:szCs w:val="24"/>
        </w:rPr>
      </w:pPr>
      <w:r w:rsidRPr="00CF1B92">
        <w:rPr>
          <w:rFonts w:cs="Calibri"/>
          <w:color w:val="000000" w:themeColor="text1"/>
          <w:sz w:val="24"/>
          <w:szCs w:val="24"/>
        </w:rPr>
        <w:t>We obtained data on temperature from ERA-Interim, which combines predictions from a physical model with in-situ and satellite measurements</w:t>
      </w:r>
      <w:r w:rsidR="00C77DA4" w:rsidRPr="00CF1B92">
        <w:rPr>
          <w:rFonts w:cs="Calibri"/>
          <w:color w:val="000000" w:themeColor="text1"/>
          <w:sz w:val="24"/>
          <w:szCs w:val="24"/>
        </w:rPr>
        <w:t xml:space="preserve"> </w:t>
      </w:r>
      <w:r w:rsidRPr="00CF1B92">
        <w:rPr>
          <w:rFonts w:cs="Calibri"/>
          <w:sz w:val="24"/>
          <w:szCs w:val="24"/>
        </w:rPr>
        <w:fldChar w:fldCharType="begin" w:fldLock="1"/>
      </w:r>
      <w:r w:rsidRPr="00CF1B92">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2011)","previouslyFormattedCitation":"&lt;sup&gt;37&lt;/sup&gt;"},"properties":{"noteIndex":0},"schema":"https://github.com/citation-style-language/schema/raw/master/csl-citation.json"}</w:instrText>
      </w:r>
      <w:r w:rsidRPr="00CF1B92">
        <w:rPr>
          <w:rFonts w:cs="Calibri"/>
          <w:sz w:val="24"/>
          <w:szCs w:val="24"/>
        </w:rPr>
        <w:fldChar w:fldCharType="separate"/>
      </w:r>
      <w:r w:rsidRPr="00CF1B92">
        <w:rPr>
          <w:rFonts w:cs="Calibri"/>
          <w:noProof/>
          <w:sz w:val="24"/>
          <w:szCs w:val="24"/>
        </w:rPr>
        <w:t>(Dee et al., 2011)</w:t>
      </w:r>
      <w:r w:rsidRPr="00CF1B92">
        <w:rPr>
          <w:rFonts w:cs="Calibri"/>
          <w:sz w:val="24"/>
          <w:szCs w:val="24"/>
        </w:rPr>
        <w:fldChar w:fldCharType="end"/>
      </w:r>
      <w:r w:rsidR="00C77DA4" w:rsidRPr="00CF1B92">
        <w:rPr>
          <w:rFonts w:cs="Calibri"/>
          <w:sz w:val="24"/>
          <w:szCs w:val="24"/>
        </w:rPr>
        <w:t>.</w:t>
      </w:r>
      <w:r w:rsidRPr="00CF1B92">
        <w:rPr>
          <w:rFonts w:cs="Calibri"/>
          <w:color w:val="000000" w:themeColor="text1"/>
          <w:sz w:val="24"/>
          <w:szCs w:val="24"/>
        </w:rPr>
        <w:t xml:space="preserve"> We used gridded four-times-daily estimates at a resolution of 80 km to generate monthly population-weighted temperature by state throughout the analysis period. </w:t>
      </w:r>
      <w:r w:rsidR="00994EA6">
        <w:rPr>
          <w:rFonts w:cs="Calibri"/>
          <w:color w:val="000000" w:themeColor="text1"/>
          <w:sz w:val="24"/>
          <w:szCs w:val="24"/>
        </w:rPr>
        <w:t xml:space="preserve">Full details of the method I developed </w:t>
      </w:r>
      <w:r w:rsidR="00252EEB">
        <w:rPr>
          <w:rFonts w:cs="Calibri"/>
          <w:color w:val="000000" w:themeColor="text1"/>
          <w:sz w:val="24"/>
          <w:szCs w:val="24"/>
        </w:rPr>
        <w:t xml:space="preserve">to generate the data </w:t>
      </w:r>
      <w:r w:rsidR="00192B7E">
        <w:rPr>
          <w:rFonts w:cs="Calibri"/>
          <w:color w:val="000000" w:themeColor="text1"/>
          <w:sz w:val="24"/>
          <w:szCs w:val="24"/>
        </w:rPr>
        <w:t>can be found in</w:t>
      </w:r>
      <w:r w:rsidR="00252EEB">
        <w:rPr>
          <w:rFonts w:cs="Calibri"/>
          <w:color w:val="000000" w:themeColor="text1"/>
          <w:sz w:val="24"/>
          <w:szCs w:val="24"/>
        </w:rPr>
        <w:t xml:space="preserve"> Chapter XX.</w:t>
      </w:r>
    </w:p>
    <w:p w14:paraId="52CCE3BB" w14:textId="243A9D0E" w:rsidR="00CB5EEE" w:rsidRPr="003C1E36" w:rsidRDefault="00CB5EEE" w:rsidP="00E97E74">
      <w:pPr>
        <w:spacing w:line="480" w:lineRule="auto"/>
        <w:ind w:firstLine="720"/>
        <w:jc w:val="both"/>
        <w:rPr>
          <w:rFonts w:cs="Calibri"/>
          <w:color w:val="000000" w:themeColor="text1"/>
          <w:sz w:val="24"/>
          <w:szCs w:val="24"/>
        </w:rPr>
      </w:pPr>
      <w:r w:rsidRPr="003C1E36">
        <w:rPr>
          <w:rFonts w:cs="Calibri"/>
          <w:sz w:val="24"/>
          <w:szCs w:val="24"/>
        </w:rPr>
        <w:t>To calculate the magnitude of temperature anomaly by state and month, we first calculated 30-year (long-term) norm temperatures (from 1980-2009) for each month in each state. We calculated for 30 years because it is the duration used in climate assessments</w:t>
      </w:r>
      <w:r w:rsidR="009349B0" w:rsidRPr="003C1E36">
        <w:rPr>
          <w:rFonts w:cs="Calibri"/>
          <w:sz w:val="24"/>
          <w:szCs w:val="24"/>
        </w:rPr>
        <w:t xml:space="preserve"> </w:t>
      </w:r>
      <w:r w:rsidRPr="003C1E36">
        <w:rPr>
          <w:rFonts w:cs="Calibri"/>
          <w:sz w:val="24"/>
          <w:szCs w:val="24"/>
        </w:rPr>
        <w:lastRenderedPageBreak/>
        <w:fldChar w:fldCharType="begin" w:fldLock="1"/>
      </w:r>
      <w:r w:rsidRPr="003C1E36">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2006)","previouslyFormattedCitation":"&lt;sup&gt;38&lt;/sup&gt;"},"properties":{"noteIndex":0},"schema":"https://github.com/citation-style-language/schema/raw/master/csl-citation.json"}</w:instrText>
      </w:r>
      <w:r w:rsidRPr="003C1E36">
        <w:rPr>
          <w:rFonts w:cs="Calibri"/>
          <w:sz w:val="24"/>
          <w:szCs w:val="24"/>
        </w:rPr>
        <w:fldChar w:fldCharType="separate"/>
      </w:r>
      <w:r w:rsidRPr="003C1E36">
        <w:rPr>
          <w:rFonts w:cs="Calibri"/>
          <w:noProof/>
          <w:sz w:val="24"/>
          <w:szCs w:val="24"/>
        </w:rPr>
        <w:t>(Wallace &amp; Hobbs, 2006)</w:t>
      </w:r>
      <w:r w:rsidRPr="003C1E36">
        <w:rPr>
          <w:rFonts w:cs="Calibri"/>
          <w:sz w:val="24"/>
          <w:szCs w:val="24"/>
        </w:rPr>
        <w:fldChar w:fldCharType="end"/>
      </w:r>
      <w:r w:rsidR="009349B0" w:rsidRPr="003C1E36">
        <w:rPr>
          <w:rFonts w:cs="Calibri"/>
          <w:sz w:val="24"/>
          <w:szCs w:val="24"/>
        </w:rPr>
        <w:t>.</w:t>
      </w:r>
      <w:r w:rsidRPr="003C1E36">
        <w:rPr>
          <w:rFonts w:cs="Calibri"/>
          <w:sz w:val="24"/>
          <w:szCs w:val="24"/>
        </w:rPr>
        <w:t xml:space="preserve"> We subtracted these long-term norm temperatures from respective monthly temperature values to generate a temperature anomaly time series for each month and year in each state (Figure 3).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1949598C" w14:textId="77777777" w:rsidR="00CB5EEE" w:rsidRPr="000377CB" w:rsidRDefault="00CB5EEE" w:rsidP="00E97E74">
      <w:pPr>
        <w:pStyle w:val="Heading2"/>
      </w:pPr>
      <w:bookmarkStart w:id="15" w:name="_Toc6395714"/>
      <w:r w:rsidRPr="000377CB">
        <w:t>Statistical methods</w:t>
      </w:r>
      <w:bookmarkEnd w:id="15"/>
    </w:p>
    <w:p w14:paraId="61612A4A" w14:textId="009C7CAD" w:rsidR="00CB5EEE" w:rsidRPr="000377CB" w:rsidRDefault="00CB5EEE" w:rsidP="003A4AB3">
      <w:pPr>
        <w:spacing w:line="480" w:lineRule="auto"/>
        <w:ind w:firstLine="720"/>
        <w:jc w:val="both"/>
        <w:rPr>
          <w:rFonts w:cs="Calibri"/>
          <w:color w:val="000000" w:themeColor="text1"/>
          <w:sz w:val="24"/>
          <w:szCs w:val="24"/>
        </w:rPr>
      </w:pPr>
      <w:r w:rsidRPr="000377CB">
        <w:rPr>
          <w:rFonts w:cs="Calibri"/>
          <w:color w:val="000000" w:themeColor="text1"/>
          <w:sz w:val="24"/>
          <w:szCs w:val="24"/>
        </w:rPr>
        <w:t>We formulated a Bayesian spatio-temporal model 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et al., 2018; Rau, 2004)","plainTextFormattedCitation":"(Lozano et al., 2012; Parks et al., 2018; Rau, 2004)","previouslyFormattedCitation":"&lt;sup&gt;11,12,39&lt;/sup&gt;"},"properties":{"noteIndex":0},"schema":"https://github.com/citation-style-language/schema/raw/master/csl-citation.json"}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(Lozano et al., 2012; Parks et al., 2018; Rau, 2004)</w:t>
      </w:r>
      <w:r w:rsidRPr="000377CB">
        <w:rPr>
          <w:rFonts w:cs="Calibri"/>
          <w:color w:val="000000" w:themeColor="text1"/>
          <w:sz w:val="24"/>
          <w:szCs w:val="24"/>
        </w:rPr>
        <w:fldChar w:fldCharType="end"/>
      </w:r>
      <w:r w:rsidRPr="000377CB">
        <w:rPr>
          <w:rFonts w:cs="Calibri"/>
          <w:color w:val="000000" w:themeColor="text1"/>
          <w:sz w:val="24"/>
          <w:szCs w:val="24"/>
        </w:rPr>
        <w:t xml:space="preserve"> as might their associations with temperature.</w:t>
      </w:r>
      <w:r w:rsidR="001B7712">
        <w:rPr>
          <w:rFonts w:cs="Calibri"/>
          <w:color w:val="000000" w:themeColor="text1"/>
          <w:sz w:val="24"/>
          <w:szCs w:val="24"/>
        </w:rPr>
        <w:t xml:space="preserve"> Full details of the model can be found in Chapter XX.</w:t>
      </w:r>
    </w:p>
    <w:p w14:paraId="081CF101" w14:textId="74D77D11" w:rsidR="00CB5EEE" w:rsidRPr="00086D0B" w:rsidRDefault="00CB5EEE" w:rsidP="003A4AB3">
      <w:pPr>
        <w:spacing w:line="480" w:lineRule="auto"/>
        <w:ind w:firstLine="720"/>
        <w:jc w:val="both"/>
        <w:rPr>
          <w:rFonts w:cs="Calibri"/>
          <w:color w:val="000000" w:themeColor="text1"/>
          <w:sz w:val="24"/>
          <w:szCs w:val="24"/>
        </w:rPr>
      </w:pPr>
      <w:r w:rsidRPr="00086D0B">
        <w:rPr>
          <w:rFonts w:cs="Calibri"/>
          <w:color w:val="000000" w:themeColor="text1"/>
          <w:sz w:val="24"/>
          <w:szCs w:val="24"/>
        </w:rPr>
        <w:t>We modelled the number of deaths in each year as following a Poisson distribution:</w:t>
      </w:r>
    </w:p>
    <w:p w14:paraId="615B274B" w14:textId="3FD6CAAE" w:rsidR="00CB5EEE" w:rsidRPr="00086D0B" w:rsidRDefault="0095204C" w:rsidP="00CB5EEE">
      <w:pPr>
        <w:spacing w:line="480" w:lineRule="auto"/>
        <w:jc w:val="both"/>
        <w:rPr>
          <w:rFonts w:cs="Calibri"/>
          <w:color w:val="000000" w:themeColor="text1"/>
          <w:sz w:val="24"/>
          <w:szCs w:val="24"/>
        </w:rPr>
      </w:pPr>
      <m:oMathPara>
        <m:oMath>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deaths</m:t>
              </m:r>
            </m:e>
            <m:sub>
              <m:r>
                <w:rPr>
                  <w:rFonts w:ascii="Cambria Math" w:hAnsi="Cambria Math" w:cs="Calibri"/>
                  <w:color w:val="000000" w:themeColor="text1"/>
                  <w:sz w:val="24"/>
                  <w:szCs w:val="24"/>
                </w:rPr>
                <m:t>state-month-year</m:t>
              </m:r>
            </m:sub>
          </m:sSub>
          <m:r>
            <w:rPr>
              <w:rFonts w:ascii="Cambria Math" w:hAnsi="Cambria Math" w:cs="Calibri"/>
              <w:color w:val="000000" w:themeColor="text1"/>
              <w:sz w:val="24"/>
              <w:szCs w:val="24"/>
            </w:rPr>
            <m:t xml:space="preserve"> ~ Poisson(</m:t>
          </m:r>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death rate</m:t>
              </m:r>
            </m:e>
            <m:sub>
              <m:r>
                <w:rPr>
                  <w:rFonts w:ascii="Cambria Math" w:hAnsi="Cambria Math" w:cs="Calibri"/>
                  <w:color w:val="000000" w:themeColor="text1"/>
                  <w:sz w:val="24"/>
                  <w:szCs w:val="24"/>
                </w:rPr>
                <m:t>state-month-year</m:t>
              </m:r>
            </m:sub>
          </m:sSub>
          <m:r>
            <w:rPr>
              <w:rFonts w:ascii="Cambria Math" w:hAnsi="Cambria Math" w:cs="Calibri"/>
              <w:color w:val="000000" w:themeColor="text1"/>
              <w:sz w:val="24"/>
              <w:szCs w:val="24"/>
            </w:rPr>
            <m:t xml:space="preserve"> . </m:t>
          </m:r>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population</m:t>
              </m:r>
            </m:e>
            <m:sub>
              <m:r>
                <w:rPr>
                  <w:rFonts w:ascii="Cambria Math" w:hAnsi="Cambria Math" w:cs="Calibri"/>
                  <w:color w:val="000000" w:themeColor="text1"/>
                  <w:sz w:val="24"/>
                  <w:szCs w:val="24"/>
                </w:rPr>
                <m:t>state-month-year</m:t>
              </m:r>
            </m:sub>
          </m:sSub>
          <m:r>
            <w:rPr>
              <w:rFonts w:ascii="Cambria Math" w:hAnsi="Cambria Math" w:cs="Calibri"/>
              <w:color w:val="000000" w:themeColor="text1"/>
              <w:sz w:val="24"/>
              <w:szCs w:val="24"/>
            </w:rPr>
            <m:t>)</m:t>
          </m:r>
        </m:oMath>
      </m:oMathPara>
    </w:p>
    <w:p w14:paraId="60A49D77" w14:textId="5026F1B1" w:rsidR="00CB5EEE" w:rsidRPr="00086D0B" w:rsidRDefault="00CB5EEE" w:rsidP="00CB5EEE">
      <w:pPr>
        <w:spacing w:line="480" w:lineRule="auto"/>
        <w:jc w:val="both"/>
        <w:rPr>
          <w:rFonts w:cs="Calibri"/>
          <w:color w:val="000000" w:themeColor="text1"/>
          <w:sz w:val="24"/>
          <w:szCs w:val="24"/>
        </w:rPr>
      </w:pPr>
      <w:r w:rsidRPr="00086D0B">
        <w:rPr>
          <w:rFonts w:cs="Calibri"/>
          <w:color w:val="000000" w:themeColor="text1"/>
          <w:sz w:val="24"/>
          <w:szCs w:val="24"/>
        </w:rPr>
        <w:t>with log-transformed death rates modelled as a sum of components that depend on location (state) of death, month of year, overall time (month and year) and temperature anomaly:</w:t>
      </w:r>
    </w:p>
    <w:p w14:paraId="1311BCBE" w14:textId="3C682660" w:rsidR="00CB5EEE" w:rsidRPr="00086D0B" w:rsidRDefault="0095204C" w:rsidP="003A4AB3">
      <w:pPr>
        <w:spacing w:line="240" w:lineRule="auto"/>
        <w:jc w:val="both"/>
        <w:rPr>
          <w:rFonts w:cs="Calibri"/>
          <w:color w:val="000000" w:themeColor="text1"/>
          <w:sz w:val="24"/>
          <w:szCs w:val="24"/>
        </w:rPr>
      </w:pPr>
      <m:oMathPara>
        <m:oMath>
          <m:func>
            <m:funcPr>
              <m:ctrlPr>
                <w:rPr>
                  <w:rFonts w:ascii="Cambria Math" w:hAnsi="Cambria Math" w:cs="Calibri"/>
                  <w:i/>
                  <w:color w:val="000000" w:themeColor="text1"/>
                  <w:sz w:val="24"/>
                  <w:szCs w:val="24"/>
                </w:rPr>
              </m:ctrlPr>
            </m:funcPr>
            <m:fName>
              <m:r>
                <m:rPr>
                  <m:sty m:val="p"/>
                </m:rPr>
                <w:rPr>
                  <w:rFonts w:ascii="Cambria Math" w:hAnsi="Cambria Math" w:cs="Calibri"/>
                  <w:color w:val="000000" w:themeColor="text1"/>
                  <w:sz w:val="24"/>
                  <w:szCs w:val="24"/>
                </w:rPr>
                <m:t>log</m:t>
              </m:r>
            </m:fName>
            <m:e>
              <m:d>
                <m:dPr>
                  <m:ctrlPr>
                    <w:rPr>
                      <w:rFonts w:ascii="Cambria Math" w:hAnsi="Cambria Math" w:cs="Calibri"/>
                      <w:i/>
                      <w:color w:val="000000" w:themeColor="text1"/>
                      <w:sz w:val="24"/>
                      <w:szCs w:val="24"/>
                    </w:rPr>
                  </m:ctrlPr>
                </m:dPr>
                <m:e>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death rate</m:t>
                      </m:r>
                    </m:e>
                    <m:sub>
                      <m:r>
                        <w:rPr>
                          <w:rFonts w:ascii="Cambria Math" w:hAnsi="Cambria Math" w:cs="Calibri"/>
                          <w:color w:val="000000" w:themeColor="text1"/>
                          <w:sz w:val="24"/>
                          <w:szCs w:val="24"/>
                        </w:rPr>
                        <m:t>state-month-year</m:t>
                      </m:r>
                    </m:sub>
                  </m:sSub>
                  <m:r>
                    <w:rPr>
                      <w:rFonts w:ascii="Cambria Math" w:hAnsi="Cambria Math" w:cs="Calibri"/>
                      <w:color w:val="000000" w:themeColor="text1"/>
                      <w:sz w:val="24"/>
                      <w:szCs w:val="24"/>
                    </w:rPr>
                    <m:t xml:space="preserve"> </m:t>
                  </m:r>
                </m:e>
              </m:d>
            </m:e>
          </m:func>
          <m:r>
            <m:rPr>
              <m:aln/>
            </m:rPr>
            <w:rPr>
              <w:rFonts w:ascii="Cambria Math" w:hAnsi="Cambria Math" w:cs="Calibri"/>
              <w:color w:val="000000" w:themeColor="text1"/>
              <w:sz w:val="24"/>
              <w:szCs w:val="24"/>
            </w:rPr>
            <m:t xml:space="preserve">= </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m:t>
              </m:r>
              <m:r>
                <w:rPr>
                  <w:rFonts w:ascii="Cambria Math" w:hAnsi="Cambria Math" w:cs="Calibri"/>
                  <w:color w:val="000000" w:themeColor="text1"/>
                  <w:sz w:val="24"/>
                  <w:szCs w:val="24"/>
                </w:rPr>
                <m:t>-</m:t>
              </m:r>
              <m:r>
                <w:rPr>
                  <w:rFonts w:ascii="Cambria Math" w:hAnsi="Cambria Math" w:cs="Calibri"/>
                  <w:sz w:val="24"/>
                  <w:szCs w:val="24"/>
                </w:rPr>
                <m:t>year</m:t>
              </m:r>
            </m:e>
          </m:d>
          <m:r>
            <m:rPr>
              <m:sty m:val="p"/>
              <m:aln/>
            </m:rPr>
            <w:rPr>
              <w:rFonts w:ascii="Cambria Math" w:hAnsi="Cambria Math" w:cs="Calibri"/>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ζ</m:t>
              </m:r>
            </m:e>
            <m:sub>
              <m:r>
                <w:rPr>
                  <w:rFonts w:ascii="Cambria Math" w:hAnsi="Cambria Math" w:cs="Calibri"/>
                  <w:color w:val="000000" w:themeColor="text1"/>
                  <w:sz w:val="24"/>
                  <w:szCs w:val="24"/>
                </w:rPr>
                <m:t>state-month</m:t>
              </m:r>
            </m:sub>
          </m:sSub>
          <m:r>
            <m:rPr>
              <m:aln/>
            </m:rPr>
            <w:rPr>
              <w:rFonts w:ascii="Cambria Math" w:hAnsi="Cambria Math" w:cs="Calibri"/>
              <w:color w:val="000000" w:themeColor="text1"/>
              <w:sz w:val="24"/>
              <w:szCs w:val="24"/>
            </w:rPr>
            <m:t xml:space="preserve">+ </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color w:val="000000" w:themeColor="text1"/>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state-month-year</m:t>
              </m:r>
            </m:sub>
          </m:sSub>
          <m:r>
            <m:rPr>
              <m:aln/>
            </m:rPr>
            <w:rPr>
              <w:rFonts w:ascii="Cambria Math" w:eastAsiaTheme="minorEastAsia" w:hAnsi="Cambria Math" w:cs="Calibri"/>
              <w:color w:val="FFFFFF" w:themeColor="background1"/>
              <w:sz w:val="24"/>
              <w:szCs w:val="24"/>
            </w:rPr>
            <m:t>+</m:t>
          </m:r>
        </m:oMath>
      </m:oMathPara>
    </w:p>
    <w:p w14:paraId="6AFF308A" w14:textId="3DFA8BED" w:rsidR="00CB5EEE" w:rsidRPr="00086D0B" w:rsidRDefault="00CB5EEE" w:rsidP="003A4AB3">
      <w:pPr>
        <w:spacing w:line="480" w:lineRule="auto"/>
        <w:ind w:firstLine="720"/>
        <w:jc w:val="both"/>
        <w:rPr>
          <w:rFonts w:cs="Calibri"/>
          <w:sz w:val="24"/>
          <w:szCs w:val="24"/>
        </w:rPr>
      </w:pPr>
      <w:r w:rsidRPr="00086D0B">
        <w:rPr>
          <w:rFonts w:cs="Calibri"/>
          <w:sz w:val="24"/>
          <w:szCs w:val="24"/>
        </w:rPr>
        <w:lastRenderedPageBreak/>
        <w:t xml:space="preserve">The model 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Pr="00086D0B">
        <w:rPr>
          <w:rFonts w:eastAsiaTheme="minorEastAsia"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Pr="00086D0B">
        <w:rPr>
          <w:rFonts w:eastAsiaTheme="minorEastAsia" w:cs="Calibri"/>
          <w:sz w:val="24"/>
          <w:szCs w:val="24"/>
        </w:rPr>
        <w:t xml:space="preserve"> the common time slope</w:t>
      </w:r>
      <w:r w:rsidRPr="00086D0B">
        <w:rPr>
          <w:rFonts w:cs="Calibri"/>
          <w:sz w:val="24"/>
          <w:szCs w:val="24"/>
        </w:rPr>
        <w:t>.</w:t>
      </w:r>
      <w:r w:rsidRPr="00086D0B">
        <w:rPr>
          <w:rFonts w:cs="Calibri"/>
          <w:color w:val="000000" w:themeColor="text1"/>
          <w:sz w:val="24"/>
          <w:szCs w:val="24"/>
        </w:rPr>
        <w:t xml:space="preserve"> Death rates also vary by month, which may be partly related to temperature and partly due to other factors, and tend to do so smoothly across adjacent months</w:t>
      </w:r>
      <w:r w:rsidR="009349B0" w:rsidRPr="00086D0B">
        <w:rPr>
          <w:rFonts w:cs="Calibri"/>
          <w:color w:val="000000" w:themeColor="text1"/>
          <w:sz w:val="24"/>
          <w:szCs w:val="24"/>
        </w:rPr>
        <w:t xml:space="preserve"> </w:t>
      </w:r>
      <w:r w:rsidRPr="00086D0B">
        <w:rPr>
          <w:rFonts w:cs="Calibri"/>
          <w:color w:val="000000" w:themeColor="text1"/>
          <w:sz w:val="24"/>
          <w:szCs w:val="24"/>
        </w:rPr>
        <w:fldChar w:fldCharType="begin" w:fldLock="1"/>
      </w:r>
      <w:r w:rsidRPr="00086D0B">
        <w:rPr>
          <w:rFonts w:cs="Calibri"/>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2018)","previouslyFormattedCitation":"&lt;sup&gt;11&lt;/sup&gt;"},"properties":{"noteIndex":0},"schema":"https://github.com/citation-style-language/schema/raw/master/csl-citation.json"}</w:instrText>
      </w:r>
      <w:r w:rsidRPr="00086D0B">
        <w:rPr>
          <w:rFonts w:cs="Calibri"/>
          <w:color w:val="000000" w:themeColor="text1"/>
          <w:sz w:val="24"/>
          <w:szCs w:val="24"/>
        </w:rPr>
        <w:fldChar w:fldCharType="separate"/>
      </w:r>
      <w:r w:rsidRPr="00086D0B">
        <w:rPr>
          <w:rFonts w:cs="Calibri"/>
          <w:noProof/>
          <w:color w:val="000000" w:themeColor="text1"/>
          <w:sz w:val="24"/>
          <w:szCs w:val="24"/>
        </w:rPr>
        <w:t>(Parks et al., 2018)</w:t>
      </w:r>
      <w:r w:rsidRPr="00086D0B">
        <w:rPr>
          <w:rFonts w:cs="Calibri"/>
          <w:color w:val="000000" w:themeColor="text1"/>
          <w:sz w:val="24"/>
          <w:szCs w:val="24"/>
        </w:rPr>
        <w:fldChar w:fldCharType="end"/>
      </w:r>
      <w:r w:rsidR="009349B0" w:rsidRPr="00086D0B">
        <w:rPr>
          <w:rFonts w:cs="Calibri"/>
          <w:color w:val="000000" w:themeColor="text1"/>
          <w:sz w:val="24"/>
          <w:szCs w:val="24"/>
        </w:rPr>
        <w:t>.</w:t>
      </w:r>
      <w:r w:rsidRPr="00086D0B">
        <w:rPr>
          <w:rFonts w:cs="Calibri"/>
          <w:color w:val="000000" w:themeColor="text1"/>
          <w:sz w:val="24"/>
          <w:szCs w:val="24"/>
        </w:rPr>
        <w:t xml:space="preserve"> Therefore, we allowed each month of the year to systematically have a different mortality level and trend, </w:t>
      </w:r>
      <w:r w:rsidRPr="00086D0B">
        <w:rPr>
          <w:rFonts w:cs="Calibri"/>
          <w:sz w:val="24"/>
          <w:szCs w:val="24"/>
        </w:rPr>
        <w:t xml:space="preserve">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086D0B">
        <w:rPr>
          <w:rFonts w:eastAsiaTheme="minorEastAsia"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086D0B">
        <w:rPr>
          <w:rFonts w:eastAsiaTheme="minorEastAsia" w:cs="Calibri"/>
          <w:sz w:val="24"/>
          <w:szCs w:val="24"/>
        </w:rPr>
        <w:t xml:space="preserve"> the month-specific time slope</w:t>
      </w:r>
      <w:r w:rsidRPr="00086D0B">
        <w:rPr>
          <w:rFonts w:cs="Calibri"/>
          <w:color w:val="000000" w:themeColor="text1"/>
          <w:sz w:val="24"/>
          <w:szCs w:val="24"/>
        </w:rPr>
        <w:t>. We used a random walk for the month terms to smooth the coefficients, widely used to characterise smoothly varying associations</w:t>
      </w:r>
      <w:r w:rsidRPr="00086D0B">
        <w:rPr>
          <w:rFonts w:cs="Calibri"/>
          <w:sz w:val="24"/>
          <w:szCs w:val="24"/>
        </w:rPr>
        <w:t>.</w:t>
      </w:r>
      <w:r w:rsidRPr="00086D0B">
        <w:rPr>
          <w:rFonts w:cs="Calibri"/>
          <w:sz w:val="24"/>
          <w:szCs w:val="24"/>
        </w:rPr>
        <w:fldChar w:fldCharType="begin" w:fldLock="1"/>
      </w:r>
      <w:r w:rsidRPr="00086D0B">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2005)","previouslyFormattedCitation":"&lt;sup&gt;40&lt;/sup&gt;"},"properties":{"noteIndex":0},"schema":"https://github.com/citation-style-language/schema/raw/master/csl-citation.json"}</w:instrText>
      </w:r>
      <w:r w:rsidRPr="00086D0B">
        <w:rPr>
          <w:rFonts w:cs="Calibri"/>
          <w:sz w:val="24"/>
          <w:szCs w:val="24"/>
        </w:rPr>
        <w:fldChar w:fldCharType="separate"/>
      </w:r>
      <w:r w:rsidRPr="00086D0B">
        <w:rPr>
          <w:rFonts w:cs="Calibri"/>
          <w:noProof/>
          <w:sz w:val="24"/>
          <w:szCs w:val="24"/>
        </w:rPr>
        <w:t>(Rue &amp; Held, 2005)</w:t>
      </w:r>
      <w:r w:rsidRPr="00086D0B">
        <w:rPr>
          <w:rFonts w:cs="Calibri"/>
          <w:sz w:val="24"/>
          <w:szCs w:val="24"/>
        </w:rPr>
        <w:fldChar w:fldCharType="end"/>
      </w:r>
      <w:r w:rsidRPr="00086D0B">
        <w:rPr>
          <w:rFonts w:cs="Calibri"/>
          <w:color w:val="000000" w:themeColor="text1"/>
          <w:sz w:val="24"/>
          <w:szCs w:val="24"/>
        </w:rPr>
        <w:t xml:space="preserve"> The random walk had a cyclic structure, so that December was adjacent to January. </w:t>
      </w:r>
    </w:p>
    <w:p w14:paraId="1237E330" w14:textId="018BDC8A" w:rsidR="003A4AB3" w:rsidRPr="00086D0B" w:rsidRDefault="00CB5EEE" w:rsidP="003A4AB3">
      <w:pPr>
        <w:spacing w:line="480" w:lineRule="auto"/>
        <w:ind w:firstLine="720"/>
        <w:jc w:val="both"/>
        <w:rPr>
          <w:rFonts w:cs="Calibri"/>
          <w:sz w:val="24"/>
          <w:szCs w:val="24"/>
        </w:rPr>
      </w:pPr>
      <w:r w:rsidRPr="00086D0B">
        <w:rPr>
          <w:rFonts w:cs="Calibri"/>
          <w:color w:val="000000" w:themeColor="text1"/>
          <w:sz w:val="24"/>
          <w:szCs w:val="24"/>
        </w:rPr>
        <w:t xml:space="preserve">We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Pr="00086D0B">
        <w:rPr>
          <w:rFonts w:eastAsiaTheme="minorEastAsia"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Pr="00086D0B">
        <w:rPr>
          <w:rFonts w:eastAsiaTheme="minorEastAsia" w:cs="Calibri"/>
          <w:sz w:val="24"/>
          <w:szCs w:val="24"/>
        </w:rPr>
        <w:t xml:space="preserve"> the state-specific time slope</w:t>
      </w:r>
      <w:r w:rsidRPr="00086D0B">
        <w:rPr>
          <w:rFonts w:cs="Calibri"/>
          <w:color w:val="000000" w:themeColor="text1"/>
          <w:sz w:val="24"/>
          <w:szCs w:val="24"/>
        </w:rPr>
        <w:t xml:space="preserve">. These terms measure deviations of each state from national </w:t>
      </w:r>
      <w:proofErr w:type="spellStart"/>
      <w:proofErr w:type="gramStart"/>
      <w:r w:rsidRPr="00086D0B">
        <w:rPr>
          <w:rFonts w:cs="Calibri"/>
          <w:color w:val="000000" w:themeColor="text1"/>
          <w:sz w:val="24"/>
          <w:szCs w:val="24"/>
        </w:rPr>
        <w:t>values,and</w:t>
      </w:r>
      <w:proofErr w:type="spellEnd"/>
      <w:proofErr w:type="gramEnd"/>
      <w:r w:rsidRPr="00086D0B">
        <w:rPr>
          <w:rFonts w:cs="Calibri"/>
          <w:color w:val="000000" w:themeColor="text1"/>
          <w:sz w:val="24"/>
          <w:szCs w:val="24"/>
        </w:rPr>
        <w:t xml:space="preserve"> allow variation in level and trend in mortality by state. In addition, death rates in neighbouring states may be more similar than in those further away, specified using a Conditional Autoregressive (CAR) spatial model</w:t>
      </w:r>
      <w:r w:rsidR="00D9577F" w:rsidRPr="00086D0B">
        <w:rPr>
          <w:rFonts w:cs="Calibri"/>
          <w:color w:val="000000" w:themeColor="text1"/>
          <w:sz w:val="24"/>
          <w:szCs w:val="24"/>
        </w:rPr>
        <w:t xml:space="preserve"> </w:t>
      </w:r>
      <w:r w:rsidRPr="00086D0B">
        <w:rPr>
          <w:rFonts w:cs="Calibri"/>
          <w:color w:val="000000" w:themeColor="text1"/>
          <w:sz w:val="24"/>
          <w:szCs w:val="24"/>
        </w:rPr>
        <w:fldChar w:fldCharType="begin" w:fldLock="1"/>
      </w:r>
      <w:r w:rsidRPr="00086D0B">
        <w:rPr>
          <w:rFonts w:cs="Calibri"/>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1974)","previouslyFormattedCitation":"&lt;sup&gt;41&lt;/sup&gt;"},"properties":{"noteIndex":0},"schema":"https://github.com/citation-style-language/schema/raw/master/csl-citation.json"}</w:instrText>
      </w:r>
      <w:r w:rsidRPr="00086D0B">
        <w:rPr>
          <w:rFonts w:cs="Calibri"/>
          <w:color w:val="000000" w:themeColor="text1"/>
          <w:sz w:val="24"/>
          <w:szCs w:val="24"/>
        </w:rPr>
        <w:fldChar w:fldCharType="separate"/>
      </w:r>
      <w:r w:rsidRPr="00086D0B">
        <w:rPr>
          <w:rFonts w:cs="Calibri"/>
          <w:noProof/>
          <w:color w:val="000000" w:themeColor="text1"/>
          <w:sz w:val="24"/>
          <w:szCs w:val="24"/>
        </w:rPr>
        <w:t>(Besag, 1974)</w:t>
      </w:r>
      <w:r w:rsidRPr="00086D0B">
        <w:rPr>
          <w:rFonts w:cs="Calibri"/>
          <w:color w:val="000000" w:themeColor="text1"/>
          <w:sz w:val="24"/>
          <w:szCs w:val="24"/>
        </w:rPr>
        <w:fldChar w:fldCharType="end"/>
      </w:r>
      <w:r w:rsidR="00D9577F" w:rsidRPr="00086D0B">
        <w:rPr>
          <w:rFonts w:cs="Calibri"/>
          <w:color w:val="000000" w:themeColor="text1"/>
          <w:sz w:val="24"/>
          <w:szCs w:val="24"/>
        </w:rPr>
        <w:t>.</w:t>
      </w:r>
      <w:r w:rsidRPr="00086D0B">
        <w:rPr>
          <w:rFonts w:cs="Calibri"/>
          <w:color w:val="000000" w:themeColor="text1"/>
          <w:sz w:val="24"/>
          <w:szCs w:val="24"/>
        </w:rPr>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w:t>
      </w:r>
      <w:r w:rsidRPr="00086D0B">
        <w:rPr>
          <w:rFonts w:cs="Calibri"/>
          <w:sz w:val="24"/>
          <w:szCs w:val="24"/>
        </w:rPr>
        <w:t xml:space="preserve"> We also included state-month interactions for intercepts and slopes (</w:t>
      </w:r>
      <m:oMath>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ζ</m:t>
            </m:r>
          </m:e>
          <m:sub>
            <m:r>
              <w:rPr>
                <w:rFonts w:ascii="Cambria Math" w:hAnsi="Cambria Math" w:cs="Calibri"/>
                <w:color w:val="000000" w:themeColor="text1"/>
                <w:sz w:val="24"/>
                <w:szCs w:val="24"/>
              </w:rPr>
              <m:t>state-month</m:t>
            </m:r>
          </m:sub>
        </m:sSub>
      </m:oMath>
      <w:r w:rsidRPr="00086D0B">
        <w:rPr>
          <w:rFonts w:eastAsiaTheme="minorEastAsia" w:cs="Calibri"/>
          <w:color w:val="000000" w:themeColor="text1"/>
          <w:sz w:val="24"/>
          <w:szCs w:val="24"/>
        </w:rPr>
        <w:t>)</w:t>
      </w:r>
      <w:r w:rsidRPr="00086D0B">
        <w:rPr>
          <w:rFonts w:cs="Calibri"/>
          <w:sz w:val="24"/>
          <w:szCs w:val="24"/>
        </w:rPr>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D9577F" w:rsidRPr="00086D0B">
        <w:rPr>
          <w:rFonts w:cs="Calibri"/>
          <w:sz w:val="24"/>
          <w:szCs w:val="24"/>
        </w:rPr>
        <w:t xml:space="preserve"> </w:t>
      </w:r>
      <w:r w:rsidRPr="00086D0B">
        <w:rPr>
          <w:rFonts w:cs="Calibri"/>
          <w:sz w:val="24"/>
          <w:szCs w:val="24"/>
        </w:rPr>
        <w:fldChar w:fldCharType="begin" w:fldLock="1"/>
      </w:r>
      <w:r w:rsidRPr="00086D0B">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2005)","previouslyFormattedCitation":"&lt;sup&gt;40&lt;/sup&gt;"},"properties":{"noteIndex":0},"schema":"https://github.com/citation-style-language/schema/raw/master/csl-citation.json"}</w:instrText>
      </w:r>
      <w:r w:rsidRPr="00086D0B">
        <w:rPr>
          <w:rFonts w:cs="Calibri"/>
          <w:sz w:val="24"/>
          <w:szCs w:val="24"/>
        </w:rPr>
        <w:fldChar w:fldCharType="separate"/>
      </w:r>
      <w:r w:rsidRPr="00086D0B">
        <w:rPr>
          <w:rFonts w:cs="Calibri"/>
          <w:noProof/>
          <w:sz w:val="24"/>
          <w:szCs w:val="24"/>
        </w:rPr>
        <w:t xml:space="preserve">(Rue </w:t>
      </w:r>
      <w:r w:rsidRPr="00086D0B">
        <w:rPr>
          <w:rFonts w:cs="Calibri"/>
          <w:noProof/>
          <w:sz w:val="24"/>
          <w:szCs w:val="24"/>
        </w:rPr>
        <w:lastRenderedPageBreak/>
        <w:t>&amp; Held, 2005)</w:t>
      </w:r>
      <w:r w:rsidRPr="00086D0B">
        <w:rPr>
          <w:rFonts w:cs="Calibri"/>
          <w:sz w:val="24"/>
          <w:szCs w:val="24"/>
        </w:rPr>
        <w:fldChar w:fldCharType="end"/>
      </w:r>
      <w:r w:rsidR="00D9577F" w:rsidRPr="00086D0B">
        <w:rPr>
          <w:rFonts w:cs="Calibri"/>
          <w:sz w:val="24"/>
          <w:szCs w:val="24"/>
        </w:rPr>
        <w:t xml:space="preserve">. </w:t>
      </w:r>
      <w:r w:rsidRPr="00086D0B">
        <w:rPr>
          <w:rFonts w:cs="Calibri"/>
          <w:color w:val="000000" w:themeColor="text1"/>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Pr="00086D0B">
        <w:rPr>
          <w:rFonts w:cs="Calibri"/>
          <w:color w:val="000000" w:themeColor="text1"/>
          <w:sz w:val="24"/>
          <w:szCs w:val="24"/>
          <w:lang w:val="en-US"/>
        </w:rPr>
        <w:t xml:space="preserve">) captured the variation unaccounted for by other terms in the model, modelled as </w:t>
      </w:r>
      <w:proofErr w:type="gramStart"/>
      <w:r w:rsidRPr="00086D0B">
        <w:rPr>
          <w:rFonts w:cs="Calibri"/>
          <w:i/>
          <w:color w:val="000000" w:themeColor="text1"/>
          <w:sz w:val="24"/>
          <w:szCs w:val="24"/>
          <w:lang w:val="en-US"/>
        </w:rPr>
        <w:t>N</w:t>
      </w:r>
      <w:r w:rsidRPr="00086D0B">
        <w:rPr>
          <w:rFonts w:cs="Calibri"/>
          <w:color w:val="000000" w:themeColor="text1"/>
          <w:sz w:val="24"/>
          <w:szCs w:val="24"/>
          <w:lang w:val="en-US"/>
        </w:rPr>
        <w:t>(</w:t>
      </w:r>
      <w:proofErr w:type="gramEnd"/>
      <w:r w:rsidRPr="00086D0B">
        <w:rPr>
          <w:rFonts w:cs="Calibri"/>
          <w:color w:val="000000" w:themeColor="text1"/>
          <w:sz w:val="24"/>
          <w:szCs w:val="24"/>
          <w:lang w:val="en-US"/>
        </w:rPr>
        <w:t>0,</w:t>
      </w:r>
      <m:oMath>
        <m:sSubSup>
          <m:sSubSupPr>
            <m:ctrlPr>
              <w:rPr>
                <w:rFonts w:ascii="Cambria Math" w:hAnsi="Cambria Math" w:cs="Calibri"/>
                <w:i/>
                <w:color w:val="000000" w:themeColor="text1"/>
                <w:sz w:val="24"/>
                <w:szCs w:val="24"/>
                <w:lang w:val="en-US"/>
              </w:rPr>
            </m:ctrlPr>
          </m:sSubSupPr>
          <m:e>
            <m:r>
              <w:rPr>
                <w:rFonts w:ascii="Cambria Math" w:hAnsi="Cambria Math" w:cs="Calibri"/>
                <w:color w:val="000000" w:themeColor="text1"/>
                <w:sz w:val="24"/>
                <w:szCs w:val="24"/>
                <w:lang w:val="en-US"/>
              </w:rPr>
              <m:t>σ</m:t>
            </m:r>
          </m:e>
          <m:sub>
            <m:r>
              <w:rPr>
                <w:rFonts w:ascii="Cambria Math" w:hAnsi="Cambria Math" w:cs="Calibri"/>
                <w:color w:val="000000" w:themeColor="text1"/>
                <w:sz w:val="24"/>
                <w:szCs w:val="24"/>
                <w:lang w:val="en-US"/>
              </w:rPr>
              <m:t>ϵ</m:t>
            </m:r>
          </m:sub>
          <m:sup>
            <m:r>
              <w:rPr>
                <w:rFonts w:ascii="Cambria Math" w:hAnsi="Cambria Math" w:cs="Calibri"/>
                <w:color w:val="000000" w:themeColor="text1"/>
                <w:sz w:val="24"/>
                <w:szCs w:val="24"/>
                <w:lang w:val="en-US"/>
              </w:rPr>
              <m:t>2</m:t>
            </m:r>
          </m:sup>
        </m:sSubSup>
      </m:oMath>
      <w:r w:rsidRPr="00086D0B">
        <w:rPr>
          <w:rFonts w:cs="Calibri"/>
          <w:color w:val="000000" w:themeColor="text1"/>
          <w:sz w:val="24"/>
          <w:szCs w:val="24"/>
          <w:lang w:val="en-US"/>
        </w:rPr>
        <w:t>).</w:t>
      </w:r>
      <w:r w:rsidR="003A4AB3" w:rsidRPr="00086D0B">
        <w:rPr>
          <w:rFonts w:cs="Calibri"/>
          <w:sz w:val="24"/>
          <w:szCs w:val="24"/>
        </w:rPr>
        <w:tab/>
      </w:r>
    </w:p>
    <w:p w14:paraId="2A65D1F8" w14:textId="471BD7F0" w:rsidR="00CB5EEE" w:rsidRPr="00086D0B" w:rsidRDefault="00CB5EEE" w:rsidP="003A4AB3">
      <w:pPr>
        <w:spacing w:line="480" w:lineRule="auto"/>
        <w:ind w:firstLine="720"/>
        <w:jc w:val="both"/>
        <w:rPr>
          <w:rFonts w:cs="Calibri"/>
          <w:sz w:val="24"/>
          <w:szCs w:val="24"/>
        </w:rPr>
      </w:pPr>
      <w:r w:rsidRPr="00086D0B">
        <w:rPr>
          <w:rFonts w:cs="Calibri"/>
          <w:color w:val="000000" w:themeColor="text1"/>
          <w:sz w:val="24"/>
          <w:szCs w:val="24"/>
        </w:rPr>
        <w:t xml:space="preserve">Finally, we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086D0B">
        <w:rPr>
          <w:rFonts w:cs="Calibri"/>
          <w:color w:val="000000" w:themeColor="text1"/>
          <w:sz w:val="24"/>
          <w:szCs w:val="24"/>
        </w:rPr>
        <w:t>. The</w:t>
      </w:r>
      <w:r w:rsidRPr="00086D0B">
        <w:rPr>
          <w:rFonts w:cs="Calibri"/>
          <w:sz w:val="24"/>
          <w:szCs w:val="24"/>
        </w:rPr>
        <w:t xml:space="preserv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086D0B">
        <w:rPr>
          <w:rFonts w:eastAsiaTheme="minorEastAsia" w:cs="Calibri"/>
          <w:sz w:val="24"/>
          <w:szCs w:val="24"/>
        </w:rPr>
        <w:t xml:space="preserve"> </w:t>
      </w:r>
      <w:r w:rsidRPr="00086D0B">
        <w:rPr>
          <w:rFonts w:cs="Calibri"/>
          <w:sz w:val="24"/>
          <w:szCs w:val="24"/>
        </w:rPr>
        <w:t>represent the logarithm of the rate ratio per 1°C increase in anomaly</w:t>
      </w:r>
      <w:r w:rsidRPr="00086D0B">
        <w:rPr>
          <w:rFonts w:cs="Calibri"/>
          <w:color w:val="000000" w:themeColor="text1"/>
          <w:sz w:val="24"/>
          <w:szCs w:val="24"/>
        </w:rPr>
        <w:t>;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w:t>
      </w:r>
      <w:r w:rsidRPr="00086D0B">
        <w:rPr>
          <w:rFonts w:cs="Calibri"/>
          <w:color w:val="000000" w:themeColor="text1"/>
          <w:sz w:val="24"/>
          <w:szCs w:val="24"/>
          <w:lang w:val="en-US"/>
        </w:rPr>
        <w:t xml:space="preserve"> We fitted the models using integrated nested Laplace approximation (INLA), using the R-INLA software, which offers orders of computational efficiency improvement in Bayesian inference compared to traditional MCMC for latent Gaussian models.</w:t>
      </w:r>
      <w:r w:rsidRPr="00086D0B">
        <w:rPr>
          <w:rFonts w:cs="Calibri"/>
          <w:color w:val="000000" w:themeColor="text1"/>
          <w:sz w:val="24"/>
          <w:szCs w:val="24"/>
          <w:lang w:val="en-US"/>
        </w:rPr>
        <w:fldChar w:fldCharType="begin" w:fldLock="1"/>
      </w:r>
      <w:r w:rsidRPr="00086D0B">
        <w:rPr>
          <w:rFonts w:cs="Calibri"/>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2009)","previouslyFormattedCitation":"&lt;sup&gt;42&lt;/sup&gt;"},"properties":{"noteIndex":0},"schema":"https://github.com/citation-style-language/schema/raw/master/csl-citation.json"}</w:instrText>
      </w:r>
      <w:r w:rsidRPr="00086D0B">
        <w:rPr>
          <w:rFonts w:cs="Calibri"/>
          <w:color w:val="000000" w:themeColor="text1"/>
          <w:sz w:val="24"/>
          <w:szCs w:val="24"/>
          <w:lang w:val="en-US"/>
        </w:rPr>
        <w:fldChar w:fldCharType="separate"/>
      </w:r>
      <w:r w:rsidRPr="00086D0B">
        <w:rPr>
          <w:rFonts w:cs="Calibri"/>
          <w:noProof/>
          <w:color w:val="000000" w:themeColor="text1"/>
          <w:sz w:val="24"/>
          <w:szCs w:val="24"/>
          <w:lang w:val="en-US"/>
        </w:rPr>
        <w:t>(Rue, Martino, &amp; Chopin, 2009)</w:t>
      </w:r>
      <w:r w:rsidRPr="00086D0B">
        <w:rPr>
          <w:rFonts w:cs="Calibri"/>
          <w:color w:val="000000" w:themeColor="text1"/>
          <w:sz w:val="24"/>
          <w:szCs w:val="24"/>
          <w:lang w:val="en-US"/>
        </w:rPr>
        <w:fldChar w:fldCharType="end"/>
      </w:r>
    </w:p>
    <w:p w14:paraId="4CC115DC" w14:textId="6697A4DF" w:rsidR="00CB5EEE" w:rsidRPr="00086D0B" w:rsidRDefault="00CB5EEE" w:rsidP="003A4AB3">
      <w:pPr>
        <w:spacing w:line="480" w:lineRule="auto"/>
        <w:ind w:firstLine="720"/>
        <w:jc w:val="both"/>
        <w:rPr>
          <w:rFonts w:cs="Calibri"/>
          <w:color w:val="000000" w:themeColor="text1"/>
          <w:sz w:val="24"/>
          <w:szCs w:val="24"/>
        </w:rPr>
      </w:pPr>
      <w:r w:rsidRPr="00086D0B">
        <w:rPr>
          <w:rFonts w:cs="Calibri"/>
          <w:color w:val="000000" w:themeColor="text1"/>
          <w:sz w:val="24"/>
          <w:szCs w:val="24"/>
        </w:rPr>
        <w:t xml:space="preserve">We estimated the mortality impact of a national year-round temperature anomaly of 1°C in each month and state, </w:t>
      </w:r>
      <w:r w:rsidRPr="00086D0B">
        <w:rPr>
          <w:rFonts w:cs="Calibri"/>
          <w:sz w:val="24"/>
          <w:szCs w:val="24"/>
        </w:rPr>
        <w:t>realistic in our lifetimes under current projections of global climate change</w:t>
      </w:r>
      <w:r w:rsidR="00D9577F" w:rsidRPr="00086D0B">
        <w:rPr>
          <w:rFonts w:cs="Calibri"/>
          <w:sz w:val="24"/>
          <w:szCs w:val="24"/>
        </w:rPr>
        <w:t xml:space="preserve"> </w:t>
      </w:r>
      <w:r w:rsidRPr="00086D0B">
        <w:rPr>
          <w:rFonts w:cs="Calibri"/>
          <w:color w:val="000000" w:themeColor="text1"/>
          <w:sz w:val="24"/>
          <w:szCs w:val="24"/>
        </w:rPr>
        <w:fldChar w:fldCharType="begin" w:fldLock="1"/>
      </w:r>
      <w:r w:rsidRPr="00086D0B">
        <w:rPr>
          <w:rFonts w:cs="Calibri"/>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Pr="00086D0B">
        <w:rPr>
          <w:rFonts w:cs="Calibri"/>
          <w:color w:val="000000" w:themeColor="text1"/>
          <w:sz w:val="24"/>
          <w:szCs w:val="24"/>
        </w:rPr>
        <w:fldChar w:fldCharType="separate"/>
      </w:r>
      <w:r w:rsidRPr="00086D0B">
        <w:rPr>
          <w:rFonts w:cs="Calibri"/>
          <w:noProof/>
          <w:color w:val="000000" w:themeColor="text1"/>
          <w:sz w:val="24"/>
          <w:szCs w:val="24"/>
        </w:rPr>
        <w:t>(IPCC, 2018)</w:t>
      </w:r>
      <w:r w:rsidRPr="00086D0B">
        <w:rPr>
          <w:rFonts w:cs="Calibri"/>
          <w:color w:val="000000" w:themeColor="text1"/>
          <w:sz w:val="24"/>
          <w:szCs w:val="24"/>
        </w:rPr>
        <w:fldChar w:fldCharType="end"/>
      </w:r>
      <w:r w:rsidR="00D9577F" w:rsidRPr="00086D0B">
        <w:rPr>
          <w:rFonts w:cs="Calibri"/>
          <w:color w:val="000000" w:themeColor="text1"/>
          <w:sz w:val="24"/>
          <w:szCs w:val="24"/>
        </w:rPr>
        <w:t>,</w:t>
      </w:r>
      <w:r w:rsidRPr="00086D0B">
        <w:rPr>
          <w:rFonts w:cs="Calibri"/>
          <w:color w:val="000000" w:themeColor="text1"/>
          <w:sz w:val="24"/>
          <w:szCs w:val="24"/>
        </w:rPr>
        <w:t xml:space="preserve"> as well as within the range of anomaly size experienced by some states (Figure 4).</w:t>
      </w:r>
      <w:r w:rsidRPr="00086D0B">
        <w:rPr>
          <w:rFonts w:cs="Calibri"/>
          <w:sz w:val="24"/>
          <w:szCs w:val="24"/>
        </w:rPr>
        <w:t xml:space="preserve"> </w:t>
      </w:r>
      <w:r w:rsidRPr="00086D0B">
        <w:rPr>
          <w:rFonts w:cs="Calibri"/>
          <w:color w:val="000000" w:themeColor="text1"/>
          <w:sz w:val="24"/>
          <w:szCs w:val="24"/>
        </w:rPr>
        <w:t>For this calculation, we multiplied the actual death counts for each month, sex, state and age group in 2016 by the corresponding excess relative risk, equivalent to the exponential of the coefficient of the temperature anomaly term from the above analysis.</w:t>
      </w:r>
    </w:p>
    <w:p w14:paraId="41AD82FF" w14:textId="77777777" w:rsidR="00CB5EEE" w:rsidRPr="00086D0B" w:rsidRDefault="00CB5EEE" w:rsidP="003A4AB3">
      <w:pPr>
        <w:spacing w:line="480" w:lineRule="auto"/>
        <w:ind w:firstLine="720"/>
        <w:jc w:val="both"/>
        <w:rPr>
          <w:rFonts w:cs="Calibri"/>
          <w:color w:val="000000" w:themeColor="text1"/>
          <w:sz w:val="24"/>
          <w:szCs w:val="24"/>
        </w:rPr>
      </w:pPr>
      <w:r w:rsidRPr="00086D0B">
        <w:rPr>
          <w:rFonts w:cs="Calibri"/>
          <w:color w:val="000000" w:themeColor="text1"/>
          <w:sz w:val="24"/>
          <w:szCs w:val="24"/>
        </w:rPr>
        <w:t>The uncertainty in our results were obtained from 5000 draws from the posterior marginal of each month’s excess relative risk. The reported 95% Credible Intervals (CrIs), quoted in brackets where appropriate, are the 2.5</w:t>
      </w:r>
      <w:r w:rsidRPr="00086D0B">
        <w:rPr>
          <w:rFonts w:cs="Calibri"/>
          <w:color w:val="000000" w:themeColor="text1"/>
          <w:sz w:val="24"/>
          <w:szCs w:val="24"/>
          <w:vertAlign w:val="superscript"/>
        </w:rPr>
        <w:t>th</w:t>
      </w:r>
      <w:r w:rsidRPr="00086D0B">
        <w:rPr>
          <w:rFonts w:cs="Calibri"/>
          <w:color w:val="000000" w:themeColor="text1"/>
          <w:sz w:val="24"/>
          <w:szCs w:val="24"/>
        </w:rPr>
        <w:t xml:space="preserve"> to 97.5</w:t>
      </w:r>
      <w:r w:rsidRPr="00086D0B">
        <w:rPr>
          <w:rFonts w:cs="Calibri"/>
          <w:color w:val="000000" w:themeColor="text1"/>
          <w:sz w:val="24"/>
          <w:szCs w:val="24"/>
          <w:vertAlign w:val="superscript"/>
        </w:rPr>
        <w:t>th</w:t>
      </w:r>
      <w:r w:rsidRPr="00086D0B">
        <w:rPr>
          <w:rFonts w:cs="Calibri"/>
          <w:color w:val="000000" w:themeColor="text1"/>
          <w:sz w:val="24"/>
          <w:szCs w:val="24"/>
        </w:rPr>
        <w:t xml:space="preserve"> percentiles of the sampled values.</w:t>
      </w:r>
    </w:p>
    <w:p w14:paraId="5BD03B91" w14:textId="77777777" w:rsidR="00CB5EEE" w:rsidRPr="00086D0B" w:rsidRDefault="00CB5EEE" w:rsidP="003A4AB3">
      <w:pPr>
        <w:spacing w:line="480" w:lineRule="auto"/>
        <w:ind w:firstLine="720"/>
        <w:jc w:val="both"/>
        <w:rPr>
          <w:rFonts w:cs="Calibri"/>
          <w:sz w:val="24"/>
          <w:szCs w:val="24"/>
        </w:rPr>
      </w:pPr>
      <w:r w:rsidRPr="00086D0B">
        <w:rPr>
          <w:rFonts w:cs="Calibri"/>
          <w:sz w:val="24"/>
          <w:szCs w:val="24"/>
        </w:rPr>
        <w:lastRenderedPageBreak/>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(Supplementary Table 2), and therefore we did not run models using these alternatives. </w:t>
      </w:r>
    </w:p>
    <w:p w14:paraId="74479BFD" w14:textId="77777777" w:rsidR="00CB5EEE" w:rsidRPr="00086D0B" w:rsidRDefault="00CB5EEE" w:rsidP="00CB5EEE">
      <w:pPr>
        <w:spacing w:line="480" w:lineRule="auto"/>
        <w:jc w:val="both"/>
        <w:rPr>
          <w:rFonts w:cs="Calibri"/>
          <w:sz w:val="24"/>
          <w:szCs w:val="24"/>
        </w:rPr>
      </w:pPr>
      <w:r w:rsidRPr="00086D0B">
        <w:rPr>
          <w:rFonts w:cs="Calibri"/>
          <w:sz w:val="24"/>
          <w:szCs w:val="24"/>
        </w:rPr>
        <w:t>Together with temperature anomaly based on daily mean temperatures, we also included a second measure of anomaly in the model. The additional measures were related to extreme anomalous temperature:</w:t>
      </w:r>
    </w:p>
    <w:p w14:paraId="7A381D03" w14:textId="6717BA7B" w:rsidR="00CB5EEE" w:rsidRPr="00086D0B" w:rsidRDefault="00CB5EEE" w:rsidP="003A4AB3">
      <w:pPr>
        <w:pStyle w:val="ListParagraph"/>
        <w:numPr>
          <w:ilvl w:val="0"/>
          <w:numId w:val="43"/>
        </w:numPr>
        <w:spacing w:line="480" w:lineRule="auto"/>
        <w:jc w:val="both"/>
        <w:rPr>
          <w:rFonts w:cs="Calibri"/>
          <w:i/>
          <w:color w:val="000000" w:themeColor="text1"/>
          <w:sz w:val="24"/>
          <w:szCs w:val="24"/>
        </w:rPr>
      </w:pPr>
      <w:r w:rsidRPr="00086D0B">
        <w:rPr>
          <w:rFonts w:cs="Calibri"/>
          <w:color w:val="000000" w:themeColor="text1"/>
          <w:sz w:val="24"/>
          <w:szCs w:val="24"/>
        </w:rPr>
        <w:t>temperature anomaly based on</w:t>
      </w:r>
      <w:r w:rsidRPr="00086D0B" w:rsidDel="00F36612">
        <w:rPr>
          <w:rFonts w:cs="Calibri"/>
          <w:color w:val="000000" w:themeColor="text1"/>
          <w:sz w:val="24"/>
          <w:szCs w:val="24"/>
        </w:rPr>
        <w:t xml:space="preserve"> </w:t>
      </w:r>
      <w:r w:rsidRPr="00086D0B">
        <w:rPr>
          <w:rFonts w:cs="Calibri"/>
          <w:color w:val="000000" w:themeColor="text1"/>
          <w:sz w:val="24"/>
          <w:szCs w:val="24"/>
        </w:rPr>
        <w:t>90</w:t>
      </w:r>
      <w:r w:rsidRPr="00086D0B">
        <w:rPr>
          <w:rFonts w:cs="Calibri"/>
          <w:color w:val="000000" w:themeColor="text1"/>
          <w:sz w:val="24"/>
          <w:szCs w:val="24"/>
          <w:vertAlign w:val="superscript"/>
        </w:rPr>
        <w:t>th</w:t>
      </w:r>
      <w:r w:rsidRPr="00086D0B">
        <w:rPr>
          <w:rFonts w:cs="Calibri"/>
          <w:color w:val="000000" w:themeColor="text1"/>
          <w:sz w:val="24"/>
          <w:szCs w:val="24"/>
        </w:rPr>
        <w:t xml:space="preserve"> percentile (°C) of daily mean temperatures within a month, compared to 30-year (long-term) norm of 90</w:t>
      </w:r>
      <w:r w:rsidRPr="00086D0B">
        <w:rPr>
          <w:rFonts w:cs="Calibri"/>
          <w:color w:val="000000" w:themeColor="text1"/>
          <w:sz w:val="24"/>
          <w:szCs w:val="24"/>
          <w:vertAlign w:val="superscript"/>
        </w:rPr>
        <w:t>th</w:t>
      </w:r>
      <w:r w:rsidRPr="00086D0B">
        <w:rPr>
          <w:rFonts w:cs="Calibri"/>
          <w:color w:val="000000" w:themeColor="text1"/>
          <w:sz w:val="24"/>
          <w:szCs w:val="24"/>
        </w:rPr>
        <w:t xml:space="preserve"> percentile for each state and month </w:t>
      </w:r>
    </w:p>
    <w:p w14:paraId="55BDEFB4" w14:textId="2C1064BC" w:rsidR="00CB5EEE" w:rsidRPr="00086D0B" w:rsidRDefault="00CB5EEE" w:rsidP="003A4AB3">
      <w:pPr>
        <w:pStyle w:val="ListParagraph"/>
        <w:numPr>
          <w:ilvl w:val="0"/>
          <w:numId w:val="43"/>
        </w:numPr>
        <w:spacing w:line="480" w:lineRule="auto"/>
        <w:jc w:val="both"/>
        <w:rPr>
          <w:rFonts w:cs="Calibri"/>
          <w:i/>
          <w:color w:val="000000" w:themeColor="text1"/>
          <w:sz w:val="24"/>
          <w:szCs w:val="24"/>
        </w:rPr>
      </w:pPr>
      <w:r w:rsidRPr="00086D0B">
        <w:rPr>
          <w:rFonts w:cs="Calibri"/>
          <w:sz w:val="24"/>
          <w:szCs w:val="24"/>
        </w:rPr>
        <w:t>number of days in a month above the long-term 90</w:t>
      </w:r>
      <w:r w:rsidRPr="00086D0B">
        <w:rPr>
          <w:rFonts w:cs="Calibri"/>
          <w:sz w:val="24"/>
          <w:szCs w:val="24"/>
          <w:vertAlign w:val="superscript"/>
        </w:rPr>
        <w:t>th</w:t>
      </w:r>
      <w:r w:rsidRPr="00086D0B">
        <w:rPr>
          <w:rFonts w:cs="Calibri"/>
          <w:sz w:val="24"/>
          <w:szCs w:val="24"/>
        </w:rPr>
        <w:t xml:space="preserve"> percentile of norm temperature (adjusted for length of month)</w:t>
      </w:r>
    </w:p>
    <w:p w14:paraId="72A1B0B8" w14:textId="77777777" w:rsidR="00CB5EEE" w:rsidRPr="00086D0B" w:rsidRDefault="00CB5EEE" w:rsidP="003A4AB3">
      <w:pPr>
        <w:pStyle w:val="ListParagraph"/>
        <w:numPr>
          <w:ilvl w:val="0"/>
          <w:numId w:val="43"/>
        </w:numPr>
        <w:spacing w:line="480" w:lineRule="auto"/>
        <w:jc w:val="both"/>
        <w:rPr>
          <w:rFonts w:cs="Calibri"/>
          <w:i/>
          <w:color w:val="000000" w:themeColor="text1"/>
          <w:sz w:val="24"/>
          <w:szCs w:val="24"/>
        </w:rPr>
      </w:pPr>
      <w:r w:rsidRPr="00086D0B">
        <w:rPr>
          <w:rFonts w:cs="Calibri"/>
          <w:sz w:val="24"/>
          <w:szCs w:val="24"/>
        </w:rPr>
        <w:t>number of 3+ day episodes above the long-term 90</w:t>
      </w:r>
      <w:r w:rsidRPr="00086D0B">
        <w:rPr>
          <w:rFonts w:cs="Calibri"/>
          <w:sz w:val="24"/>
          <w:szCs w:val="24"/>
          <w:vertAlign w:val="superscript"/>
        </w:rPr>
        <w:t>th</w:t>
      </w:r>
      <w:r w:rsidRPr="00086D0B">
        <w:rPr>
          <w:rFonts w:cs="Calibri"/>
          <w:sz w:val="24"/>
          <w:szCs w:val="24"/>
        </w:rPr>
        <w:t xml:space="preserve"> percentile of norm temperature (adjusted for length of month)</w:t>
      </w:r>
    </w:p>
    <w:p w14:paraId="0E6BA521" w14:textId="40056500" w:rsidR="00B971FF" w:rsidRPr="00086D0B" w:rsidRDefault="00CB5EEE" w:rsidP="003A4AB3">
      <w:pPr>
        <w:spacing w:line="480" w:lineRule="auto"/>
        <w:ind w:firstLine="360"/>
        <w:jc w:val="both"/>
        <w:rPr>
          <w:rFonts w:cs="Calibri"/>
          <w:color w:val="000000" w:themeColor="text1"/>
          <w:sz w:val="24"/>
          <w:szCs w:val="24"/>
        </w:rPr>
      </w:pPr>
      <w:r w:rsidRPr="00086D0B">
        <w:rPr>
          <w:rFonts w:cs="Calibri"/>
          <w:sz w:val="24"/>
          <w:szCs w:val="24"/>
        </w:rPr>
        <w:t>The correlations among the variables and anomaly based on mean were between 0.6 and 0.89 (Supplementary Table 3).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6C84221" w14:textId="3247A8DE" w:rsidR="00B971FF" w:rsidRPr="00086D0B" w:rsidRDefault="00B971FF" w:rsidP="00E03939">
      <w:pPr>
        <w:spacing w:line="480" w:lineRule="auto"/>
        <w:ind w:firstLine="360"/>
        <w:jc w:val="both"/>
        <w:rPr>
          <w:rFonts w:cs="Calibri"/>
          <w:color w:val="000000" w:themeColor="text1"/>
          <w:sz w:val="24"/>
          <w:szCs w:val="24"/>
        </w:rPr>
      </w:pPr>
      <w:r w:rsidRPr="00086D0B">
        <w:rPr>
          <w:rFonts w:cs="Calibri"/>
          <w:color w:val="000000" w:themeColor="text1"/>
          <w:sz w:val="24"/>
          <w:szCs w:val="24"/>
        </w:rPr>
        <w:lastRenderedPageBreak/>
        <w:t>We first defined a measure of anomalous temperature for each state and month compared to</w:t>
      </w:r>
      <w:r w:rsidRPr="00086D0B">
        <w:rPr>
          <w:rFonts w:cs="Calibri"/>
          <w:sz w:val="24"/>
          <w:szCs w:val="24"/>
        </w:rPr>
        <w:t xml:space="preserve"> long-term norm temperature of the state in that month (Figure 3)</w:t>
      </w:r>
      <w:r w:rsidRPr="00086D0B">
        <w:rPr>
          <w:rFonts w:cs="Calibri"/>
          <w:color w:val="000000" w:themeColor="text1"/>
          <w:sz w:val="24"/>
          <w:szCs w:val="24"/>
        </w:rPr>
        <w:t>. 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086D0B">
        <w:rPr>
          <w:rFonts w:cs="Calibri"/>
          <w:bCs/>
          <w:color w:val="000000" w:themeColor="text1"/>
          <w:sz w:val="24"/>
          <w:szCs w:val="24"/>
        </w:rPr>
        <w:t>°C</w:t>
      </w:r>
      <w:r w:rsidRPr="00086D0B">
        <w:rPr>
          <w:rFonts w:cs="Calibri"/>
          <w:color w:val="000000" w:themeColor="text1"/>
          <w:sz w:val="24"/>
          <w:szCs w:val="24"/>
        </w:rPr>
        <w:t xml:space="preserve"> for Florida in September, to 3.4</w:t>
      </w:r>
      <w:r w:rsidRPr="00086D0B">
        <w:rPr>
          <w:rFonts w:cs="Calibri"/>
          <w:bCs/>
          <w:color w:val="000000" w:themeColor="text1"/>
          <w:sz w:val="24"/>
          <w:szCs w:val="24"/>
        </w:rPr>
        <w:t>°C</w:t>
      </w:r>
      <w:r w:rsidRPr="00086D0B">
        <w:rPr>
          <w:rFonts w:cs="Calibri"/>
          <w:color w:val="000000" w:themeColor="text1"/>
          <w:sz w:val="24"/>
          <w:szCs w:val="24"/>
        </w:rPr>
        <w:t xml:space="preserve"> for North Dakota in February (Figure 4). The average size of anomaly had a median value of 1.2</w:t>
      </w:r>
      <w:r w:rsidRPr="00086D0B">
        <w:rPr>
          <w:rFonts w:cs="Calibri"/>
          <w:bCs/>
          <w:color w:val="000000" w:themeColor="text1"/>
          <w:sz w:val="24"/>
          <w:szCs w:val="24"/>
        </w:rPr>
        <w:t xml:space="preserve">°C across all states and months, with 27% less than 1°C and 90% less than </w:t>
      </w:r>
      <w:r w:rsidRPr="00086D0B">
        <w:rPr>
          <w:rFonts w:cs="Calibri"/>
          <w:color w:val="000000" w:themeColor="text1"/>
          <w:sz w:val="24"/>
          <w:szCs w:val="24"/>
        </w:rPr>
        <w:t>2</w:t>
      </w:r>
      <w:r w:rsidRPr="00086D0B">
        <w:rPr>
          <w:rFonts w:cs="Calibri"/>
          <w:bCs/>
          <w:color w:val="000000" w:themeColor="text1"/>
          <w:sz w:val="24"/>
          <w:szCs w:val="24"/>
        </w:rPr>
        <w:t>°C (Figure 4)</w:t>
      </w:r>
      <w:r w:rsidRPr="00086D0B">
        <w:rPr>
          <w:rFonts w:cs="Calibri"/>
          <w:color w:val="000000" w:themeColor="text1"/>
          <w:sz w:val="24"/>
          <w:szCs w:val="24"/>
        </w:rPr>
        <w:t>. Temperature anomalies were largest in January and December and smallest in August and September. They were larger in northern and central states than in southern and coastal ones.</w:t>
      </w:r>
    </w:p>
    <w:p w14:paraId="7B9DF3D4" w14:textId="77777777" w:rsidR="00B971FF" w:rsidRPr="00086D0B" w:rsidRDefault="00B971FF" w:rsidP="00E03939">
      <w:pPr>
        <w:spacing w:line="480" w:lineRule="auto"/>
        <w:ind w:firstLine="360"/>
        <w:jc w:val="both"/>
        <w:rPr>
          <w:rFonts w:cs="Calibri"/>
          <w:sz w:val="24"/>
          <w:szCs w:val="24"/>
        </w:rPr>
      </w:pPr>
      <w:r w:rsidRPr="00086D0B">
        <w:rPr>
          <w:rFonts w:cs="Calibri"/>
          <w:color w:val="000000" w:themeColor="text1"/>
          <w:sz w:val="24"/>
          <w:szCs w:val="24"/>
        </w:rPr>
        <w:t>We then analysed the association of monthly injury death rates with anomalous temperature using a Bayesian spatio-temporal model,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 Analyses were done separately by injury type, sex and age group. We used the resultant risk estimates and the age-sex-specific death rates from each injury in 2016, to calculate additional deaths if each month in each state were +1</w:t>
      </w:r>
      <w:r w:rsidRPr="00086D0B">
        <w:rPr>
          <w:rFonts w:eastAsia="Times New Roman" w:cs="Calibri"/>
          <w:bCs/>
          <w:color w:val="222222"/>
          <w:sz w:val="24"/>
          <w:szCs w:val="24"/>
          <w:shd w:val="clear" w:color="auto" w:fill="FFFFFF"/>
        </w:rPr>
        <w:t>°</w:t>
      </w:r>
      <w:r w:rsidRPr="00086D0B">
        <w:rPr>
          <w:rFonts w:cs="Calibri"/>
          <w:color w:val="000000" w:themeColor="text1"/>
          <w:sz w:val="24"/>
          <w:szCs w:val="24"/>
        </w:rPr>
        <w:t>C above its long-term norm, by type of injury, sex, age group, state and month.</w:t>
      </w:r>
      <w:r w:rsidRPr="00086D0B">
        <w:rPr>
          <w:rFonts w:cs="Calibri"/>
          <w:sz w:val="24"/>
          <w:szCs w:val="24"/>
        </w:rPr>
        <w:t xml:space="preserve"> </w:t>
      </w:r>
    </w:p>
    <w:p w14:paraId="75A0185A" w14:textId="5F73751F" w:rsidR="00B971FF" w:rsidRDefault="002A14D7" w:rsidP="002A14D7">
      <w:pPr>
        <w:pStyle w:val="Heading2"/>
      </w:pPr>
      <w:bookmarkStart w:id="16" w:name="_Toc6395715"/>
      <w:r>
        <w:t>Results</w:t>
      </w:r>
      <w:bookmarkEnd w:id="16"/>
    </w:p>
    <w:p w14:paraId="0BA14D65" w14:textId="77777777" w:rsidR="0065279F" w:rsidRDefault="006851BD" w:rsidP="006851BD">
      <w:pPr>
        <w:spacing w:line="480" w:lineRule="auto"/>
        <w:ind w:firstLine="720"/>
        <w:jc w:val="both"/>
        <w:rPr>
          <w:rFonts w:cs="Calibri"/>
          <w:color w:val="000000" w:themeColor="text1"/>
          <w:sz w:val="24"/>
          <w:szCs w:val="24"/>
        </w:rPr>
        <w:sectPr w:rsidR="0065279F" w:rsidSect="0083190B">
          <w:pgSz w:w="11900" w:h="16840"/>
          <w:pgMar w:top="1440" w:right="1440" w:bottom="1440" w:left="1440" w:header="720" w:footer="720" w:gutter="0"/>
          <w:lnNumType w:countBy="1" w:restart="continuous"/>
          <w:cols w:space="720"/>
          <w:docGrid w:linePitch="360"/>
        </w:sectPr>
      </w:pPr>
      <w:r w:rsidRPr="000377CB">
        <w:rPr>
          <w:rFonts w:cs="Calibri"/>
          <w:color w:val="000000" w:themeColor="text1"/>
          <w:sz w:val="24"/>
          <w:szCs w:val="24"/>
        </w:rPr>
        <w:t>With few exceptions</w:t>
      </w:r>
      <w:r w:rsidR="00C57B46">
        <w:rPr>
          <w:rFonts w:cs="Calibri"/>
          <w:color w:val="000000" w:themeColor="text1"/>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Mexico","type":"article-journal"},"uris":["http://www.mendeley.com/documents/?uuid=6dbd0985-7ffc-4604-9986-7c871ffae9a7"]}],"mendeley":{"formattedCitation":"(Burke et al., 2018; Shi, Kloog, Zanobetti, Liu, &amp; Schwartz, 2015)","plainTextFormattedCitation":"(Burke et al., 2018; Shi, Kloog, Zanobetti, Liu, &amp; Schwartz, 2015)","previouslyFormattedCitation":"&lt;sup&gt;8,13&lt;/sup&gt;"},"properties":{"noteIndex":0},"schema":"https://github.com/citation-style-language/schema/raw/master/csl-citation.json"}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(Burke et al., 2018; Shi, Kloog, Zanobetti, Liu, &amp; Schwartz, 2015)</w:t>
      </w:r>
      <w:r w:rsidRPr="000377CB">
        <w:rPr>
          <w:rFonts w:cs="Calibri"/>
          <w:color w:val="000000" w:themeColor="text1"/>
          <w:sz w:val="24"/>
          <w:szCs w:val="24"/>
        </w:rPr>
        <w:fldChar w:fldCharType="end"/>
      </w:r>
      <w:r w:rsidR="00C57B46">
        <w:rPr>
          <w:rFonts w:cs="Calibri"/>
          <w:color w:val="000000" w:themeColor="text1"/>
          <w:sz w:val="24"/>
          <w:szCs w:val="24"/>
        </w:rPr>
        <w:t>,</w:t>
      </w:r>
      <w:r w:rsidRPr="000377CB">
        <w:rPr>
          <w:rFonts w:cs="Calibri"/>
          <w:color w:val="000000" w:themeColor="text1"/>
          <w:sz w:val="24"/>
          <w:szCs w:val="24"/>
        </w:rPr>
        <w:t xml:space="preserve"> current climate change risk assessments typically extrapolate from changes in mortality in relation to daily temperature</w:t>
      </w:r>
      <w:r w:rsidR="00C57B46">
        <w:rPr>
          <w:rFonts w:cs="Calibri"/>
          <w:color w:val="000000" w:themeColor="text1"/>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Gasparrini et al., 2015, 2017; Huang et al., 2011; Ye et al., 2012)","plainTextFormattedCitation":"(Basu, 2009; Gasparrini et al., 2015, 2017; Huang et al., 2011; Ye et al., 2012)","previouslyFormattedCitation":"&lt;sup&gt;1,4,5,14,15&lt;/sup&gt;"},"properties":{"noteIndex":0},"schema":"https://github.com/citation-style-language/schema/raw/master/csl-citation.json"}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 xml:space="preserve">(Basu, 2009; Gasparrini et al., 2015, 2017; Huang et al., 2011; </w:t>
      </w:r>
      <w:r w:rsidRPr="000377CB">
        <w:rPr>
          <w:rFonts w:cs="Calibri"/>
          <w:noProof/>
          <w:color w:val="000000" w:themeColor="text1"/>
          <w:sz w:val="24"/>
          <w:szCs w:val="24"/>
        </w:rPr>
        <w:lastRenderedPageBreak/>
        <w:t>Ye et al., 2012)</w:t>
      </w:r>
      <w:r w:rsidRPr="000377CB">
        <w:rPr>
          <w:rFonts w:cs="Calibri"/>
          <w:color w:val="000000" w:themeColor="text1"/>
          <w:sz w:val="24"/>
          <w:szCs w:val="24"/>
        </w:rPr>
        <w:fldChar w:fldCharType="end"/>
      </w:r>
      <w:r w:rsidR="00C57B46">
        <w:rPr>
          <w:rFonts w:cs="Calibri"/>
          <w:color w:val="000000" w:themeColor="text1"/>
          <w:sz w:val="24"/>
          <w:szCs w:val="24"/>
        </w:rPr>
        <w:t>.</w:t>
      </w:r>
      <w:r w:rsidRPr="000377CB">
        <w:rPr>
          <w:rFonts w:cs="Calibri"/>
          <w:color w:val="000000" w:themeColor="text1"/>
          <w:sz w:val="24"/>
          <w:szCs w:val="24"/>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t>
      </w:r>
    </w:p>
    <w:p w14:paraId="76D07B8C" w14:textId="77777777" w:rsidR="00EA12B7" w:rsidRDefault="0065279F" w:rsidP="007847A2">
      <w:pPr>
        <w:keepNext/>
        <w:suppressLineNumbers/>
        <w:spacing w:line="480" w:lineRule="auto"/>
        <w:ind w:firstLine="720"/>
      </w:pPr>
      <w:r>
        <w:rPr>
          <w:rFonts w:cs="Calibri"/>
          <w:noProof/>
          <w:color w:val="000000" w:themeColor="text1"/>
          <w:sz w:val="24"/>
          <w:szCs w:val="24"/>
        </w:rPr>
        <w:lastRenderedPageBreak/>
        <w:drawing>
          <wp:inline distT="0" distB="0" distL="0" distR="0" wp14:anchorId="6E9E1374" wp14:editId="789EAAD3">
            <wp:extent cx="8775603" cy="5696927"/>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rotWithShape="1">
                    <a:blip r:embed="rId15">
                      <a:extLst>
                        <a:ext uri="{28A0092B-C50C-407E-A947-70E740481C1C}">
                          <a14:useLocalDpi xmlns:a14="http://schemas.microsoft.com/office/drawing/2010/main" val="0"/>
                        </a:ext>
                      </a:extLst>
                    </a:blip>
                    <a:srcRect t="3625" b="4623"/>
                    <a:stretch/>
                  </pic:blipFill>
                  <pic:spPr bwMode="auto">
                    <a:xfrm>
                      <a:off x="0" y="0"/>
                      <a:ext cx="8776800" cy="5697704"/>
                    </a:xfrm>
                    <a:prstGeom prst="rect">
                      <a:avLst/>
                    </a:prstGeom>
                    <a:ln>
                      <a:noFill/>
                    </a:ln>
                    <a:extLst>
                      <a:ext uri="{53640926-AAD7-44D8-BBD7-CCE9431645EC}">
                        <a14:shadowObscured xmlns:a14="http://schemas.microsoft.com/office/drawing/2010/main"/>
                      </a:ext>
                    </a:extLst>
                  </pic:spPr>
                </pic:pic>
              </a:graphicData>
            </a:graphic>
          </wp:inline>
        </w:drawing>
      </w:r>
    </w:p>
    <w:p w14:paraId="5EE8E0DD" w14:textId="5252BC3F" w:rsidR="0065279F" w:rsidRDefault="00EA12B7" w:rsidP="007847A2">
      <w:pPr>
        <w:suppressLineNumbers/>
        <w:jc w:val="center"/>
        <w:rPr>
          <w:rFonts w:cs="Calibri"/>
          <w:color w:val="000000" w:themeColor="text1"/>
          <w:sz w:val="24"/>
          <w:szCs w:val="24"/>
        </w:rPr>
        <w:sectPr w:rsidR="0065279F" w:rsidSect="0065279F">
          <w:pgSz w:w="16840" w:h="11900" w:orient="landscape"/>
          <w:pgMar w:top="720" w:right="720" w:bottom="720" w:left="720" w:header="720" w:footer="720" w:gutter="0"/>
          <w:lnNumType w:countBy="1" w:restart="continuous"/>
          <w:cols w:space="720"/>
          <w:docGrid w:linePitch="360"/>
        </w:sectPr>
      </w:pPr>
      <w:bookmarkStart w:id="17" w:name="_Toc6395703"/>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ED73AC">
        <w:rPr>
          <w:b/>
          <w:noProof/>
        </w:rPr>
        <w:t>2</w:t>
      </w:r>
      <w:r w:rsidRPr="00EA12B7">
        <w:rPr>
          <w:b/>
        </w:rPr>
        <w:fldChar w:fldCharType="end"/>
      </w:r>
      <w:r>
        <w:t xml:space="preserve">. </w:t>
      </w:r>
      <w:r w:rsidRPr="003235E7">
        <w:t>National age-standardised death rates from 1980 to 2016, by type of injury and month</w:t>
      </w:r>
      <w:bookmarkEnd w:id="17"/>
    </w:p>
    <w:p w14:paraId="19D33D24" w14:textId="3C27BF55" w:rsidR="00B971FF" w:rsidRPr="000377CB" w:rsidRDefault="00B971FF" w:rsidP="00FE26DD">
      <w:pPr>
        <w:spacing w:line="480" w:lineRule="auto"/>
        <w:ind w:firstLine="720"/>
        <w:jc w:val="both"/>
        <w:rPr>
          <w:rFonts w:cs="Calibri"/>
          <w:sz w:val="24"/>
          <w:szCs w:val="24"/>
        </w:rPr>
      </w:pPr>
      <w:r w:rsidRPr="006851BD">
        <w:rPr>
          <w:rFonts w:cs="Calibri"/>
          <w:sz w:val="24"/>
          <w:szCs w:val="24"/>
          <w:highlight w:val="yellow"/>
        </w:rPr>
        <w:lastRenderedPageBreak/>
        <w:t>Based on these calculations</w:t>
      </w:r>
      <w:r w:rsidRPr="000377CB">
        <w:rPr>
          <w:rFonts w:cs="Calibri"/>
          <w:sz w:val="24"/>
          <w:szCs w:val="24"/>
        </w:rPr>
        <w:t xml:space="preserve">, there would be an estimated 941 (95% </w:t>
      </w:r>
      <w:proofErr w:type="spellStart"/>
      <w:r w:rsidRPr="000377CB">
        <w:rPr>
          <w:rFonts w:cs="Calibri"/>
          <w:sz w:val="24"/>
          <w:szCs w:val="24"/>
        </w:rPr>
        <w:t>CrI</w:t>
      </w:r>
      <w:proofErr w:type="spellEnd"/>
      <w:r w:rsidRPr="000377CB">
        <w:rPr>
          <w:rFonts w:cs="Calibri"/>
          <w:sz w:val="24"/>
          <w:szCs w:val="24"/>
        </w:rPr>
        <w:t xml:space="preserve"> 831, 1,053) excess injury deaths, equivalent to 0.47% of all injury deaths in 2016,</w:t>
      </w:r>
      <w:r w:rsidRPr="000377CB">
        <w:rPr>
          <w:rFonts w:cs="Calibri"/>
          <w:color w:val="000000" w:themeColor="text1"/>
          <w:sz w:val="24"/>
          <w:szCs w:val="24"/>
        </w:rPr>
        <w:t xml:space="preserve"> if each month in each state were +1</w:t>
      </w:r>
      <w:r w:rsidRPr="000377CB">
        <w:rPr>
          <w:rFonts w:eastAsia="Times New Roman" w:cs="Calibri"/>
          <w:bCs/>
          <w:color w:val="222222"/>
          <w:sz w:val="24"/>
          <w:szCs w:val="24"/>
          <w:shd w:val="clear" w:color="auto" w:fill="FFFFFF"/>
        </w:rPr>
        <w:t>°</w:t>
      </w:r>
      <w:r w:rsidRPr="000377CB">
        <w:rPr>
          <w:rFonts w:cs="Calibri"/>
          <w:color w:val="000000" w:themeColor="text1"/>
          <w:sz w:val="24"/>
          <w:szCs w:val="24"/>
        </w:rPr>
        <w:t>C above its long-term norm</w:t>
      </w:r>
      <w:r w:rsidRPr="000377CB">
        <w:rPr>
          <w:rFonts w:cs="Calibri"/>
          <w:sz w:val="24"/>
          <w:szCs w:val="24"/>
        </w:rPr>
        <w:t xml:space="preserve"> (</w:t>
      </w:r>
      <w:r w:rsidR="00703016">
        <w:rPr>
          <w:rFonts w:cs="Calibri"/>
          <w:sz w:val="24"/>
          <w:szCs w:val="24"/>
        </w:rPr>
        <w:fldChar w:fldCharType="begin"/>
      </w:r>
      <w:r w:rsidR="00703016">
        <w:rPr>
          <w:rFonts w:cs="Calibri"/>
          <w:sz w:val="24"/>
          <w:szCs w:val="24"/>
        </w:rPr>
        <w:instrText xml:space="preserve"> REF _Ref6324596 \h </w:instrText>
      </w:r>
      <w:r w:rsidR="00703016">
        <w:rPr>
          <w:rFonts w:cs="Calibri"/>
          <w:sz w:val="24"/>
          <w:szCs w:val="24"/>
        </w:rPr>
      </w:r>
      <w:r w:rsidR="00703016">
        <w:rPr>
          <w:rFonts w:cs="Calibri"/>
          <w:sz w:val="24"/>
          <w:szCs w:val="24"/>
        </w:rPr>
        <w:fldChar w:fldCharType="separate"/>
      </w:r>
      <w:r w:rsidR="00703016" w:rsidRPr="00CC3E7E">
        <w:rPr>
          <w:b/>
        </w:rPr>
        <w:t xml:space="preserve">Figure </w:t>
      </w:r>
      <w:r w:rsidR="00703016" w:rsidRPr="00CC3E7E">
        <w:rPr>
          <w:b/>
          <w:noProof/>
        </w:rPr>
        <w:t>3</w:t>
      </w:r>
      <w:r w:rsidR="00703016">
        <w:rPr>
          <w:rFonts w:cs="Calibri"/>
          <w:sz w:val="24"/>
          <w:szCs w:val="24"/>
        </w:rPr>
        <w:fldChar w:fldCharType="end"/>
      </w:r>
      <w:r w:rsidRPr="000377CB">
        <w:rPr>
          <w:rFonts w:cs="Calibri"/>
          <w:sz w:val="24"/>
          <w:szCs w:val="24"/>
        </w:rPr>
        <w:t>). Deaths from drowning, transport, assault and intentional self-harm would be predicted to increase, partly offset by a decline in deaths from falls in middle and older ages and in winter months (</w:t>
      </w:r>
      <w:r w:rsidR="00EA0991">
        <w:rPr>
          <w:rFonts w:cs="Calibri"/>
          <w:sz w:val="24"/>
          <w:szCs w:val="24"/>
        </w:rPr>
        <w:fldChar w:fldCharType="begin"/>
      </w:r>
      <w:r w:rsidR="00EA0991">
        <w:rPr>
          <w:rFonts w:cs="Calibri"/>
          <w:sz w:val="24"/>
          <w:szCs w:val="24"/>
        </w:rPr>
        <w:instrText xml:space="preserve"> REF _Ref6324596 \h </w:instrText>
      </w:r>
      <w:r w:rsidR="00EA0991">
        <w:rPr>
          <w:rFonts w:cs="Calibri"/>
          <w:sz w:val="24"/>
          <w:szCs w:val="24"/>
        </w:rPr>
      </w:r>
      <w:r w:rsidR="00EA0991">
        <w:rPr>
          <w:rFonts w:cs="Calibri"/>
          <w:sz w:val="24"/>
          <w:szCs w:val="24"/>
        </w:rPr>
        <w:fldChar w:fldCharType="separate"/>
      </w:r>
      <w:r w:rsidR="00EA0991" w:rsidRPr="00CC3E7E">
        <w:rPr>
          <w:b/>
        </w:rPr>
        <w:t xml:space="preserve">Figure </w:t>
      </w:r>
      <w:r w:rsidR="00EA0991" w:rsidRPr="00CC3E7E">
        <w:rPr>
          <w:b/>
          <w:noProof/>
        </w:rPr>
        <w:t>3</w:t>
      </w:r>
      <w:r w:rsidR="00EA0991">
        <w:rPr>
          <w:rFonts w:cs="Calibri"/>
          <w:sz w:val="24"/>
          <w:szCs w:val="24"/>
        </w:rPr>
        <w:fldChar w:fldCharType="end"/>
      </w:r>
      <w:r w:rsidRPr="000377CB">
        <w:rPr>
          <w:rFonts w:cs="Calibri"/>
          <w:sz w:val="24"/>
          <w:szCs w:val="24"/>
        </w:rPr>
        <w:t xml:space="preserve">). Most excess deaths would be from transport injuries (448) followed by intentional self-harm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2503A729" w14:textId="77777777" w:rsidR="00CC3E7E" w:rsidRDefault="00B971FF" w:rsidP="002A14D7">
      <w:pPr>
        <w:spacing w:line="480" w:lineRule="auto"/>
        <w:ind w:firstLine="720"/>
        <w:jc w:val="both"/>
        <w:rPr>
          <w:rFonts w:cs="Calibri"/>
          <w:sz w:val="24"/>
          <w:szCs w:val="24"/>
        </w:rPr>
      </w:pPr>
      <w:r w:rsidRPr="000377CB">
        <w:rPr>
          <w:rFonts w:cs="Calibri"/>
          <w:sz w:val="24"/>
          <w:szCs w:val="24"/>
        </w:rPr>
        <w:t>Proportionally, deaths from drownings are predicted to increase more than those of other injury types, by as much 8.3% (7.3, 9.3) in men aged 15-24 years (</w:t>
      </w:r>
      <w:r w:rsidR="005B654D">
        <w:rPr>
          <w:rFonts w:cs="Calibri"/>
          <w:sz w:val="24"/>
          <w:szCs w:val="24"/>
        </w:rPr>
        <w:fldChar w:fldCharType="begin"/>
      </w:r>
      <w:r w:rsidR="005B654D">
        <w:rPr>
          <w:rFonts w:cs="Calibri"/>
          <w:sz w:val="24"/>
          <w:szCs w:val="24"/>
        </w:rPr>
        <w:instrText xml:space="preserve"> REF _Ref6395628 \h </w:instrText>
      </w:r>
      <w:r w:rsidR="005B654D">
        <w:rPr>
          <w:rFonts w:cs="Calibri"/>
          <w:sz w:val="24"/>
          <w:szCs w:val="24"/>
        </w:rPr>
      </w:r>
      <w:r w:rsidR="005B654D">
        <w:rPr>
          <w:rFonts w:cs="Calibri"/>
          <w:sz w:val="24"/>
          <w:szCs w:val="24"/>
        </w:rPr>
        <w:fldChar w:fldCharType="separate"/>
      </w:r>
      <w:r w:rsidR="005B654D" w:rsidRPr="00FA43E1">
        <w:rPr>
          <w:b/>
        </w:rPr>
        <w:t xml:space="preserve">Figure </w:t>
      </w:r>
      <w:r w:rsidR="005B654D">
        <w:rPr>
          <w:b/>
          <w:noProof/>
        </w:rPr>
        <w:t>4</w:t>
      </w:r>
      <w:r w:rsidR="005B654D">
        <w:rPr>
          <w:rFonts w:cs="Calibri"/>
          <w:sz w:val="24"/>
          <w:szCs w:val="24"/>
        </w:rPr>
        <w:fldChar w:fldCharType="end"/>
      </w:r>
      <w:r w:rsidRPr="000377CB">
        <w:rPr>
          <w:rFonts w:cs="Calibri"/>
          <w:sz w:val="24"/>
          <w:szCs w:val="24"/>
        </w:rPr>
        <w:t xml:space="preserve">); the smallest proportional increase was that of assault and intentional self-harm (less than 2% in all age and sex groups). There was a larger percent increase in transport deaths for males than for females, especially in young and middle-ages (~e.g., </w:t>
      </w:r>
      <w:r w:rsidRPr="000377CB">
        <w:rPr>
          <w:rFonts w:eastAsia="Times New Roman" w:cs="Calibri"/>
          <w:color w:val="000000"/>
          <w:sz w:val="24"/>
          <w:szCs w:val="24"/>
        </w:rPr>
        <w:t>1.25% (0.90, 1.60)</w:t>
      </w:r>
      <w:r w:rsidRPr="000377CB">
        <w:rPr>
          <w:rFonts w:cs="Calibri"/>
          <w:sz w:val="24"/>
          <w:szCs w:val="24"/>
        </w:rPr>
        <w:t xml:space="preserve"> for 25-34 year</w:t>
      </w:r>
      <w:r w:rsidR="000A3075">
        <w:rPr>
          <w:rFonts w:cs="Calibri"/>
          <w:sz w:val="24"/>
          <w:szCs w:val="24"/>
        </w:rPr>
        <w:t xml:space="preserve"> </w:t>
      </w:r>
      <w:r w:rsidRPr="000377CB">
        <w:rPr>
          <w:rFonts w:cs="Calibri"/>
          <w:sz w:val="24"/>
          <w:szCs w:val="24"/>
        </w:rPr>
        <w:t>old men versus 0.23% (-0.28, 0.76) for women of the same age) (</w:t>
      </w:r>
      <w:r w:rsidR="004C6611">
        <w:rPr>
          <w:rFonts w:cs="Calibri"/>
          <w:sz w:val="24"/>
          <w:szCs w:val="24"/>
        </w:rPr>
        <w:fldChar w:fldCharType="begin"/>
      </w:r>
      <w:r w:rsidR="004C6611">
        <w:rPr>
          <w:rFonts w:cs="Calibri"/>
          <w:sz w:val="24"/>
          <w:szCs w:val="24"/>
        </w:rPr>
        <w:instrText xml:space="preserve"> REF _Ref6395628 \h </w:instrText>
      </w:r>
      <w:r w:rsidR="004C6611">
        <w:rPr>
          <w:rFonts w:cs="Calibri"/>
          <w:sz w:val="24"/>
          <w:szCs w:val="24"/>
        </w:rPr>
      </w:r>
      <w:r w:rsidR="004C6611">
        <w:rPr>
          <w:rFonts w:cs="Calibri"/>
          <w:sz w:val="24"/>
          <w:szCs w:val="24"/>
        </w:rPr>
        <w:fldChar w:fldCharType="separate"/>
      </w:r>
      <w:r w:rsidR="004C6611" w:rsidRPr="00FA43E1">
        <w:rPr>
          <w:b/>
        </w:rPr>
        <w:t xml:space="preserve">Figure </w:t>
      </w:r>
      <w:r w:rsidR="004C6611">
        <w:rPr>
          <w:b/>
          <w:noProof/>
        </w:rPr>
        <w:t>4</w:t>
      </w:r>
      <w:r w:rsidR="004C6611">
        <w:rPr>
          <w:rFonts w:cs="Calibri"/>
          <w:sz w:val="24"/>
          <w:szCs w:val="24"/>
        </w:rPr>
        <w:fldChar w:fldCharType="end"/>
      </w:r>
      <w:r w:rsidRPr="000377CB">
        <w:rPr>
          <w:rFonts w:cs="Calibri"/>
          <w:sz w:val="24"/>
          <w:szCs w:val="24"/>
        </w:rPr>
        <w:t>).</w:t>
      </w:r>
    </w:p>
    <w:p w14:paraId="50F1A28E" w14:textId="6B976C8E" w:rsidR="00990148" w:rsidRDefault="00990148" w:rsidP="00990148">
      <w:pPr>
        <w:spacing w:line="480" w:lineRule="auto"/>
        <w:ind w:firstLine="720"/>
        <w:jc w:val="both"/>
        <w:rPr>
          <w:rFonts w:cs="Calibri"/>
          <w:sz w:val="24"/>
          <w:szCs w:val="24"/>
        </w:rPr>
        <w:sectPr w:rsidR="00990148" w:rsidSect="0083190B">
          <w:pgSz w:w="11900" w:h="16840"/>
          <w:pgMar w:top="1440" w:right="1440" w:bottom="1440" w:left="1440" w:header="720" w:footer="720" w:gutter="0"/>
          <w:lnNumType w:countBy="1" w:restart="continuous"/>
          <w:cols w:space="720"/>
          <w:docGrid w:linePitch="360"/>
        </w:sectPr>
      </w:pPr>
      <w:r>
        <w:rPr>
          <w:rFonts w:cs="Calibri"/>
          <w:sz w:val="24"/>
          <w:szCs w:val="24"/>
        </w:rPr>
        <w:t>[[[Comment about monthly variation from Figure 5]]]</w:t>
      </w:r>
    </w:p>
    <w:p w14:paraId="487F19B0" w14:textId="77777777" w:rsidR="00CC3E7E" w:rsidRDefault="00CC3E7E" w:rsidP="0078701D">
      <w:pPr>
        <w:keepNext/>
        <w:suppressLineNumbers/>
        <w:spacing w:line="480" w:lineRule="auto"/>
        <w:ind w:firstLine="720"/>
      </w:pPr>
      <w:r>
        <w:rPr>
          <w:rFonts w:cs="Calibri"/>
          <w:noProof/>
          <w:sz w:val="24"/>
          <w:szCs w:val="24"/>
        </w:rPr>
        <w:lastRenderedPageBreak/>
        <w:drawing>
          <wp:inline distT="0" distB="0" distL="0" distR="0" wp14:anchorId="538BC3CD" wp14:editId="7A32EE87">
            <wp:extent cx="8496411" cy="55695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6">
                      <a:extLst>
                        <a:ext uri="{28A0092B-C50C-407E-A947-70E740481C1C}">
                          <a14:useLocalDpi xmlns:a14="http://schemas.microsoft.com/office/drawing/2010/main" val="0"/>
                        </a:ext>
                      </a:extLst>
                    </a:blip>
                    <a:srcRect t="3564" b="3779"/>
                    <a:stretch/>
                  </pic:blipFill>
                  <pic:spPr bwMode="auto">
                    <a:xfrm>
                      <a:off x="0" y="0"/>
                      <a:ext cx="8573106" cy="5619860"/>
                    </a:xfrm>
                    <a:prstGeom prst="rect">
                      <a:avLst/>
                    </a:prstGeom>
                    <a:ln>
                      <a:noFill/>
                    </a:ln>
                    <a:extLst>
                      <a:ext uri="{53640926-AAD7-44D8-BBD7-CCE9431645EC}">
                        <a14:shadowObscured xmlns:a14="http://schemas.microsoft.com/office/drawing/2010/main"/>
                      </a:ext>
                    </a:extLst>
                  </pic:spPr>
                </pic:pic>
              </a:graphicData>
            </a:graphic>
          </wp:inline>
        </w:drawing>
      </w:r>
    </w:p>
    <w:p w14:paraId="40F2CD77" w14:textId="149AD583" w:rsidR="00CC3E7E" w:rsidRDefault="00CC3E7E" w:rsidP="00976997">
      <w:pPr>
        <w:suppressLineNumbers/>
        <w:jc w:val="center"/>
        <w:rPr>
          <w:rFonts w:cs="Calibri"/>
          <w:sz w:val="24"/>
          <w:szCs w:val="24"/>
        </w:rPr>
        <w:sectPr w:rsidR="00CC3E7E" w:rsidSect="00CC3E7E">
          <w:pgSz w:w="16840" w:h="11900" w:orient="landscape"/>
          <w:pgMar w:top="720" w:right="720" w:bottom="720" w:left="720" w:header="720" w:footer="720" w:gutter="0"/>
          <w:lnNumType w:countBy="1" w:restart="continuous"/>
          <w:cols w:space="720"/>
          <w:docGrid w:linePitch="360"/>
        </w:sectPr>
      </w:pPr>
      <w:bookmarkStart w:id="18" w:name="_Ref6324596"/>
      <w:bookmarkStart w:id="19" w:name="_Toc6395704"/>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ED73AC">
        <w:rPr>
          <w:b/>
          <w:noProof/>
        </w:rPr>
        <w:t>3</w:t>
      </w:r>
      <w:r w:rsidRPr="00CC3E7E">
        <w:rPr>
          <w:b/>
        </w:rPr>
        <w:fldChar w:fldCharType="end"/>
      </w:r>
      <w:bookmarkEnd w:id="18"/>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r w:rsidRPr="00636C9B">
        <w:t>.</w:t>
      </w:r>
      <w:bookmarkEnd w:id="19"/>
    </w:p>
    <w:p w14:paraId="00822780" w14:textId="77777777" w:rsidR="00FA43E1" w:rsidRDefault="00DB2AF1" w:rsidP="003460EE">
      <w:pPr>
        <w:jc w:val="center"/>
      </w:pPr>
      <w:r>
        <w:rPr>
          <w:noProof/>
        </w:rPr>
        <w:lastRenderedPageBreak/>
        <w:drawing>
          <wp:inline distT="0" distB="0" distL="0" distR="0" wp14:anchorId="6C498B73" wp14:editId="281BC124">
            <wp:extent cx="8095615" cy="5727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7">
                      <a:extLst>
                        <a:ext uri="{28A0092B-C50C-407E-A947-70E740481C1C}">
                          <a14:useLocalDpi xmlns:a14="http://schemas.microsoft.com/office/drawing/2010/main" val="0"/>
                        </a:ext>
                      </a:extLst>
                    </a:blip>
                    <a:stretch>
                      <a:fillRect/>
                    </a:stretch>
                  </pic:blipFill>
                  <pic:spPr>
                    <a:xfrm>
                      <a:off x="0" y="0"/>
                      <a:ext cx="8095615" cy="5727700"/>
                    </a:xfrm>
                    <a:prstGeom prst="rect">
                      <a:avLst/>
                    </a:prstGeom>
                  </pic:spPr>
                </pic:pic>
              </a:graphicData>
            </a:graphic>
          </wp:inline>
        </w:drawing>
      </w:r>
    </w:p>
    <w:p w14:paraId="5B931221" w14:textId="3D51E8A9" w:rsidR="004E50AE" w:rsidRDefault="00FA43E1" w:rsidP="00FA43E1">
      <w:pPr>
        <w:jc w:val="center"/>
        <w:sectPr w:rsidR="004E50AE" w:rsidSect="00FA43E1">
          <w:pgSz w:w="16840" w:h="11900" w:orient="landscape"/>
          <w:pgMar w:top="720" w:right="720" w:bottom="720" w:left="720" w:header="720" w:footer="720" w:gutter="0"/>
          <w:lnNumType w:countBy="1" w:restart="continuous"/>
          <w:cols w:space="720"/>
          <w:docGrid w:linePitch="360"/>
        </w:sectPr>
      </w:pPr>
      <w:bookmarkStart w:id="20" w:name="_Ref6395628"/>
      <w:bookmarkStart w:id="21" w:name="_Toc6395705"/>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ED73AC">
        <w:rPr>
          <w:b/>
          <w:noProof/>
        </w:rPr>
        <w:t>4</w:t>
      </w:r>
      <w:r w:rsidRPr="00FA43E1">
        <w:rPr>
          <w:b/>
        </w:rPr>
        <w:fldChar w:fldCharType="end"/>
      </w:r>
      <w:bookmarkEnd w:id="20"/>
      <w:r>
        <w:t xml:space="preserve">. </w:t>
      </w:r>
      <w:r w:rsidRPr="000A5E83">
        <w:t>Percent change in death rates in year in which each month was +1°C compared with 1980-2009 norm temperatures by type of injury, sex and age group.</w:t>
      </w:r>
      <w:bookmarkEnd w:id="21"/>
    </w:p>
    <w:p w14:paraId="28A2214E" w14:textId="77777777" w:rsidR="00ED73AC" w:rsidRDefault="00DB2AF1" w:rsidP="003460EE">
      <w:pPr>
        <w:jc w:val="center"/>
      </w:pPr>
      <w:r>
        <w:rPr>
          <w:noProof/>
        </w:rPr>
        <w:lastRenderedPageBreak/>
        <w:drawing>
          <wp:inline distT="0" distB="0" distL="0" distR="0" wp14:anchorId="45A5188F" wp14:editId="4305B7B8">
            <wp:extent cx="8095615" cy="572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8">
                      <a:extLst>
                        <a:ext uri="{28A0092B-C50C-407E-A947-70E740481C1C}">
                          <a14:useLocalDpi xmlns:a14="http://schemas.microsoft.com/office/drawing/2010/main" val="0"/>
                        </a:ext>
                      </a:extLst>
                    </a:blip>
                    <a:stretch>
                      <a:fillRect/>
                    </a:stretch>
                  </pic:blipFill>
                  <pic:spPr>
                    <a:xfrm>
                      <a:off x="0" y="0"/>
                      <a:ext cx="8095615" cy="5727700"/>
                    </a:xfrm>
                    <a:prstGeom prst="rect">
                      <a:avLst/>
                    </a:prstGeom>
                  </pic:spPr>
                </pic:pic>
              </a:graphicData>
            </a:graphic>
          </wp:inline>
        </w:drawing>
      </w:r>
    </w:p>
    <w:p w14:paraId="73ADEF77" w14:textId="5E36A962" w:rsidR="004E50AE" w:rsidRDefault="00ED73AC" w:rsidP="00ED73AC">
      <w:pPr>
        <w:jc w:val="center"/>
        <w:sectPr w:rsidR="004E50AE" w:rsidSect="00FA43E1">
          <w:pgSz w:w="16840" w:h="11900" w:orient="landscape"/>
          <w:pgMar w:top="720" w:right="720" w:bottom="720" w:left="720" w:header="720" w:footer="720" w:gutter="0"/>
          <w:lnNumType w:countBy="1" w:restart="continuous"/>
          <w:cols w:space="720"/>
          <w:docGrid w:linePitch="360"/>
        </w:sectPr>
      </w:pPr>
      <w:bookmarkStart w:id="22" w:name="_Toc6395706"/>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Pr="00ED73AC">
        <w:rPr>
          <w:b/>
          <w:noProof/>
        </w:rPr>
        <w:t>5</w:t>
      </w:r>
      <w:r w:rsidRPr="00ED73AC">
        <w:rPr>
          <w:b/>
        </w:rPr>
        <w:fldChar w:fldCharType="end"/>
      </w:r>
      <w:r>
        <w:t xml:space="preserve">. </w:t>
      </w:r>
      <w:r w:rsidRPr="00DB4FBE">
        <w:t>Percent change in death rates in year in which each month was +1°C compared with 1980-2009 norm temperatures by type of injury, sex and month.</w:t>
      </w:r>
      <w:bookmarkEnd w:id="22"/>
    </w:p>
    <w:p w14:paraId="6C45DB60" w14:textId="1A240A5A" w:rsidR="000732F9" w:rsidRPr="000377CB" w:rsidRDefault="000732F9" w:rsidP="000732F9">
      <w:pPr>
        <w:pStyle w:val="Heading2"/>
        <w:rPr>
          <w:rFonts w:ascii="Calibri" w:hAnsi="Calibri"/>
        </w:rPr>
      </w:pPr>
      <w:bookmarkStart w:id="23" w:name="_Toc6395716"/>
      <w:r>
        <w:lastRenderedPageBreak/>
        <w:t>Discussion</w:t>
      </w:r>
      <w:bookmarkEnd w:id="23"/>
    </w:p>
    <w:p w14:paraId="2C33E344" w14:textId="6BDFACBD" w:rsidR="00B971FF" w:rsidRPr="000377CB" w:rsidRDefault="00B971FF" w:rsidP="002A14D7">
      <w:pPr>
        <w:spacing w:line="480" w:lineRule="auto"/>
        <w:ind w:firstLine="720"/>
        <w:jc w:val="both"/>
        <w:rPr>
          <w:rFonts w:cs="Calibri"/>
          <w:sz w:val="24"/>
          <w:szCs w:val="24"/>
        </w:rPr>
      </w:pPr>
      <w:r w:rsidRPr="000377CB">
        <w:rPr>
          <w:rFonts w:cs="Calibri"/>
          <w:sz w:val="24"/>
          <w:szCs w:val="24"/>
        </w:rP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 w:val="24"/>
          <w:szCs w:val="24"/>
          <w:shd w:val="clear" w:color="auto" w:fill="FFFFFF"/>
        </w:rPr>
        <w:t>1</w:t>
      </w:r>
      <w:r w:rsidRPr="000377CB">
        <w:rPr>
          <w:rFonts w:cs="Calibri"/>
          <w:bCs/>
          <w:color w:val="000000" w:themeColor="text1"/>
          <w:sz w:val="24"/>
          <w:szCs w:val="24"/>
        </w:rPr>
        <w:t>°C higher monthly temperature would lead to a 0.7% rise in suicides</w:t>
      </w:r>
      <w:r w:rsidR="00A75829">
        <w:rPr>
          <w:rFonts w:cs="Calibri"/>
          <w:bCs/>
          <w:color w:val="000000" w:themeColor="text1"/>
          <w:sz w:val="24"/>
          <w:szCs w:val="24"/>
        </w:rPr>
        <w:t xml:space="preserve"> </w:t>
      </w:r>
      <w:r w:rsidRPr="000377CB">
        <w:rPr>
          <w:rFonts w:cs="Calibri"/>
          <w:bCs/>
          <w:color w:val="000000" w:themeColor="text1"/>
          <w:sz w:val="24"/>
          <w:szCs w:val="24"/>
        </w:rPr>
        <w:fldChar w:fldCharType="begin" w:fldLock="1"/>
      </w:r>
      <w:r w:rsidR="0001634A" w:rsidRPr="000377CB">
        <w:rPr>
          <w:rFonts w:cs="Calibri"/>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2018)","previouslyFormattedCitation":"&lt;sup&gt;8&lt;/sup&gt;"},"properties":{"noteIndex":0},"schema":"https://github.com/citation-style-language/schema/raw/master/csl-citation.json"}</w:instrText>
      </w:r>
      <w:r w:rsidRPr="000377CB">
        <w:rPr>
          <w:rFonts w:cs="Calibri"/>
          <w:bCs/>
          <w:color w:val="000000" w:themeColor="text1"/>
          <w:sz w:val="24"/>
          <w:szCs w:val="24"/>
        </w:rPr>
        <w:fldChar w:fldCharType="separate"/>
      </w:r>
      <w:r w:rsidR="0001634A" w:rsidRPr="000377CB">
        <w:rPr>
          <w:rFonts w:cs="Calibri"/>
          <w:bCs/>
          <w:noProof/>
          <w:color w:val="000000" w:themeColor="text1"/>
          <w:sz w:val="24"/>
          <w:szCs w:val="24"/>
        </w:rPr>
        <w:t>(Burke et al., 2018)</w:t>
      </w:r>
      <w:r w:rsidRPr="000377CB">
        <w:rPr>
          <w:rFonts w:cs="Calibri"/>
          <w:bCs/>
          <w:color w:val="000000" w:themeColor="text1"/>
          <w:sz w:val="24"/>
          <w:szCs w:val="24"/>
        </w:rPr>
        <w:fldChar w:fldCharType="end"/>
      </w:r>
      <w:r w:rsidR="00A75829">
        <w:rPr>
          <w:rFonts w:cs="Calibri"/>
          <w:bCs/>
          <w:color w:val="000000" w:themeColor="text1"/>
          <w:sz w:val="24"/>
          <w:szCs w:val="24"/>
        </w:rPr>
        <w:t>,</w:t>
      </w:r>
      <w:r w:rsidRPr="000377CB">
        <w:rPr>
          <w:rFonts w:cs="Calibri"/>
          <w:bCs/>
          <w:color w:val="000000" w:themeColor="text1"/>
          <w:sz w:val="24"/>
          <w:szCs w:val="24"/>
        </w:rPr>
        <w:t xml:space="preserve"> compared to our findings of 0.44-1% in males and 0.39-1.47% in females in different ages. </w:t>
      </w:r>
      <w:r w:rsidRPr="000377CB">
        <w:rPr>
          <w:rFonts w:cs="Calibri"/>
          <w:sz w:val="24"/>
          <w:szCs w:val="24"/>
        </w:rPr>
        <w:t>In a study of six French heatwaves during 1971-2003, mortality from unintentional injuries rose by up to 4% during a heatwave period compared to a non-heatwave baseline</w:t>
      </w:r>
      <w:r w:rsidR="00A75829">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2007)","previouslyFormattedCitation":"&lt;sup&gt;9&lt;/sup&gt;"},"properties":{"noteIndex":0},"schema":"https://github.com/citation-style-language/schema/raw/master/csl-citation.json"}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(Rey et al., 2007)</w:t>
      </w:r>
      <w:r w:rsidRPr="000377CB">
        <w:rPr>
          <w:rFonts w:cs="Calibri"/>
          <w:sz w:val="24"/>
          <w:szCs w:val="24"/>
        </w:rPr>
        <w:fldChar w:fldCharType="end"/>
      </w:r>
      <w:r w:rsidR="00A75829">
        <w:rPr>
          <w:rFonts w:cs="Calibri"/>
          <w:sz w:val="24"/>
          <w:szCs w:val="24"/>
        </w:rPr>
        <w:t>.</w:t>
      </w:r>
      <w:r w:rsidRPr="000377CB">
        <w:rPr>
          <w:rFonts w:cs="Calibri"/>
          <w:sz w:val="24"/>
          <w:szCs w:val="24"/>
        </w:rPr>
        <w:t xml:space="preserve"> A study of daily mortality from all injuries from Estonia found a 1.24% increase in mortality when daily maximum temperature went from the 75</w:t>
      </w:r>
      <w:r w:rsidRPr="000377CB">
        <w:rPr>
          <w:rFonts w:cs="Calibri"/>
          <w:sz w:val="24"/>
          <w:szCs w:val="24"/>
          <w:vertAlign w:val="superscript"/>
        </w:rPr>
        <w:t>th</w:t>
      </w:r>
      <w:r w:rsidRPr="000377CB">
        <w:rPr>
          <w:rFonts w:cs="Calibri"/>
          <w:sz w:val="24"/>
          <w:szCs w:val="24"/>
        </w:rPr>
        <w:t xml:space="preserve"> to 99</w:t>
      </w:r>
      <w:r w:rsidRPr="000377CB">
        <w:rPr>
          <w:rFonts w:cs="Calibri"/>
          <w:sz w:val="24"/>
          <w:szCs w:val="24"/>
          <w:vertAlign w:val="superscript"/>
        </w:rPr>
        <w:t>th</w:t>
      </w:r>
      <w:r w:rsidRPr="000377CB">
        <w:rPr>
          <w:rFonts w:cs="Calibri"/>
          <w:sz w:val="24"/>
          <w:szCs w:val="24"/>
        </w:rPr>
        <w:t xml:space="preserve"> percentile of long-term distribution</w:t>
      </w:r>
      <w:r w:rsidR="00A75829">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2017)","previouslyFormattedCitation":"&lt;sup&gt;10&lt;/sup&gt;"},"properties":{"noteIndex":0},"schema":"https://github.com/citation-style-language/schema/raw/master/csl-citation.json"}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(Orru &amp; Åström, 2017)</w:t>
      </w:r>
      <w:r w:rsidRPr="000377CB">
        <w:rPr>
          <w:rFonts w:cs="Calibri"/>
          <w:sz w:val="24"/>
          <w:szCs w:val="24"/>
        </w:rPr>
        <w:fldChar w:fldCharType="end"/>
      </w:r>
      <w:r w:rsidR="00A75829">
        <w:rPr>
          <w:rFonts w:cs="Calibri"/>
          <w:sz w:val="24"/>
          <w:szCs w:val="24"/>
        </w:rPr>
        <w:t>.</w:t>
      </w:r>
      <w:r w:rsidRPr="000377CB">
        <w:rPr>
          <w:rFonts w:cs="Calibri"/>
          <w:sz w:val="24"/>
          <w:szCs w:val="24"/>
        </w:rPr>
        <w:t xml:space="preserve"> </w:t>
      </w:r>
    </w:p>
    <w:p w14:paraId="3B3CE69B" w14:textId="310E00DD" w:rsidR="00B971FF" w:rsidRPr="000377CB" w:rsidRDefault="00B971FF" w:rsidP="002A14D7">
      <w:pPr>
        <w:spacing w:line="480" w:lineRule="auto"/>
        <w:ind w:firstLine="720"/>
        <w:jc w:val="both"/>
        <w:rPr>
          <w:rFonts w:cs="Calibri"/>
          <w:sz w:val="24"/>
          <w:szCs w:val="24"/>
        </w:rPr>
      </w:pPr>
      <w:r w:rsidRPr="000377CB">
        <w:rPr>
          <w:rFonts w:cs="Calibri"/>
          <w:sz w:val="24"/>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2014)","previouslyFormattedCitation":"&lt;sup&gt;16&lt;/sup&gt;"},"properties":{"noteIndex":0},"schema":"https://github.com/citation-style-language/schema/raw/master/csl-citation.json"}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(Xu, 2014)</w:t>
      </w:r>
      <w:r w:rsidRPr="000377CB">
        <w:rPr>
          <w:rFonts w:cs="Calibri"/>
          <w:sz w:val="24"/>
          <w:szCs w:val="24"/>
        </w:rPr>
        <w:fldChar w:fldCharType="end"/>
      </w:r>
      <w:r w:rsidR="00F26D54">
        <w:rPr>
          <w:rFonts w:cs="Calibri"/>
          <w:sz w:val="24"/>
          <w:szCs w:val="24"/>
        </w:rPr>
        <w:t>,</w:t>
      </w:r>
      <w:r w:rsidRPr="000377CB">
        <w:rPr>
          <w:rFonts w:cs="Calibri"/>
          <w:sz w:val="24"/>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2010)","previouslyFormattedCitation":"&lt;sup&gt;17–19&lt;/sup&gt;"},"properties":{"noteIndex":0},"schema":"https://github.com/citation-style-language/schema/raw/master/csl-citation.json"}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(Ambrose, Paul, &amp; Hausdorff, 2013; Bobb et al., 2017; Kelsey et al., 2010)</w:t>
      </w:r>
      <w:r w:rsidRPr="000377CB">
        <w:rPr>
          <w:rFonts w:cs="Calibri"/>
          <w:sz w:val="24"/>
          <w:szCs w:val="24"/>
        </w:rPr>
        <w:fldChar w:fldCharType="end"/>
      </w:r>
      <w:r w:rsidR="00F26D54">
        <w:rPr>
          <w:rFonts w:cs="Calibri"/>
          <w:sz w:val="24"/>
          <w:szCs w:val="24"/>
        </w:rPr>
        <w:t>.</w:t>
      </w:r>
    </w:p>
    <w:p w14:paraId="617183C1" w14:textId="4CB15BBD" w:rsidR="00B971FF" w:rsidRPr="000377CB" w:rsidRDefault="00B971FF" w:rsidP="002A14D7">
      <w:pPr>
        <w:spacing w:line="480" w:lineRule="auto"/>
        <w:ind w:firstLine="720"/>
        <w:jc w:val="both"/>
        <w:rPr>
          <w:rFonts w:cs="Calibri"/>
          <w:sz w:val="24"/>
          <w:szCs w:val="24"/>
        </w:rPr>
      </w:pPr>
      <w:r w:rsidRPr="000377CB">
        <w:rPr>
          <w:rFonts w:cs="Calibri"/>
          <w:sz w:val="24"/>
          <w:szCs w:val="24"/>
        </w:rPr>
        <w:t>The pathways from anomalous temperature to transport injury are more varied.  Firstly, driving performance deteriorates at higher temperatures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1991)","previouslyFormattedCitation":"&lt;sup&gt;20–23&lt;/sup&gt;"},"properties":{"noteIndex":0},"schema":"https://github.com/citation-style-language/schema/raw/master/csl-citation.json"}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(Daanen, Van De Vliert, &amp; Huang, 2003; Mackie &amp; Hanlon, 1976; Wyon, Wyon, &amp; Norin, 1996; Zlatoper, 1991)</w:t>
      </w:r>
      <w:r w:rsidRPr="000377CB">
        <w:rPr>
          <w:rFonts w:cs="Calibri"/>
          <w:sz w:val="24"/>
          <w:szCs w:val="24"/>
        </w:rPr>
        <w:fldChar w:fldCharType="end"/>
      </w:r>
      <w:r w:rsidR="00070595">
        <w:rPr>
          <w:rFonts w:cs="Calibri"/>
          <w:sz w:val="24"/>
          <w:szCs w:val="24"/>
        </w:rPr>
        <w:t>.</w:t>
      </w:r>
      <w:r w:rsidRPr="000377CB">
        <w:rPr>
          <w:rFonts w:cs="Calibri"/>
          <w:sz w:val="24"/>
          <w:szCs w:val="24"/>
        </w:rPr>
        <w:t xml:space="preserve"> Further, </w:t>
      </w:r>
      <w:r w:rsidRPr="000377CB">
        <w:rPr>
          <w:rFonts w:cs="Calibri"/>
          <w:sz w:val="24"/>
          <w:szCs w:val="24"/>
        </w:rPr>
        <w:lastRenderedPageBreak/>
        <w:t>alcohol consumption increases during warm temperature anomalies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2018)","previouslyFormattedCitation":"&lt;sup&gt;24&lt;/sup&gt;"},"properties":{"noteIndex":0},"schema":"https://github.com/citation-style-language/schema/raw/master/csl-citation.json"}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(Opinium, 2018)</w:t>
      </w:r>
      <w:r w:rsidRPr="000377CB">
        <w:rPr>
          <w:rFonts w:cs="Calibri"/>
          <w:sz w:val="24"/>
          <w:szCs w:val="24"/>
        </w:rPr>
        <w:fldChar w:fldCharType="end"/>
      </w:r>
      <w:r w:rsidR="00070595">
        <w:rPr>
          <w:rFonts w:cs="Calibri"/>
          <w:sz w:val="24"/>
          <w:szCs w:val="24"/>
        </w:rPr>
        <w:t>,</w:t>
      </w:r>
      <w:r w:rsidRPr="000377CB">
        <w:rPr>
          <w:rFonts w:cs="Calibri"/>
          <w:sz w:val="24"/>
          <w:szCs w:val="24"/>
        </w:rPr>
        <w:t xml:space="preserve"> potentially also explaining why teenagers, who are more likely than other age groups to crash while intoxicated</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2012)","previouslyFormattedCitation":"&lt;sup&gt;25&lt;/sup&gt;"},"properties":{"noteIndex":0},"schema":"https://github.com/citation-style-language/schema/raw/master/csl-citation.json"}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(Voas, Torres, Romano, &amp; Lacey, 2012)</w:t>
      </w:r>
      <w:r w:rsidRPr="000377CB">
        <w:rPr>
          <w:rFonts w:cs="Calibri"/>
          <w:sz w:val="24"/>
          <w:szCs w:val="24"/>
        </w:rPr>
        <w:fldChar w:fldCharType="end"/>
      </w:r>
      <w:r w:rsidR="00070595">
        <w:rPr>
          <w:rFonts w:cs="Calibri"/>
          <w:sz w:val="24"/>
          <w:szCs w:val="24"/>
        </w:rPr>
        <w:t>,</w:t>
      </w:r>
      <w:r w:rsidRPr="000377CB">
        <w:rPr>
          <w:rFonts w:cs="Calibri"/>
          <w:sz w:val="24"/>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2016)","previouslyFormattedCitation":"&lt;sup&gt;26–29&lt;/sup&gt;"},"properties":{"noteIndex":0},"schema":"https://github.com/citation-style-language/schema/raw/master/csl-citation.json"}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(Datla, Sahu, Roh, &amp; Sharma, 2013; H.-J. Roh, Datla, &amp; Sharma, 2013; H.-J. Roh, Sahu, Sharma, Datla, &amp; Mehran, 2016; H. J. Roh, Sharma, &amp; Sahu, 2016)</w:t>
      </w:r>
      <w:r w:rsidRPr="000377CB">
        <w:rPr>
          <w:rFonts w:cs="Calibri"/>
          <w:sz w:val="24"/>
          <w:szCs w:val="24"/>
        </w:rPr>
        <w:fldChar w:fldCharType="end"/>
      </w:r>
      <w:r w:rsidR="00070595">
        <w:rPr>
          <w:rFonts w:cs="Calibri"/>
          <w:sz w:val="24"/>
          <w:szCs w:val="24"/>
        </w:rPr>
        <w:t>;</w:t>
      </w:r>
      <w:r w:rsidRPr="000377CB">
        <w:rPr>
          <w:rFonts w:cs="Calibri"/>
          <w:sz w:val="24"/>
          <w:szCs w:val="24"/>
        </w:rPr>
        <w:t xml:space="preserve"> With more people generally outdoors in warmer weather</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2014)","previouslyFormattedCitation":"&lt;sup&gt;30&lt;/sup&gt;"},"properties":{"noteIndex":0},"schema":"https://github.com/citation-style-language/schema/raw/master/csl-citation.json"}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(Graff Zivin &amp; Neidell, 2014)</w:t>
      </w:r>
      <w:r w:rsidRPr="000377CB">
        <w:rPr>
          <w:rFonts w:cs="Calibri"/>
          <w:sz w:val="24"/>
          <w:szCs w:val="24"/>
        </w:rPr>
        <w:fldChar w:fldCharType="end"/>
      </w:r>
      <w:r w:rsidR="00070595">
        <w:rPr>
          <w:rFonts w:cs="Calibri"/>
          <w:sz w:val="24"/>
          <w:szCs w:val="24"/>
        </w:rPr>
        <w:t>,</w:t>
      </w:r>
      <w:r w:rsidRPr="000377CB">
        <w:rPr>
          <w:rFonts w:cs="Calibri"/>
          <w:sz w:val="24"/>
          <w:szCs w:val="24"/>
        </w:rPr>
        <w:t xml:space="preserve"> this could lead to more fatal collisions.</w:t>
      </w:r>
    </w:p>
    <w:p w14:paraId="3DF65A53" w14:textId="22356D97" w:rsidR="00B971FF" w:rsidRPr="000377CB" w:rsidRDefault="00B971FF" w:rsidP="006765FF">
      <w:pPr>
        <w:spacing w:line="480" w:lineRule="auto"/>
        <w:ind w:firstLine="720"/>
        <w:jc w:val="both"/>
        <w:rPr>
          <w:rFonts w:cs="Calibri"/>
          <w:i/>
          <w:color w:val="000000" w:themeColor="text1"/>
          <w:sz w:val="24"/>
          <w:szCs w:val="24"/>
        </w:rPr>
      </w:pPr>
      <w:r w:rsidRPr="000377CB">
        <w:rPr>
          <w:rFonts w:cs="Calibri"/>
          <w:sz w:val="24"/>
          <w:szCs w:val="24"/>
        </w:rP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2003)","previouslyFormattedCitation":"&lt;sup&gt;31,32&lt;/sup&gt;"},"properties":{"noteIndex":0},"schema":"https://github.com/citation-style-language/schema/raw/master/csl-citation.json"}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(Glaeser, Sacerdote, &amp; Scheinkman, 1996; Rotton &amp; Cohn, 2003)</w:t>
      </w:r>
      <w:r w:rsidRPr="000377CB">
        <w:rPr>
          <w:rFonts w:cs="Calibri"/>
          <w:sz w:val="24"/>
          <w:szCs w:val="24"/>
        </w:rPr>
        <w:fldChar w:fldCharType="end"/>
      </w:r>
      <w:r w:rsidR="00070595">
        <w:rPr>
          <w:rFonts w:cs="Calibri"/>
          <w:sz w:val="24"/>
          <w:szCs w:val="24"/>
        </w:rPr>
        <w:t>.</w:t>
      </w:r>
      <w:r w:rsidRPr="000377CB">
        <w:rPr>
          <w:rFonts w:cs="Calibri"/>
          <w:sz w:val="24"/>
          <w:szCs w:val="24"/>
        </w:rPr>
        <w:t xml:space="preserve"> These effects could be compounded by the greater anger levels linked to higher temperatures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1976)","previouslyFormattedCitation":"&lt;sup&gt;33,34&lt;/sup&gt;"},"properties":{"noteIndex":0},"schema":"https://github.com/citation-style-language/schema/raw/master/csl-citation.json"}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(Anderson, 1989; Baron &amp; Bell, 1976)</w:t>
      </w:r>
      <w:r w:rsidRPr="000377CB">
        <w:rPr>
          <w:rFonts w:cs="Calibri"/>
          <w:sz w:val="24"/>
          <w:szCs w:val="24"/>
        </w:rPr>
        <w:fldChar w:fldCharType="end"/>
      </w:r>
      <w:r w:rsidR="00070595">
        <w:rPr>
          <w:rFonts w:cs="Calibri"/>
          <w:sz w:val="24"/>
          <w:szCs w:val="24"/>
        </w:rPr>
        <w:t>.</w:t>
      </w:r>
      <w:r w:rsidRPr="000377CB">
        <w:rPr>
          <w:rFonts w:cs="Calibri"/>
          <w:sz w:val="24"/>
          <w:szCs w:val="24"/>
        </w:rPr>
        <w:t xml:space="preserve"> Regarding intentional self-harm, higher temperature has been hypothesised as associated with higher levels of distress in younger people</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2017)","previouslyFormattedCitation":"&lt;sup&gt;35&lt;/sup&gt;"},"properties":{"noteIndex":0},"schema":"https://github.com/citation-style-language/schema/raw/master/csl-citation.json"}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(Majeed &amp; Lee, 2017)</w:t>
      </w:r>
      <w:r w:rsidRPr="000377CB">
        <w:rPr>
          <w:rFonts w:cs="Calibri"/>
          <w:sz w:val="24"/>
          <w:szCs w:val="24"/>
        </w:rPr>
        <w:fldChar w:fldCharType="end"/>
      </w:r>
      <w:r w:rsidR="00070595">
        <w:rPr>
          <w:rFonts w:cs="Calibri"/>
          <w:sz w:val="24"/>
          <w:szCs w:val="24"/>
        </w:rPr>
        <w:t>.</w:t>
      </w:r>
      <w:r w:rsidRPr="000377CB">
        <w:rPr>
          <w:rFonts w:cs="Calibri"/>
          <w:sz w:val="24"/>
          <w:szCs w:val="24"/>
        </w:rPr>
        <w:t xml:space="preserve"> Nonetheless, links between temperature and mental health requires further investigation</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2018)","previouslyFormattedCitation":"&lt;sup&gt;36&lt;/sup&gt;"},"properties":{"noteIndex":0},"schema":"https://github.com/citation-style-language/schema/raw/master/csl-citation.json"}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(Berry, Waite, Dear, Capon, &amp; Murray, 2018)</w:t>
      </w:r>
      <w:r w:rsidRPr="000377CB">
        <w:rPr>
          <w:rFonts w:cs="Calibri"/>
          <w:sz w:val="24"/>
          <w:szCs w:val="24"/>
        </w:rPr>
        <w:fldChar w:fldCharType="end"/>
      </w:r>
      <w:r w:rsidR="00070595">
        <w:rPr>
          <w:rFonts w:cs="Calibri"/>
          <w:sz w:val="24"/>
          <w:szCs w:val="24"/>
        </w:rPr>
        <w:t>,</w:t>
      </w:r>
      <w:r w:rsidRPr="000377CB">
        <w:rPr>
          <w:rFonts w:cs="Calibri"/>
          <w:sz w:val="24"/>
          <w:szCs w:val="24"/>
        </w:rPr>
        <w:t xml:space="preserve"> including whether the relationship varies by age and sex, as indicated by our results.</w:t>
      </w:r>
    </w:p>
    <w:p w14:paraId="5FF79DE0" w14:textId="55A3FE14" w:rsidR="00B971FF" w:rsidRPr="000377CB" w:rsidRDefault="00B971FF" w:rsidP="006765FF">
      <w:pPr>
        <w:spacing w:line="480" w:lineRule="auto"/>
        <w:ind w:firstLine="720"/>
        <w:jc w:val="both"/>
        <w:rPr>
          <w:rFonts w:cs="Calibri"/>
          <w:sz w:val="24"/>
          <w:szCs w:val="24"/>
        </w:rPr>
      </w:pPr>
      <w:r w:rsidRPr="000377CB">
        <w:rPr>
          <w:rFonts w:cs="Calibri"/>
          <w:sz w:val="24"/>
          <w:szCs w:val="24"/>
        </w:rP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rsidRPr="000377CB">
        <w:rPr>
          <w:rFonts w:cs="Calibri"/>
          <w:sz w:val="24"/>
          <w:szCs w:val="24"/>
        </w:rPr>
        <w:t>stat</w:t>
      </w:r>
      <w:r w:rsidR="000C3F34">
        <w:rPr>
          <w:rFonts w:cs="Calibri"/>
          <w:sz w:val="24"/>
          <w:szCs w:val="24"/>
        </w:rPr>
        <w:t xml:space="preserve">e, </w:t>
      </w:r>
      <w:r w:rsidRPr="000377CB">
        <w:rPr>
          <w:rFonts w:cs="Calibri"/>
          <w:sz w:val="24"/>
          <w:szCs w:val="24"/>
        </w:rPr>
        <w:t>and</w:t>
      </w:r>
      <w:proofErr w:type="gramEnd"/>
      <w:r w:rsidRPr="000377CB">
        <w:rPr>
          <w:rFonts w:cs="Calibri"/>
          <w:sz w:val="24"/>
          <w:szCs w:val="24"/>
        </w:rPr>
        <w:t xml:space="preserve"> is closer to what climate change may bring about than solely examining daily </w:t>
      </w:r>
      <w:r w:rsidRPr="000377CB">
        <w:rPr>
          <w:rFonts w:cs="Calibri"/>
          <w:sz w:val="24"/>
          <w:szCs w:val="24"/>
        </w:rPr>
        <w:lastRenderedPageBreak/>
        <w:t>episodes, or average temperature to which people have adapted. To utilise this metric, we integrated two large disparate national datasets on mortality (US vital statistics) and meteorology (ERA-Interim</w:t>
      </w:r>
      <w:proofErr w:type="gramStart"/>
      <w:r w:rsidRPr="000377CB">
        <w:rPr>
          <w:rFonts w:cs="Calibri"/>
          <w:sz w:val="24"/>
          <w:szCs w:val="24"/>
        </w:rPr>
        <w:t>), and</w:t>
      </w:r>
      <w:proofErr w:type="gramEnd"/>
      <w:r w:rsidRPr="000377CB">
        <w:rPr>
          <w:rFonts w:cs="Calibri"/>
          <w:sz w:val="24"/>
          <w:szCs w:val="24"/>
        </w:rPr>
        <w:t xml:space="preserve">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4D8665F" w14:textId="0CD6287F" w:rsidR="00B971FF" w:rsidRPr="009B0930" w:rsidRDefault="00B971FF" w:rsidP="009B0930">
      <w:pPr>
        <w:spacing w:line="480" w:lineRule="auto"/>
        <w:ind w:firstLine="720"/>
        <w:jc w:val="both"/>
        <w:rPr>
          <w:rFonts w:cs="Calibri"/>
          <w:sz w:val="24"/>
          <w:szCs w:val="24"/>
        </w:rPr>
      </w:pPr>
      <w:r w:rsidRPr="000377CB">
        <w:rPr>
          <w:rFonts w:cs="Calibri"/>
          <w:sz w:val="24"/>
          <w:szCs w:val="24"/>
        </w:rPr>
        <w:t>Our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p>
    <w:p w14:paraId="368CC578" w14:textId="182CAC3D" w:rsidR="006675AE" w:rsidRPr="00127064" w:rsidRDefault="006675AE" w:rsidP="006675AE">
      <w:pPr>
        <w:pStyle w:val="Heading2"/>
      </w:pPr>
      <w:bookmarkStart w:id="24" w:name="_Toc6395717"/>
      <w:r w:rsidRPr="00127064">
        <w:t>References</w:t>
      </w:r>
      <w:bookmarkEnd w:id="8"/>
      <w:bookmarkEnd w:id="24"/>
    </w:p>
    <w:p w14:paraId="2EE99C03" w14:textId="4E52254E" w:rsidR="0001634A" w:rsidRPr="0001634A" w:rsidRDefault="006675AE" w:rsidP="0001634A">
      <w:pPr>
        <w:widowControl w:val="0"/>
        <w:autoSpaceDE w:val="0"/>
        <w:autoSpaceDN w:val="0"/>
        <w:adjustRightInd w:val="0"/>
        <w:spacing w:line="240" w:lineRule="auto"/>
        <w:ind w:left="480" w:hanging="480"/>
        <w:rPr>
          <w:rFonts w:cs="Calibri"/>
          <w:noProof/>
          <w:sz w:val="24"/>
          <w:lang w:val="en-US"/>
        </w:rPr>
      </w:pPr>
      <w:r w:rsidRPr="00736834">
        <w:rPr>
          <w:b/>
          <w:sz w:val="24"/>
          <w:szCs w:val="24"/>
        </w:rPr>
        <w:fldChar w:fldCharType="begin" w:fldLock="1"/>
      </w:r>
      <w:r w:rsidRPr="00736834">
        <w:rPr>
          <w:b/>
          <w:sz w:val="24"/>
          <w:szCs w:val="24"/>
        </w:rPr>
        <w:instrText xml:space="preserve">ADDIN Mendeley Bibliography CSL_BIBLIOGRAPHY </w:instrText>
      </w:r>
      <w:r w:rsidRPr="00736834">
        <w:rPr>
          <w:b/>
          <w:sz w:val="24"/>
          <w:szCs w:val="24"/>
        </w:rPr>
        <w:fldChar w:fldCharType="separate"/>
      </w:r>
      <w:r w:rsidR="0001634A" w:rsidRPr="0001634A">
        <w:rPr>
          <w:rFonts w:cs="Calibri"/>
          <w:noProof/>
          <w:sz w:val="24"/>
          <w:lang w:val="en-US"/>
        </w:rPr>
        <w:t xml:space="preserve">Ambrose, A. F., Paul, G., &amp; Hausdorff, J. M. (2013). Risk factors for falls among older adults: A review of the literature. </w:t>
      </w:r>
      <w:r w:rsidR="0001634A" w:rsidRPr="0001634A">
        <w:rPr>
          <w:rFonts w:cs="Calibri"/>
          <w:i/>
          <w:iCs/>
          <w:noProof/>
          <w:sz w:val="24"/>
          <w:lang w:val="en-US"/>
        </w:rPr>
        <w:t>Maturitas</w:t>
      </w:r>
      <w:r w:rsidR="0001634A" w:rsidRPr="0001634A">
        <w:rPr>
          <w:rFonts w:cs="Calibri"/>
          <w:noProof/>
          <w:sz w:val="24"/>
          <w:lang w:val="en-US"/>
        </w:rPr>
        <w:t>. https://doi.org/10.1016/j.maturitas.2013.02.009</w:t>
      </w:r>
    </w:p>
    <w:p w14:paraId="5312F6D4"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Anderson, C. A. (1989). Temperature and aggression: Ubiquitous effects of heat on occurrence of human violence. </w:t>
      </w:r>
      <w:r w:rsidRPr="0001634A">
        <w:rPr>
          <w:rFonts w:cs="Calibri"/>
          <w:i/>
          <w:iCs/>
          <w:noProof/>
          <w:sz w:val="24"/>
          <w:lang w:val="en-US"/>
        </w:rPr>
        <w:t>Psychological Bulletin</w:t>
      </w:r>
      <w:r w:rsidRPr="0001634A">
        <w:rPr>
          <w:rFonts w:cs="Calibri"/>
          <w:noProof/>
          <w:sz w:val="24"/>
          <w:lang w:val="en-US"/>
        </w:rPr>
        <w:t>. https://doi.org/10.1037/0033-2909.106.1.74</w:t>
      </w:r>
    </w:p>
    <w:p w14:paraId="199417C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Baron, R. A., &amp; Bell, P. A. (1976). Aggression and heat: The influence of ambient temperature, negative affect, and a cooling drink on physical aggression. </w:t>
      </w:r>
      <w:r w:rsidRPr="0001634A">
        <w:rPr>
          <w:rFonts w:cs="Calibri"/>
          <w:i/>
          <w:iCs/>
          <w:noProof/>
          <w:sz w:val="24"/>
          <w:lang w:val="en-US"/>
        </w:rPr>
        <w:t>Journal of Personality and Social Psychology</w:t>
      </w:r>
      <w:r w:rsidRPr="0001634A">
        <w:rPr>
          <w:rFonts w:cs="Calibri"/>
          <w:noProof/>
          <w:sz w:val="24"/>
          <w:lang w:val="en-US"/>
        </w:rPr>
        <w:t>. https://doi.org/10.1037/0022-3514.33.3.245</w:t>
      </w:r>
    </w:p>
    <w:p w14:paraId="616020CD"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Basu, R. (2009). High ambient temperature and mortality: A review of epidemiologic studies from 2001 to 2008. </w:t>
      </w:r>
      <w:r w:rsidRPr="0001634A">
        <w:rPr>
          <w:rFonts w:cs="Calibri"/>
          <w:i/>
          <w:iCs/>
          <w:noProof/>
          <w:sz w:val="24"/>
          <w:lang w:val="en-US"/>
        </w:rPr>
        <w:t>Environmental Health: A Global Access Science Source</w:t>
      </w:r>
      <w:r w:rsidRPr="0001634A">
        <w:rPr>
          <w:rFonts w:cs="Calibri"/>
          <w:noProof/>
          <w:sz w:val="24"/>
          <w:lang w:val="en-US"/>
        </w:rPr>
        <w:t xml:space="preserve">, </w:t>
      </w:r>
      <w:r w:rsidRPr="0001634A">
        <w:rPr>
          <w:rFonts w:cs="Calibri"/>
          <w:i/>
          <w:iCs/>
          <w:noProof/>
          <w:sz w:val="24"/>
          <w:lang w:val="en-US"/>
        </w:rPr>
        <w:t>8</w:t>
      </w:r>
      <w:r w:rsidRPr="0001634A">
        <w:rPr>
          <w:rFonts w:cs="Calibri"/>
          <w:noProof/>
          <w:sz w:val="24"/>
          <w:lang w:val="en-US"/>
        </w:rPr>
        <w:t>(1), 40. https://doi.org/10.1186/1476-069X-8-40</w:t>
      </w:r>
    </w:p>
    <w:p w14:paraId="3FD7429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Berry, H. L., Waite, T. D., Dear, K. B. G., Capon, A. G., &amp; Murray, V. (2018). The case for </w:t>
      </w:r>
      <w:r w:rsidRPr="0001634A">
        <w:rPr>
          <w:rFonts w:cs="Calibri"/>
          <w:noProof/>
          <w:sz w:val="24"/>
          <w:lang w:val="en-US"/>
        </w:rPr>
        <w:lastRenderedPageBreak/>
        <w:t xml:space="preserve">systems thinking about climate change and mental health. </w:t>
      </w:r>
      <w:r w:rsidRPr="0001634A">
        <w:rPr>
          <w:rFonts w:cs="Calibri"/>
          <w:i/>
          <w:iCs/>
          <w:noProof/>
          <w:sz w:val="24"/>
          <w:lang w:val="en-US"/>
        </w:rPr>
        <w:t>Nature Climate Change</w:t>
      </w:r>
      <w:r w:rsidRPr="0001634A">
        <w:rPr>
          <w:rFonts w:cs="Calibri"/>
          <w:noProof/>
          <w:sz w:val="24"/>
          <w:lang w:val="en-US"/>
        </w:rPr>
        <w:t>. https://doi.org/10.1038/s41558-018-0102-4</w:t>
      </w:r>
    </w:p>
    <w:p w14:paraId="4021BCA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Besag, J. (1974). Spatial interaction and the statistical snalysis of lattice systems. </w:t>
      </w:r>
      <w:r w:rsidRPr="0001634A">
        <w:rPr>
          <w:rFonts w:cs="Calibri"/>
          <w:i/>
          <w:iCs/>
          <w:noProof/>
          <w:sz w:val="24"/>
          <w:lang w:val="en-US"/>
        </w:rPr>
        <w:t>Journal of the Royal Statistical Society: Series B (Statistical Methodology)</w:t>
      </w:r>
      <w:r w:rsidRPr="0001634A">
        <w:rPr>
          <w:rFonts w:cs="Calibri"/>
          <w:noProof/>
          <w:sz w:val="24"/>
          <w:lang w:val="en-US"/>
        </w:rPr>
        <w:t>. https://doi.org/10.2307/2984812</w:t>
      </w:r>
    </w:p>
    <w:p w14:paraId="694FDFF5"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01634A">
        <w:rPr>
          <w:rFonts w:cs="Calibri"/>
          <w:i/>
          <w:iCs/>
          <w:noProof/>
          <w:sz w:val="24"/>
          <w:lang w:val="en-US"/>
        </w:rPr>
        <w:t>American Journal of Epidemiology</w:t>
      </w:r>
      <w:r w:rsidRPr="0001634A">
        <w:rPr>
          <w:rFonts w:cs="Calibri"/>
          <w:noProof/>
          <w:sz w:val="24"/>
          <w:lang w:val="en-US"/>
        </w:rPr>
        <w:t xml:space="preserve">, </w:t>
      </w:r>
      <w:r w:rsidRPr="0001634A">
        <w:rPr>
          <w:rFonts w:cs="Calibri"/>
          <w:i/>
          <w:iCs/>
          <w:noProof/>
          <w:sz w:val="24"/>
          <w:lang w:val="en-US"/>
        </w:rPr>
        <w:t>185</w:t>
      </w:r>
      <w:r w:rsidRPr="0001634A">
        <w:rPr>
          <w:rFonts w:cs="Calibri"/>
          <w:noProof/>
          <w:sz w:val="24"/>
          <w:lang w:val="en-US"/>
        </w:rPr>
        <w:t>(4), 283–294. https://doi.org/10.1093/aje/kww219</w:t>
      </w:r>
    </w:p>
    <w:p w14:paraId="384FB32A"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Burke, M., González, F., Baylis, P., Heft-Neal, S., Baysan, C., Basu, S., &amp; Hsiang, S. (2018). Higher temperatures increase suicide rates in the United States and Mexico. </w:t>
      </w:r>
      <w:r w:rsidRPr="0001634A">
        <w:rPr>
          <w:rFonts w:cs="Calibri"/>
          <w:i/>
          <w:iCs/>
          <w:noProof/>
          <w:sz w:val="24"/>
          <w:lang w:val="en-US"/>
        </w:rPr>
        <w:t>Nature Climate Change</w:t>
      </w:r>
      <w:r w:rsidRPr="0001634A">
        <w:rPr>
          <w:rFonts w:cs="Calibri"/>
          <w:noProof/>
          <w:sz w:val="24"/>
          <w:lang w:val="en-US"/>
        </w:rPr>
        <w:t>. https://doi.org/10.1038/s41558-018-0222-x</w:t>
      </w:r>
    </w:p>
    <w:p w14:paraId="64992115"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Daanen, H. A. M., Van De Vliert, E., &amp; Huang, X. (2003). Driving performance in cold, warm, and thermoneutral environments. </w:t>
      </w:r>
      <w:r w:rsidRPr="0001634A">
        <w:rPr>
          <w:rFonts w:cs="Calibri"/>
          <w:i/>
          <w:iCs/>
          <w:noProof/>
          <w:sz w:val="24"/>
          <w:lang w:val="en-US"/>
        </w:rPr>
        <w:t>Applied Ergonomics</w:t>
      </w:r>
      <w:r w:rsidRPr="0001634A">
        <w:rPr>
          <w:rFonts w:cs="Calibri"/>
          <w:noProof/>
          <w:sz w:val="24"/>
          <w:lang w:val="en-US"/>
        </w:rPr>
        <w:t>. https://doi.org/10.1016/S0003-6870(03)00055-3</w:t>
      </w:r>
    </w:p>
    <w:p w14:paraId="6196FFC3"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Datla, S., Sahu, P., Roh, H.-J., &amp; Sharma, S. (2013). A comprehensive analysis of the association of highway traffic with winter weather conditions. </w:t>
      </w:r>
      <w:r w:rsidRPr="0001634A">
        <w:rPr>
          <w:rFonts w:cs="Calibri"/>
          <w:i/>
          <w:iCs/>
          <w:noProof/>
          <w:sz w:val="24"/>
          <w:lang w:val="en-US"/>
        </w:rPr>
        <w:t>Procedia - Social and Behavioral Sciences</w:t>
      </w:r>
      <w:r w:rsidRPr="0001634A">
        <w:rPr>
          <w:rFonts w:cs="Calibri"/>
          <w:noProof/>
          <w:sz w:val="24"/>
          <w:lang w:val="en-US"/>
        </w:rPr>
        <w:t>. https://doi.org/10.1016/j.sbspro.2013.11.143</w:t>
      </w:r>
    </w:p>
    <w:p w14:paraId="78DED39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Dee, D. P., Uppala, S. M., Simmons, A. J., Berrisford, P., Poli, P., Kobayashi, S., … Vitart, F. (2011). The ERA-Interim reanalysis: configuration and performance of the data assimilation system. </w:t>
      </w:r>
      <w:r w:rsidRPr="0001634A">
        <w:rPr>
          <w:rFonts w:cs="Calibri"/>
          <w:i/>
          <w:iCs/>
          <w:noProof/>
          <w:sz w:val="24"/>
          <w:lang w:val="en-US"/>
        </w:rPr>
        <w:t>Quarterly Journal of the Royal Meteorological Society</w:t>
      </w:r>
      <w:r w:rsidRPr="0001634A">
        <w:rPr>
          <w:rFonts w:cs="Calibri"/>
          <w:noProof/>
          <w:sz w:val="24"/>
          <w:lang w:val="en-US"/>
        </w:rPr>
        <w:t xml:space="preserve">, </w:t>
      </w:r>
      <w:r w:rsidRPr="0001634A">
        <w:rPr>
          <w:rFonts w:cs="Calibri"/>
          <w:i/>
          <w:iCs/>
          <w:noProof/>
          <w:sz w:val="24"/>
          <w:lang w:val="en-US"/>
        </w:rPr>
        <w:t>137</w:t>
      </w:r>
      <w:r w:rsidRPr="0001634A">
        <w:rPr>
          <w:rFonts w:cs="Calibri"/>
          <w:noProof/>
          <w:sz w:val="24"/>
          <w:lang w:val="en-US"/>
        </w:rPr>
        <w:t>(656), 553–597. https://doi.org/10.1002/qj.828</w:t>
      </w:r>
    </w:p>
    <w:p w14:paraId="17679249"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Gasparrini, A., Guo, Y., Hashizume, M., Lavigne, E., Zanobetti, A., Schwartz, J., … Armstrong, B. (2015). Mortality risk attributable to high and low ambient temperature: A multicountry observational study. </w:t>
      </w:r>
      <w:r w:rsidRPr="0001634A">
        <w:rPr>
          <w:rFonts w:cs="Calibri"/>
          <w:i/>
          <w:iCs/>
          <w:noProof/>
          <w:sz w:val="24"/>
          <w:lang w:val="en-US"/>
        </w:rPr>
        <w:t>The Lancet</w:t>
      </w:r>
      <w:r w:rsidRPr="0001634A">
        <w:rPr>
          <w:rFonts w:cs="Calibri"/>
          <w:noProof/>
          <w:sz w:val="24"/>
          <w:lang w:val="en-US"/>
        </w:rPr>
        <w:t xml:space="preserve">, </w:t>
      </w:r>
      <w:r w:rsidRPr="0001634A">
        <w:rPr>
          <w:rFonts w:cs="Calibri"/>
          <w:i/>
          <w:iCs/>
          <w:noProof/>
          <w:sz w:val="24"/>
          <w:lang w:val="en-US"/>
        </w:rPr>
        <w:t>386</w:t>
      </w:r>
      <w:r w:rsidRPr="0001634A">
        <w:rPr>
          <w:rFonts w:cs="Calibri"/>
          <w:noProof/>
          <w:sz w:val="24"/>
          <w:lang w:val="en-US"/>
        </w:rPr>
        <w:t>(9991), 369–375. https://doi.org/10.1016/S0140-6736(14)62114-0</w:t>
      </w:r>
    </w:p>
    <w:p w14:paraId="7B63B2F0"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Gasparrini, A., Guo, Y., Sera, F., Vicedo-Cabrera, A. M., Huber, V., Tong, S., … Armstrong, B. (2017). Projections of temperature-related excess mortality under climate change scenarios. </w:t>
      </w:r>
      <w:r w:rsidRPr="0001634A">
        <w:rPr>
          <w:rFonts w:cs="Calibri"/>
          <w:i/>
          <w:iCs/>
          <w:noProof/>
          <w:sz w:val="24"/>
          <w:lang w:val="en-US"/>
        </w:rPr>
        <w:t>The Lancet Planetary Health</w:t>
      </w:r>
      <w:r w:rsidRPr="0001634A">
        <w:rPr>
          <w:rFonts w:cs="Calibri"/>
          <w:noProof/>
          <w:sz w:val="24"/>
          <w:lang w:val="en-US"/>
        </w:rPr>
        <w:t>. https://doi.org/10.1016/S2542-5196(17)30156-0</w:t>
      </w:r>
    </w:p>
    <w:p w14:paraId="3AD498C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Glaeser, E. L., Sacerdote, B., &amp; Scheinkman, J. A. (1996). Crime and social interactions. </w:t>
      </w:r>
      <w:r w:rsidRPr="0001634A">
        <w:rPr>
          <w:rFonts w:cs="Calibri"/>
          <w:i/>
          <w:iCs/>
          <w:noProof/>
          <w:sz w:val="24"/>
          <w:lang w:val="en-US"/>
        </w:rPr>
        <w:t>The Quarterly Journal of Economics</w:t>
      </w:r>
      <w:r w:rsidRPr="0001634A">
        <w:rPr>
          <w:rFonts w:cs="Calibri"/>
          <w:noProof/>
          <w:sz w:val="24"/>
          <w:lang w:val="en-US"/>
        </w:rPr>
        <w:t>. https://doi.org/10.2307/2946686</w:t>
      </w:r>
    </w:p>
    <w:p w14:paraId="08F5B9E0"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Graff Zivin, J., &amp; Neidell, M. (2014). Temperature and the allocation of time: Implications for climate change. </w:t>
      </w:r>
      <w:r w:rsidRPr="0001634A">
        <w:rPr>
          <w:rFonts w:cs="Calibri"/>
          <w:i/>
          <w:iCs/>
          <w:noProof/>
          <w:sz w:val="24"/>
          <w:lang w:val="en-US"/>
        </w:rPr>
        <w:t>Journal of Labor Economics</w:t>
      </w:r>
      <w:r w:rsidRPr="0001634A">
        <w:rPr>
          <w:rFonts w:cs="Calibri"/>
          <w:noProof/>
          <w:sz w:val="24"/>
          <w:lang w:val="en-US"/>
        </w:rPr>
        <w:t>. https://doi.org/10.1086/671766</w:t>
      </w:r>
    </w:p>
    <w:p w14:paraId="55E886F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Haines, A., &amp; Ebi, K. (2019). The imperative for climate action to protect health. </w:t>
      </w:r>
      <w:r w:rsidRPr="0001634A">
        <w:rPr>
          <w:rFonts w:cs="Calibri"/>
          <w:i/>
          <w:iCs/>
          <w:noProof/>
          <w:sz w:val="24"/>
          <w:lang w:val="en-US"/>
        </w:rPr>
        <w:t>New England Journal of Medicine</w:t>
      </w:r>
      <w:r w:rsidRPr="0001634A">
        <w:rPr>
          <w:rFonts w:cs="Calibri"/>
          <w:noProof/>
          <w:sz w:val="24"/>
          <w:lang w:val="en-US"/>
        </w:rPr>
        <w:t>, (380), 263–273.</w:t>
      </w:r>
    </w:p>
    <w:p w14:paraId="548E7B3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Huang, C., Barnett, A. G., Wang, X., Vaneckova, P., Fitzgerald, G., &amp; Tong, S. (2011). Projecting future heat-related mortality under climate change scenarios: A systematic review. </w:t>
      </w:r>
      <w:r w:rsidRPr="0001634A">
        <w:rPr>
          <w:rFonts w:cs="Calibri"/>
          <w:i/>
          <w:iCs/>
          <w:noProof/>
          <w:sz w:val="24"/>
          <w:lang w:val="en-US"/>
        </w:rPr>
        <w:t>Environmental Health Perspectives</w:t>
      </w:r>
      <w:r w:rsidRPr="0001634A">
        <w:rPr>
          <w:rFonts w:cs="Calibri"/>
          <w:noProof/>
          <w:sz w:val="24"/>
          <w:lang w:val="en-US"/>
        </w:rPr>
        <w:t>. https://doi.org/10.1289/ehp.1103456</w:t>
      </w:r>
    </w:p>
    <w:p w14:paraId="791A8DE7"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lastRenderedPageBreak/>
        <w:t>IPCC. (2018). IPCC special report on the impacts of global warming of 1.5 °C - Summary for policy makers, (October 2018). Retrieved from http://www.ipcc.ch/report/sr15/</w:t>
      </w:r>
    </w:p>
    <w:p w14:paraId="0AC2C05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01634A">
        <w:rPr>
          <w:rFonts w:cs="Calibri"/>
          <w:i/>
          <w:iCs/>
          <w:noProof/>
          <w:sz w:val="24"/>
          <w:lang w:val="en-US"/>
        </w:rPr>
        <w:t>Journal of the American Geriatrics Society</w:t>
      </w:r>
      <w:r w:rsidRPr="0001634A">
        <w:rPr>
          <w:rFonts w:cs="Calibri"/>
          <w:noProof/>
          <w:sz w:val="24"/>
          <w:lang w:val="en-US"/>
        </w:rPr>
        <w:t>. https://doi.org/10.1111/j.1532-5415.2010.03062.x</w:t>
      </w:r>
    </w:p>
    <w:p w14:paraId="6C59B95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01634A">
        <w:rPr>
          <w:rFonts w:cs="Calibri"/>
          <w:i/>
          <w:iCs/>
          <w:noProof/>
          <w:sz w:val="24"/>
          <w:lang w:val="en-US"/>
        </w:rPr>
        <w:t>The Lancet</w:t>
      </w:r>
      <w:r w:rsidRPr="0001634A">
        <w:rPr>
          <w:rFonts w:cs="Calibri"/>
          <w:noProof/>
          <w:sz w:val="24"/>
          <w:lang w:val="en-US"/>
        </w:rPr>
        <w:t>. https://doi.org/10.1016/S0140-6736(12)61728-0</w:t>
      </w:r>
    </w:p>
    <w:p w14:paraId="49277853"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Mackie, R. R., &amp; Hanlon, J. F. . O. (1976). A study of the combined effects of extented driving and heat stress on driver arousal and performance. In </w:t>
      </w:r>
      <w:r w:rsidRPr="0001634A">
        <w:rPr>
          <w:rFonts w:cs="Calibri"/>
          <w:i/>
          <w:iCs/>
          <w:noProof/>
          <w:sz w:val="24"/>
          <w:lang w:val="en-US"/>
        </w:rPr>
        <w:t>Symposium on relationships among theory, physiological correlates, and operational performance</w:t>
      </w:r>
      <w:r w:rsidRPr="0001634A">
        <w:rPr>
          <w:rFonts w:cs="Calibri"/>
          <w:noProof/>
          <w:sz w:val="24"/>
          <w:lang w:val="en-US"/>
        </w:rPr>
        <w:t>. https://doi.org/10.1007/978-1-4684-2529-1_25</w:t>
      </w:r>
    </w:p>
    <w:p w14:paraId="0A3FD39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Majeed, H., &amp; Lee, J. (2017). The impact of climate change on youth depression and mental health. </w:t>
      </w:r>
      <w:r w:rsidRPr="0001634A">
        <w:rPr>
          <w:rFonts w:cs="Calibri"/>
          <w:i/>
          <w:iCs/>
          <w:noProof/>
          <w:sz w:val="24"/>
          <w:lang w:val="en-US"/>
        </w:rPr>
        <w:t>The Lancet Planetary Health</w:t>
      </w:r>
      <w:r w:rsidRPr="0001634A">
        <w:rPr>
          <w:rFonts w:cs="Calibri"/>
          <w:noProof/>
          <w:sz w:val="24"/>
          <w:lang w:val="en-US"/>
        </w:rPr>
        <w:t xml:space="preserve">, </w:t>
      </w:r>
      <w:r w:rsidRPr="0001634A">
        <w:rPr>
          <w:rFonts w:cs="Calibri"/>
          <w:i/>
          <w:iCs/>
          <w:noProof/>
          <w:sz w:val="24"/>
          <w:lang w:val="en-US"/>
        </w:rPr>
        <w:t>1</w:t>
      </w:r>
      <w:r w:rsidRPr="0001634A">
        <w:rPr>
          <w:rFonts w:cs="Calibri"/>
          <w:noProof/>
          <w:sz w:val="24"/>
          <w:lang w:val="en-US"/>
        </w:rPr>
        <w:t>(3), e94–e95. https://doi.org/10.1016/S2542-5196(17)30045-1</w:t>
      </w:r>
    </w:p>
    <w:p w14:paraId="4DA5B7C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McMichael, A. J., Woodruff, R. E., &amp; Hales, S. (2006). Climate change and human health: Present and future risks. </w:t>
      </w:r>
      <w:r w:rsidRPr="0001634A">
        <w:rPr>
          <w:rFonts w:cs="Calibri"/>
          <w:i/>
          <w:iCs/>
          <w:noProof/>
          <w:sz w:val="24"/>
          <w:lang w:val="en-US"/>
        </w:rPr>
        <w:t>Lancet</w:t>
      </w:r>
      <w:r w:rsidRPr="0001634A">
        <w:rPr>
          <w:rFonts w:cs="Calibri"/>
          <w:noProof/>
          <w:sz w:val="24"/>
          <w:lang w:val="en-US"/>
        </w:rPr>
        <w:t>. https://doi.org/10.1016/S0140-6736(06)68079-3</w:t>
      </w:r>
    </w:p>
    <w:p w14:paraId="6988184B"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Opinium. (2018). Brits drink more alcohol in warmer weather. Retrieved January 10, 2019, from https://www.opinium.co.uk/brits-drink-more-alcohol-in-warmer-weather/</w:t>
      </w:r>
    </w:p>
    <w:p w14:paraId="2518EEA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Orru, H., &amp; Åström, D. O. (2017). Increases in external cause mortality due to high and low temperatures: evidence from northeastern Europe. </w:t>
      </w:r>
      <w:r w:rsidRPr="0001634A">
        <w:rPr>
          <w:rFonts w:cs="Calibri"/>
          <w:i/>
          <w:iCs/>
          <w:noProof/>
          <w:sz w:val="24"/>
          <w:lang w:val="en-US"/>
        </w:rPr>
        <w:t>International Journal of Biometeorology</w:t>
      </w:r>
      <w:r w:rsidRPr="0001634A">
        <w:rPr>
          <w:rFonts w:cs="Calibri"/>
          <w:noProof/>
          <w:sz w:val="24"/>
          <w:lang w:val="en-US"/>
        </w:rPr>
        <w:t>. https://doi.org/10.1007/s00484-016-1270-4</w:t>
      </w:r>
    </w:p>
    <w:p w14:paraId="48877A3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Parks, R. M., Bennett, J. E., Foreman, K. J., Toumi, R., &amp; Ezzati, M. (2018). National and regional seasonal dynamics of all-cause and cause-specific mortality in the USA from 1980 to 2016. </w:t>
      </w:r>
      <w:r w:rsidRPr="0001634A">
        <w:rPr>
          <w:rFonts w:cs="Calibri"/>
          <w:i/>
          <w:iCs/>
          <w:noProof/>
          <w:sz w:val="24"/>
          <w:lang w:val="en-US"/>
        </w:rPr>
        <w:t>ELife</w:t>
      </w:r>
      <w:r w:rsidRPr="0001634A">
        <w:rPr>
          <w:rFonts w:cs="Calibri"/>
          <w:noProof/>
          <w:sz w:val="24"/>
          <w:lang w:val="en-US"/>
        </w:rPr>
        <w:t xml:space="preserve">, </w:t>
      </w:r>
      <w:r w:rsidRPr="0001634A">
        <w:rPr>
          <w:rFonts w:cs="Calibri"/>
          <w:i/>
          <w:iCs/>
          <w:noProof/>
          <w:sz w:val="24"/>
          <w:lang w:val="en-US"/>
        </w:rPr>
        <w:t>7</w:t>
      </w:r>
      <w:r w:rsidRPr="0001634A">
        <w:rPr>
          <w:rFonts w:cs="Calibri"/>
          <w:noProof/>
          <w:sz w:val="24"/>
          <w:lang w:val="en-US"/>
        </w:rPr>
        <w:t>. https://doi.org/10.7554/eLife.35500</w:t>
      </w:r>
    </w:p>
    <w:p w14:paraId="1068871F"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Rau, R. (2004). Seasonality in human mortality. A demographic approach. </w:t>
      </w:r>
      <w:r w:rsidRPr="0001634A">
        <w:rPr>
          <w:rFonts w:cs="Calibri"/>
          <w:i/>
          <w:iCs/>
          <w:noProof/>
          <w:sz w:val="24"/>
          <w:lang w:val="en-US"/>
        </w:rPr>
        <w:t>Wirtschafts- Und Sozialwissenschaftlichen Fakultät</w:t>
      </w:r>
      <w:r w:rsidRPr="0001634A">
        <w:rPr>
          <w:rFonts w:cs="Calibri"/>
          <w:noProof/>
          <w:sz w:val="24"/>
          <w:lang w:val="en-US"/>
        </w:rPr>
        <w:t xml:space="preserve">, </w:t>
      </w:r>
      <w:r w:rsidRPr="0001634A">
        <w:rPr>
          <w:rFonts w:cs="Calibri"/>
          <w:i/>
          <w:iCs/>
          <w:noProof/>
          <w:sz w:val="24"/>
          <w:lang w:val="en-US"/>
        </w:rPr>
        <w:t>PhD</w:t>
      </w:r>
      <w:r w:rsidRPr="0001634A">
        <w:rPr>
          <w:rFonts w:cs="Calibri"/>
          <w:noProof/>
          <w:sz w:val="24"/>
          <w:lang w:val="en-US"/>
        </w:rPr>
        <w:t>, 361. https://doi.org/10.1007/978-3-540-44902-7</w:t>
      </w:r>
    </w:p>
    <w:p w14:paraId="15145C6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Rey, G., Jougla, E., Fouillet, A., Pavillon, G., Bessemoulin, P., Frayssinet, P., … Hémon, D. (2007). The impact of major heat waves on all-cause and cause-specific mortality in France from 1971 to 2003. </w:t>
      </w:r>
      <w:r w:rsidRPr="0001634A">
        <w:rPr>
          <w:rFonts w:cs="Calibri"/>
          <w:i/>
          <w:iCs/>
          <w:noProof/>
          <w:sz w:val="24"/>
          <w:lang w:val="en-US"/>
        </w:rPr>
        <w:t>International Archives of Occupational and Environmental Health</w:t>
      </w:r>
      <w:r w:rsidRPr="0001634A">
        <w:rPr>
          <w:rFonts w:cs="Calibri"/>
          <w:noProof/>
          <w:sz w:val="24"/>
          <w:lang w:val="en-US"/>
        </w:rPr>
        <w:t>. https://doi.org/10.1007/s00420-007-0173-4</w:t>
      </w:r>
    </w:p>
    <w:p w14:paraId="49296801"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Roh, H.-J., Datla, S., &amp; Sharma, S. (2013). Effect of snow, temperature and their interaction on highway truck traffic. </w:t>
      </w:r>
      <w:r w:rsidRPr="0001634A">
        <w:rPr>
          <w:rFonts w:cs="Calibri"/>
          <w:i/>
          <w:iCs/>
          <w:noProof/>
          <w:sz w:val="24"/>
          <w:lang w:val="en-US"/>
        </w:rPr>
        <w:t>J. Transport. Techn.</w:t>
      </w:r>
      <w:r w:rsidRPr="0001634A">
        <w:rPr>
          <w:rFonts w:cs="Calibri"/>
          <w:noProof/>
          <w:sz w:val="24"/>
          <w:lang w:val="en-US"/>
        </w:rPr>
        <w:t xml:space="preserve"> https://doi.org/10.4236/jtts.2013.31003</w:t>
      </w:r>
    </w:p>
    <w:p w14:paraId="5487DBF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Roh, H.-J., Sahu, P. K., Sharma, S., Datla, S., &amp; Mehran, B. (2016). Statistical investigations of snowfall and temperature interaction with passenger car and truck traffic on primary highways in Canada. </w:t>
      </w:r>
      <w:r w:rsidRPr="0001634A">
        <w:rPr>
          <w:rFonts w:cs="Calibri"/>
          <w:i/>
          <w:iCs/>
          <w:noProof/>
          <w:sz w:val="24"/>
          <w:lang w:val="en-US"/>
        </w:rPr>
        <w:t>Journal of Cold Regions Engineering</w:t>
      </w:r>
      <w:r w:rsidRPr="0001634A">
        <w:rPr>
          <w:rFonts w:cs="Calibri"/>
          <w:noProof/>
          <w:sz w:val="24"/>
          <w:lang w:val="en-US"/>
        </w:rPr>
        <w:t xml:space="preserve">. </w:t>
      </w:r>
      <w:r w:rsidRPr="0001634A">
        <w:rPr>
          <w:rFonts w:cs="Calibri"/>
          <w:noProof/>
          <w:sz w:val="24"/>
          <w:lang w:val="en-US"/>
        </w:rPr>
        <w:lastRenderedPageBreak/>
        <w:t>https://doi.org/10.1061/(ASCE)CR.1943-5495.0000099</w:t>
      </w:r>
    </w:p>
    <w:p w14:paraId="7B0F226B"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Roh, H. J., Sharma, S., &amp; Sahu, P. K. (2016). Modeling snow and cold effects for classified highway traffic volumes. </w:t>
      </w:r>
      <w:r w:rsidRPr="0001634A">
        <w:rPr>
          <w:rFonts w:cs="Calibri"/>
          <w:i/>
          <w:iCs/>
          <w:noProof/>
          <w:sz w:val="24"/>
          <w:lang w:val="en-US"/>
        </w:rPr>
        <w:t>KSCE Journal of Civil Engineering</w:t>
      </w:r>
      <w:r w:rsidRPr="0001634A">
        <w:rPr>
          <w:rFonts w:cs="Calibri"/>
          <w:noProof/>
          <w:sz w:val="24"/>
          <w:lang w:val="en-US"/>
        </w:rPr>
        <w:t>. https://doi.org/10.1007/s12205-015-0236-0</w:t>
      </w:r>
    </w:p>
    <w:p w14:paraId="0EA854D7"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Rotton, J., &amp; Cohn, E. G. (2003). Global warming and U.S. crime rates: An application of routine activity theory. </w:t>
      </w:r>
      <w:r w:rsidRPr="0001634A">
        <w:rPr>
          <w:rFonts w:cs="Calibri"/>
          <w:i/>
          <w:iCs/>
          <w:noProof/>
          <w:sz w:val="24"/>
          <w:lang w:val="en-US"/>
        </w:rPr>
        <w:t>Environment and Behavior</w:t>
      </w:r>
      <w:r w:rsidRPr="0001634A">
        <w:rPr>
          <w:rFonts w:cs="Calibri"/>
          <w:noProof/>
          <w:sz w:val="24"/>
          <w:lang w:val="en-US"/>
        </w:rPr>
        <w:t>. https://doi.org/10.1177/0013916503255565</w:t>
      </w:r>
    </w:p>
    <w:p w14:paraId="6ACB7A3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Rue, H., &amp; Held, L. (2005). </w:t>
      </w:r>
      <w:r w:rsidRPr="0001634A">
        <w:rPr>
          <w:rFonts w:cs="Calibri"/>
          <w:i/>
          <w:iCs/>
          <w:noProof/>
          <w:sz w:val="24"/>
          <w:lang w:val="en-US"/>
        </w:rPr>
        <w:t>Gaussian Markov random fields. Theory and applications</w:t>
      </w:r>
      <w:r w:rsidRPr="0001634A">
        <w:rPr>
          <w:rFonts w:cs="Calibri"/>
          <w:noProof/>
          <w:sz w:val="24"/>
          <w:lang w:val="en-US"/>
        </w:rPr>
        <w:t xml:space="preserve">. </w:t>
      </w:r>
      <w:r w:rsidRPr="0001634A">
        <w:rPr>
          <w:rFonts w:cs="Calibri"/>
          <w:i/>
          <w:iCs/>
          <w:noProof/>
          <w:sz w:val="24"/>
          <w:lang w:val="en-US"/>
        </w:rPr>
        <w:t>Chapman &amp; Hall</w:t>
      </w:r>
      <w:r w:rsidRPr="0001634A">
        <w:rPr>
          <w:rFonts w:cs="Calibri"/>
          <w:noProof/>
          <w:sz w:val="24"/>
          <w:lang w:val="en-US"/>
        </w:rPr>
        <w:t>. https://doi.org/10.1007/s00184-007-0162-3</w:t>
      </w:r>
    </w:p>
    <w:p w14:paraId="1B1CA670"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Rue, H., Martino, S., &amp; Chopin, N. (2009). Approximate Bayesian inference for latent Gaussian models by using integrated nested Laplace approximations. </w:t>
      </w:r>
      <w:r w:rsidRPr="0001634A">
        <w:rPr>
          <w:rFonts w:cs="Calibri"/>
          <w:i/>
          <w:iCs/>
          <w:noProof/>
          <w:sz w:val="24"/>
          <w:lang w:val="en-US"/>
        </w:rPr>
        <w:t>Journal of the Royal Statistical Society. Series B: Statistical Methodology</w:t>
      </w:r>
      <w:r w:rsidRPr="0001634A">
        <w:rPr>
          <w:rFonts w:cs="Calibri"/>
          <w:noProof/>
          <w:sz w:val="24"/>
          <w:lang w:val="en-US"/>
        </w:rPr>
        <w:t>. https://doi.org/10.1111/j.1467-9868.2008.00700.x</w:t>
      </w:r>
    </w:p>
    <w:p w14:paraId="3529E65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Shi, L., Kloog, I., Zanobetti, A., Liu, P., &amp; Schwartz, J. D. (2015). Impacts of temperature and its variability on mortality in New England. </w:t>
      </w:r>
      <w:r w:rsidRPr="0001634A">
        <w:rPr>
          <w:rFonts w:cs="Calibri"/>
          <w:i/>
          <w:iCs/>
          <w:noProof/>
          <w:sz w:val="24"/>
          <w:lang w:val="en-US"/>
        </w:rPr>
        <w:t>Nature Climate Change</w:t>
      </w:r>
      <w:r w:rsidRPr="0001634A">
        <w:rPr>
          <w:rFonts w:cs="Calibri"/>
          <w:noProof/>
          <w:sz w:val="24"/>
          <w:lang w:val="en-US"/>
        </w:rPr>
        <w:t xml:space="preserve">, </w:t>
      </w:r>
      <w:r w:rsidRPr="0001634A">
        <w:rPr>
          <w:rFonts w:cs="Calibri"/>
          <w:i/>
          <w:iCs/>
          <w:noProof/>
          <w:sz w:val="24"/>
          <w:lang w:val="en-US"/>
        </w:rPr>
        <w:t>5</w:t>
      </w:r>
      <w:r w:rsidRPr="0001634A">
        <w:rPr>
          <w:rFonts w:cs="Calibri"/>
          <w:noProof/>
          <w:sz w:val="24"/>
          <w:lang w:val="en-US"/>
        </w:rPr>
        <w:t>(11), 988–991. https://doi.org/10.1038/nclimate2704</w:t>
      </w:r>
    </w:p>
    <w:p w14:paraId="23764E4E"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Smith, K. R., Woodward, A., Campbell-Lendrum, D., Chadee, D. D., Honda, Y., Liu, Q., … Rocklov, J. (2015). Human health: Impacts, adaptation, and co-benefits. In </w:t>
      </w:r>
      <w:r w:rsidRPr="0001634A">
        <w:rPr>
          <w:rFonts w:cs="Calibri"/>
          <w:i/>
          <w:iCs/>
          <w:noProof/>
          <w:sz w:val="24"/>
          <w:lang w:val="en-US"/>
        </w:rPr>
        <w:t>Climate Change 2014 Impacts, Adaptation and Vulnerability: Part A: Global and Sectoral Aspects</w:t>
      </w:r>
      <w:r w:rsidRPr="0001634A">
        <w:rPr>
          <w:rFonts w:cs="Calibri"/>
          <w:noProof/>
          <w:sz w:val="24"/>
          <w:lang w:val="en-US"/>
        </w:rPr>
        <w:t>. https://doi.org/10.1017/CBO9781107415379.016</w:t>
      </w:r>
    </w:p>
    <w:p w14:paraId="0CA6D0BE"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Voas, R. B., Torres, P., Romano, E., &amp; Lacey, J. H. (2012). Alcohol-related risk of driver fatalities: An update using 2007 data. </w:t>
      </w:r>
      <w:r w:rsidRPr="0001634A">
        <w:rPr>
          <w:rFonts w:cs="Calibri"/>
          <w:i/>
          <w:iCs/>
          <w:noProof/>
          <w:sz w:val="24"/>
          <w:lang w:val="en-US"/>
        </w:rPr>
        <w:t>Journal of Studies on Alcohol and Drugs</w:t>
      </w:r>
      <w:r w:rsidRPr="0001634A">
        <w:rPr>
          <w:rFonts w:cs="Calibri"/>
          <w:noProof/>
          <w:sz w:val="24"/>
          <w:lang w:val="en-US"/>
        </w:rPr>
        <w:t>. https://doi.org/10.15288/jsad.2012.73.341</w:t>
      </w:r>
    </w:p>
    <w:p w14:paraId="76A2CAA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Wallace, J. M., &amp; Hobbs, P. V. (2006). </w:t>
      </w:r>
      <w:r w:rsidRPr="0001634A">
        <w:rPr>
          <w:rFonts w:cs="Calibri"/>
          <w:i/>
          <w:iCs/>
          <w:noProof/>
          <w:sz w:val="24"/>
          <w:lang w:val="en-US"/>
        </w:rPr>
        <w:t>Atmospheric science: An introductory survey: Second edition</w:t>
      </w:r>
      <w:r w:rsidRPr="0001634A">
        <w:rPr>
          <w:rFonts w:cs="Calibri"/>
          <w:noProof/>
          <w:sz w:val="24"/>
          <w:lang w:val="en-US"/>
        </w:rPr>
        <w:t xml:space="preserve">. </w:t>
      </w:r>
      <w:r w:rsidRPr="0001634A">
        <w:rPr>
          <w:rFonts w:cs="Calibri"/>
          <w:i/>
          <w:iCs/>
          <w:noProof/>
          <w:sz w:val="24"/>
          <w:lang w:val="en-US"/>
        </w:rPr>
        <w:t>Atmospheric Science: An Introductory Survey: Second Edition</w:t>
      </w:r>
      <w:r w:rsidRPr="0001634A">
        <w:rPr>
          <w:rFonts w:cs="Calibri"/>
          <w:noProof/>
          <w:sz w:val="24"/>
          <w:lang w:val="en-US"/>
        </w:rPr>
        <w:t>. https://doi.org/10.1016/C2009-0-00034-8</w:t>
      </w:r>
    </w:p>
    <w:p w14:paraId="5E4593BA"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Watts, N., Amann, M., Arnell, N., Ayeb-karlsson, S., Belesova, K., Lucien, P., … Grace, D. (2018). The 2018 report of the Lancet Countdown on health and climate change: shaping health of nations for centuries to come. </w:t>
      </w:r>
      <w:r w:rsidRPr="0001634A">
        <w:rPr>
          <w:rFonts w:cs="Calibri"/>
          <w:i/>
          <w:iCs/>
          <w:noProof/>
          <w:sz w:val="24"/>
          <w:lang w:val="en-US"/>
        </w:rPr>
        <w:t>The Lancet</w:t>
      </w:r>
      <w:r w:rsidRPr="0001634A">
        <w:rPr>
          <w:rFonts w:cs="Calibri"/>
          <w:noProof/>
          <w:sz w:val="24"/>
          <w:lang w:val="en-US"/>
        </w:rPr>
        <w:t xml:space="preserve">, </w:t>
      </w:r>
      <w:r w:rsidRPr="0001634A">
        <w:rPr>
          <w:rFonts w:cs="Calibri"/>
          <w:i/>
          <w:iCs/>
          <w:noProof/>
          <w:sz w:val="24"/>
          <w:lang w:val="en-US"/>
        </w:rPr>
        <w:t>6736</w:t>
      </w:r>
      <w:r w:rsidRPr="0001634A">
        <w:rPr>
          <w:rFonts w:cs="Calibri"/>
          <w:noProof/>
          <w:sz w:val="24"/>
          <w:lang w:val="en-US"/>
        </w:rPr>
        <w:t>(18), 1–4. https://doi.org/10.1016/S0140-6736(18)32594-7</w:t>
      </w:r>
    </w:p>
    <w:p w14:paraId="2E413AC9"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Wyon, D. P., Wyon, I., &amp; Norin, F. (1996). Effects of moderate heat stress on driver vigilance in a moving vehicle. </w:t>
      </w:r>
      <w:r w:rsidRPr="0001634A">
        <w:rPr>
          <w:rFonts w:cs="Calibri"/>
          <w:i/>
          <w:iCs/>
          <w:noProof/>
          <w:sz w:val="24"/>
          <w:lang w:val="en-US"/>
        </w:rPr>
        <w:t>Ergonomics</w:t>
      </w:r>
      <w:r w:rsidRPr="0001634A">
        <w:rPr>
          <w:rFonts w:cs="Calibri"/>
          <w:noProof/>
          <w:sz w:val="24"/>
          <w:lang w:val="en-US"/>
        </w:rPr>
        <w:t>. https://doi.org/10.1080/00140139608964434</w:t>
      </w:r>
    </w:p>
    <w:p w14:paraId="1779004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Xu, J. (2014). Unintentional drowning deaths in the United States, 1999-2010. </w:t>
      </w:r>
      <w:r w:rsidRPr="0001634A">
        <w:rPr>
          <w:rFonts w:cs="Calibri"/>
          <w:i/>
          <w:iCs/>
          <w:noProof/>
          <w:sz w:val="24"/>
          <w:lang w:val="en-US"/>
        </w:rPr>
        <w:t>NCHS Data Brief</w:t>
      </w:r>
      <w:r w:rsidRPr="0001634A">
        <w:rPr>
          <w:rFonts w:cs="Calibri"/>
          <w:noProof/>
          <w:sz w:val="24"/>
          <w:lang w:val="en-US"/>
        </w:rPr>
        <w:t>.</w:t>
      </w:r>
    </w:p>
    <w:p w14:paraId="180D1DD5"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Ye, X., Wolff, R., Yu, W., Vaneckova, P., Pan, X., &amp; Tong, S. (2012). Ambient temperature and morbidity: a review of epidemiological evidence. </w:t>
      </w:r>
      <w:r w:rsidRPr="0001634A">
        <w:rPr>
          <w:rFonts w:cs="Calibri"/>
          <w:i/>
          <w:iCs/>
          <w:noProof/>
          <w:sz w:val="24"/>
          <w:lang w:val="en-US"/>
        </w:rPr>
        <w:t>Environmental Health Perspectives</w:t>
      </w:r>
      <w:r w:rsidRPr="0001634A">
        <w:rPr>
          <w:rFonts w:cs="Calibri"/>
          <w:noProof/>
          <w:sz w:val="24"/>
          <w:lang w:val="en-US"/>
        </w:rPr>
        <w:t xml:space="preserve">, </w:t>
      </w:r>
      <w:r w:rsidRPr="0001634A">
        <w:rPr>
          <w:rFonts w:cs="Calibri"/>
          <w:i/>
          <w:iCs/>
          <w:noProof/>
          <w:sz w:val="24"/>
          <w:lang w:val="en-US"/>
        </w:rPr>
        <w:t>120</w:t>
      </w:r>
      <w:r w:rsidRPr="0001634A">
        <w:rPr>
          <w:rFonts w:cs="Calibri"/>
          <w:noProof/>
          <w:sz w:val="24"/>
          <w:lang w:val="en-US"/>
        </w:rPr>
        <w:t>(1), 19–28. https://doi.org/10.1289/ehp.1003198</w:t>
      </w:r>
    </w:p>
    <w:p w14:paraId="4A3E2D06" w14:textId="77777777" w:rsidR="0001634A" w:rsidRPr="0001634A" w:rsidRDefault="0001634A" w:rsidP="0001634A">
      <w:pPr>
        <w:widowControl w:val="0"/>
        <w:autoSpaceDE w:val="0"/>
        <w:autoSpaceDN w:val="0"/>
        <w:adjustRightInd w:val="0"/>
        <w:spacing w:line="240" w:lineRule="auto"/>
        <w:ind w:left="480" w:hanging="480"/>
        <w:rPr>
          <w:rFonts w:cs="Calibri"/>
          <w:noProof/>
          <w:sz w:val="24"/>
        </w:rPr>
      </w:pPr>
      <w:r w:rsidRPr="0001634A">
        <w:rPr>
          <w:rFonts w:cs="Calibri"/>
          <w:noProof/>
          <w:sz w:val="24"/>
          <w:lang w:val="en-US"/>
        </w:rPr>
        <w:t>Zlatoper, T. J. (1991). Determinants of motor vehicle deaths in the United States: A cross-</w:t>
      </w:r>
      <w:r w:rsidRPr="0001634A">
        <w:rPr>
          <w:rFonts w:cs="Calibri"/>
          <w:noProof/>
          <w:sz w:val="24"/>
          <w:lang w:val="en-US"/>
        </w:rPr>
        <w:lastRenderedPageBreak/>
        <w:t xml:space="preserve">sectional analysis. </w:t>
      </w:r>
      <w:r w:rsidRPr="0001634A">
        <w:rPr>
          <w:rFonts w:cs="Calibri"/>
          <w:i/>
          <w:iCs/>
          <w:noProof/>
          <w:sz w:val="24"/>
          <w:lang w:val="en-US"/>
        </w:rPr>
        <w:t>Accident Analysis and Prevention</w:t>
      </w:r>
      <w:r w:rsidRPr="0001634A">
        <w:rPr>
          <w:rFonts w:cs="Calibri"/>
          <w:noProof/>
          <w:sz w:val="24"/>
          <w:lang w:val="en-US"/>
        </w:rPr>
        <w:t>. https://doi.org/10.1016/0001-4575(91)90062-A</w:t>
      </w:r>
    </w:p>
    <w:p w14:paraId="2B228869" w14:textId="5E491F0C" w:rsidR="006675AE" w:rsidRPr="00127064" w:rsidRDefault="006675AE" w:rsidP="0001634A">
      <w:pPr>
        <w:spacing w:line="240" w:lineRule="auto"/>
        <w:jc w:val="both"/>
      </w:pPr>
      <w:r w:rsidRPr="00736834">
        <w:rPr>
          <w:sz w:val="24"/>
          <w:szCs w:val="24"/>
        </w:rPr>
        <w:fldChar w:fldCharType="end"/>
      </w:r>
    </w:p>
    <w:sectPr w:rsidR="006675AE" w:rsidRPr="00127064" w:rsidSect="0083190B">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B9A076" w14:textId="77777777" w:rsidR="0095204C" w:rsidRDefault="0095204C">
      <w:pPr>
        <w:spacing w:after="0" w:line="240" w:lineRule="auto"/>
      </w:pPr>
      <w:r>
        <w:separator/>
      </w:r>
    </w:p>
    <w:p w14:paraId="5A4DB6A4" w14:textId="77777777" w:rsidR="0095204C" w:rsidRDefault="0095204C"/>
  </w:endnote>
  <w:endnote w:type="continuationSeparator" w:id="0">
    <w:p w14:paraId="198F93A7" w14:textId="77777777" w:rsidR="0095204C" w:rsidRDefault="0095204C">
      <w:pPr>
        <w:spacing w:after="0" w:line="240" w:lineRule="auto"/>
      </w:pPr>
      <w:r>
        <w:continuationSeparator/>
      </w:r>
    </w:p>
    <w:p w14:paraId="342034ED" w14:textId="77777777" w:rsidR="0095204C" w:rsidRDefault="009520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83193116"/>
      <w:docPartObj>
        <w:docPartGallery w:val="Page Numbers (Bottom of Page)"/>
        <w:docPartUnique/>
      </w:docPartObj>
    </w:sdtPr>
    <w:sdtEndPr>
      <w:rPr>
        <w:rStyle w:val="PageNumber"/>
      </w:rPr>
    </w:sdtEndPr>
    <w:sdtContent>
      <w:p w14:paraId="1BBB362A" w14:textId="0B3117DE" w:rsidR="00905DF6" w:rsidRDefault="00905DF6"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905DF6" w:rsidRDefault="00905DF6"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66341741"/>
      <w:docPartObj>
        <w:docPartGallery w:val="Page Numbers (Bottom of Page)"/>
        <w:docPartUnique/>
      </w:docPartObj>
    </w:sdtPr>
    <w:sdtEndPr>
      <w:rPr>
        <w:rStyle w:val="PageNumber"/>
      </w:rPr>
    </w:sdtEndPr>
    <w:sdtContent>
      <w:p w14:paraId="2C828E9F" w14:textId="5660A313" w:rsidR="00905DF6" w:rsidRDefault="00905DF6"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905DF6" w:rsidRDefault="00905DF6"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5ABAE3" w14:textId="77777777" w:rsidR="0095204C" w:rsidRDefault="0095204C">
      <w:pPr>
        <w:spacing w:after="0" w:line="240" w:lineRule="auto"/>
      </w:pPr>
      <w:r>
        <w:separator/>
      </w:r>
    </w:p>
    <w:p w14:paraId="0BC07B52" w14:textId="77777777" w:rsidR="0095204C" w:rsidRDefault="0095204C"/>
  </w:footnote>
  <w:footnote w:type="continuationSeparator" w:id="0">
    <w:p w14:paraId="45771E0B" w14:textId="77777777" w:rsidR="0095204C" w:rsidRDefault="0095204C">
      <w:pPr>
        <w:spacing w:after="0" w:line="240" w:lineRule="auto"/>
      </w:pPr>
      <w:r>
        <w:continuationSeparator/>
      </w:r>
    </w:p>
    <w:p w14:paraId="05C86AEF" w14:textId="77777777" w:rsidR="0095204C" w:rsidRDefault="0095204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1"/>
  </w:num>
  <w:num w:numId="3">
    <w:abstractNumId w:val="34"/>
  </w:num>
  <w:num w:numId="4">
    <w:abstractNumId w:val="40"/>
  </w:num>
  <w:num w:numId="5">
    <w:abstractNumId w:val="5"/>
  </w:num>
  <w:num w:numId="6">
    <w:abstractNumId w:val="11"/>
  </w:num>
  <w:num w:numId="7">
    <w:abstractNumId w:val="1"/>
  </w:num>
  <w:num w:numId="8">
    <w:abstractNumId w:val="29"/>
  </w:num>
  <w:num w:numId="9">
    <w:abstractNumId w:val="36"/>
  </w:num>
  <w:num w:numId="10">
    <w:abstractNumId w:val="27"/>
  </w:num>
  <w:num w:numId="11">
    <w:abstractNumId w:val="30"/>
  </w:num>
  <w:num w:numId="12">
    <w:abstractNumId w:val="26"/>
  </w:num>
  <w:num w:numId="13">
    <w:abstractNumId w:val="22"/>
  </w:num>
  <w:num w:numId="14">
    <w:abstractNumId w:val="16"/>
  </w:num>
  <w:num w:numId="15">
    <w:abstractNumId w:val="38"/>
  </w:num>
  <w:num w:numId="16">
    <w:abstractNumId w:val="43"/>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2"/>
  </w:num>
  <w:num w:numId="27">
    <w:abstractNumId w:val="17"/>
  </w:num>
  <w:num w:numId="28">
    <w:abstractNumId w:val="15"/>
  </w:num>
  <w:num w:numId="29">
    <w:abstractNumId w:val="2"/>
  </w:num>
  <w:num w:numId="30">
    <w:abstractNumId w:val="14"/>
  </w:num>
  <w:num w:numId="31">
    <w:abstractNumId w:val="37"/>
  </w:num>
  <w:num w:numId="32">
    <w:abstractNumId w:val="35"/>
  </w:num>
  <w:num w:numId="33">
    <w:abstractNumId w:val="12"/>
  </w:num>
  <w:num w:numId="34">
    <w:abstractNumId w:val="39"/>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C50"/>
    <w:rsid w:val="00056C5A"/>
    <w:rsid w:val="00060181"/>
    <w:rsid w:val="0006104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F07"/>
    <w:rsid w:val="000A2462"/>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5837"/>
    <w:rsid w:val="000E60FC"/>
    <w:rsid w:val="000E6236"/>
    <w:rsid w:val="000F0627"/>
    <w:rsid w:val="000F0913"/>
    <w:rsid w:val="000F09F9"/>
    <w:rsid w:val="000F0A11"/>
    <w:rsid w:val="000F0A29"/>
    <w:rsid w:val="000F0C79"/>
    <w:rsid w:val="000F1035"/>
    <w:rsid w:val="000F12C0"/>
    <w:rsid w:val="000F1400"/>
    <w:rsid w:val="000F1DF7"/>
    <w:rsid w:val="000F3189"/>
    <w:rsid w:val="000F3360"/>
    <w:rsid w:val="000F3D7A"/>
    <w:rsid w:val="000F4320"/>
    <w:rsid w:val="000F44C0"/>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979"/>
    <w:rsid w:val="00103ED5"/>
    <w:rsid w:val="0010422E"/>
    <w:rsid w:val="00104231"/>
    <w:rsid w:val="0010440D"/>
    <w:rsid w:val="001046FA"/>
    <w:rsid w:val="001047DC"/>
    <w:rsid w:val="00104B66"/>
    <w:rsid w:val="00105420"/>
    <w:rsid w:val="00105569"/>
    <w:rsid w:val="00105708"/>
    <w:rsid w:val="00105731"/>
    <w:rsid w:val="0010581C"/>
    <w:rsid w:val="001063E9"/>
    <w:rsid w:val="0010644A"/>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D04"/>
    <w:rsid w:val="001242F1"/>
    <w:rsid w:val="001243CC"/>
    <w:rsid w:val="00124496"/>
    <w:rsid w:val="00124537"/>
    <w:rsid w:val="001245A8"/>
    <w:rsid w:val="00124625"/>
    <w:rsid w:val="00124A53"/>
    <w:rsid w:val="00124F13"/>
    <w:rsid w:val="00125C9A"/>
    <w:rsid w:val="001266B6"/>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D66"/>
    <w:rsid w:val="00190108"/>
    <w:rsid w:val="00190701"/>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A03A0"/>
    <w:rsid w:val="001A0466"/>
    <w:rsid w:val="001A19F2"/>
    <w:rsid w:val="001A1BDF"/>
    <w:rsid w:val="001A1F00"/>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61EF"/>
    <w:rsid w:val="00206446"/>
    <w:rsid w:val="00206A3E"/>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5D6"/>
    <w:rsid w:val="00285724"/>
    <w:rsid w:val="00285791"/>
    <w:rsid w:val="00285A1A"/>
    <w:rsid w:val="00285D75"/>
    <w:rsid w:val="0028623A"/>
    <w:rsid w:val="00287584"/>
    <w:rsid w:val="002905BB"/>
    <w:rsid w:val="0029087D"/>
    <w:rsid w:val="00290E98"/>
    <w:rsid w:val="002920F8"/>
    <w:rsid w:val="00292A75"/>
    <w:rsid w:val="00292DF8"/>
    <w:rsid w:val="002932B0"/>
    <w:rsid w:val="0029420D"/>
    <w:rsid w:val="00294C1D"/>
    <w:rsid w:val="002953F0"/>
    <w:rsid w:val="00295451"/>
    <w:rsid w:val="00295725"/>
    <w:rsid w:val="00295CE8"/>
    <w:rsid w:val="002961A7"/>
    <w:rsid w:val="002964A1"/>
    <w:rsid w:val="00296824"/>
    <w:rsid w:val="00296A5E"/>
    <w:rsid w:val="002970B8"/>
    <w:rsid w:val="0029781C"/>
    <w:rsid w:val="00297C0C"/>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CEA"/>
    <w:rsid w:val="002A4CEB"/>
    <w:rsid w:val="002A4FB3"/>
    <w:rsid w:val="002A5534"/>
    <w:rsid w:val="002A58AD"/>
    <w:rsid w:val="002A58D9"/>
    <w:rsid w:val="002A60A8"/>
    <w:rsid w:val="002A658E"/>
    <w:rsid w:val="002A6760"/>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40EE"/>
    <w:rsid w:val="002B42BF"/>
    <w:rsid w:val="002B5115"/>
    <w:rsid w:val="002B526B"/>
    <w:rsid w:val="002B5412"/>
    <w:rsid w:val="002B5DCD"/>
    <w:rsid w:val="002B5DDD"/>
    <w:rsid w:val="002B6BF0"/>
    <w:rsid w:val="002B782C"/>
    <w:rsid w:val="002B7879"/>
    <w:rsid w:val="002B7F08"/>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5B8"/>
    <w:rsid w:val="002D4EED"/>
    <w:rsid w:val="002D52AB"/>
    <w:rsid w:val="002D5342"/>
    <w:rsid w:val="002D6C2C"/>
    <w:rsid w:val="002D6DF8"/>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60A89"/>
    <w:rsid w:val="00361098"/>
    <w:rsid w:val="0036143F"/>
    <w:rsid w:val="00361EAF"/>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6BC"/>
    <w:rsid w:val="00367B32"/>
    <w:rsid w:val="0037036F"/>
    <w:rsid w:val="0037073D"/>
    <w:rsid w:val="00370A14"/>
    <w:rsid w:val="00370B1F"/>
    <w:rsid w:val="00370CF6"/>
    <w:rsid w:val="00370F0B"/>
    <w:rsid w:val="00371A85"/>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C42"/>
    <w:rsid w:val="003A6E74"/>
    <w:rsid w:val="003A7C72"/>
    <w:rsid w:val="003B07E1"/>
    <w:rsid w:val="003B1420"/>
    <w:rsid w:val="003B1470"/>
    <w:rsid w:val="003B1924"/>
    <w:rsid w:val="003B1BCB"/>
    <w:rsid w:val="003B22D7"/>
    <w:rsid w:val="003B2A22"/>
    <w:rsid w:val="003B32ED"/>
    <w:rsid w:val="003B3A5E"/>
    <w:rsid w:val="003B43ED"/>
    <w:rsid w:val="003B456F"/>
    <w:rsid w:val="003B6079"/>
    <w:rsid w:val="003B6C35"/>
    <w:rsid w:val="003B71FE"/>
    <w:rsid w:val="003C0251"/>
    <w:rsid w:val="003C0448"/>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100F6"/>
    <w:rsid w:val="00410654"/>
    <w:rsid w:val="004108DE"/>
    <w:rsid w:val="00411019"/>
    <w:rsid w:val="0041265F"/>
    <w:rsid w:val="0041272D"/>
    <w:rsid w:val="004127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B3"/>
    <w:rsid w:val="00440177"/>
    <w:rsid w:val="0044079D"/>
    <w:rsid w:val="0044093E"/>
    <w:rsid w:val="00441DFA"/>
    <w:rsid w:val="004421A6"/>
    <w:rsid w:val="00442AF2"/>
    <w:rsid w:val="00442CC2"/>
    <w:rsid w:val="0044350F"/>
    <w:rsid w:val="00443903"/>
    <w:rsid w:val="00443AA8"/>
    <w:rsid w:val="00444B11"/>
    <w:rsid w:val="00444D1A"/>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2234"/>
    <w:rsid w:val="004723C2"/>
    <w:rsid w:val="00472D21"/>
    <w:rsid w:val="00472F83"/>
    <w:rsid w:val="00474107"/>
    <w:rsid w:val="00474A2C"/>
    <w:rsid w:val="004752C7"/>
    <w:rsid w:val="00475442"/>
    <w:rsid w:val="00475B09"/>
    <w:rsid w:val="00475FD8"/>
    <w:rsid w:val="0047610E"/>
    <w:rsid w:val="00476919"/>
    <w:rsid w:val="0047730B"/>
    <w:rsid w:val="0047730E"/>
    <w:rsid w:val="004802FF"/>
    <w:rsid w:val="004813ED"/>
    <w:rsid w:val="004814FB"/>
    <w:rsid w:val="00481829"/>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D7D"/>
    <w:rsid w:val="004A5DE4"/>
    <w:rsid w:val="004A7E98"/>
    <w:rsid w:val="004B013D"/>
    <w:rsid w:val="004B031E"/>
    <w:rsid w:val="004B0699"/>
    <w:rsid w:val="004B0A34"/>
    <w:rsid w:val="004B16A0"/>
    <w:rsid w:val="004B2216"/>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611"/>
    <w:rsid w:val="004C67C0"/>
    <w:rsid w:val="004C7EE7"/>
    <w:rsid w:val="004D037A"/>
    <w:rsid w:val="004D0498"/>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7526"/>
    <w:rsid w:val="004D7A48"/>
    <w:rsid w:val="004E031C"/>
    <w:rsid w:val="004E2224"/>
    <w:rsid w:val="004E2671"/>
    <w:rsid w:val="004E2682"/>
    <w:rsid w:val="004E2756"/>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7FE"/>
    <w:rsid w:val="00553ABC"/>
    <w:rsid w:val="00553BFB"/>
    <w:rsid w:val="00554728"/>
    <w:rsid w:val="00554C35"/>
    <w:rsid w:val="005553AF"/>
    <w:rsid w:val="0055543E"/>
    <w:rsid w:val="005559FE"/>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25E"/>
    <w:rsid w:val="005776AE"/>
    <w:rsid w:val="00577AB6"/>
    <w:rsid w:val="00577C4A"/>
    <w:rsid w:val="00580000"/>
    <w:rsid w:val="00580959"/>
    <w:rsid w:val="00581C63"/>
    <w:rsid w:val="0058211A"/>
    <w:rsid w:val="00582917"/>
    <w:rsid w:val="00582B8F"/>
    <w:rsid w:val="0058338A"/>
    <w:rsid w:val="005834D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FCB"/>
    <w:rsid w:val="005C606D"/>
    <w:rsid w:val="005C6B5D"/>
    <w:rsid w:val="005C6E29"/>
    <w:rsid w:val="005C6F3E"/>
    <w:rsid w:val="005C7007"/>
    <w:rsid w:val="005C7354"/>
    <w:rsid w:val="005C776A"/>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166"/>
    <w:rsid w:val="00630617"/>
    <w:rsid w:val="006306EA"/>
    <w:rsid w:val="00630AD8"/>
    <w:rsid w:val="00630B94"/>
    <w:rsid w:val="00630BA9"/>
    <w:rsid w:val="00631143"/>
    <w:rsid w:val="0063232C"/>
    <w:rsid w:val="006324CD"/>
    <w:rsid w:val="00632709"/>
    <w:rsid w:val="00632BD2"/>
    <w:rsid w:val="0063378A"/>
    <w:rsid w:val="0063436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920"/>
    <w:rsid w:val="006A1E28"/>
    <w:rsid w:val="006A1F9B"/>
    <w:rsid w:val="006A2128"/>
    <w:rsid w:val="006A2185"/>
    <w:rsid w:val="006A291E"/>
    <w:rsid w:val="006A2979"/>
    <w:rsid w:val="006A31A0"/>
    <w:rsid w:val="006A336D"/>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200"/>
    <w:rsid w:val="00711208"/>
    <w:rsid w:val="007126F3"/>
    <w:rsid w:val="007128A0"/>
    <w:rsid w:val="00712E39"/>
    <w:rsid w:val="00713F87"/>
    <w:rsid w:val="00714146"/>
    <w:rsid w:val="0071475B"/>
    <w:rsid w:val="00714847"/>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815"/>
    <w:rsid w:val="00744B09"/>
    <w:rsid w:val="00744CD4"/>
    <w:rsid w:val="0074519E"/>
    <w:rsid w:val="00745BDC"/>
    <w:rsid w:val="00746991"/>
    <w:rsid w:val="00746BF9"/>
    <w:rsid w:val="00746F68"/>
    <w:rsid w:val="007471B0"/>
    <w:rsid w:val="00747BDF"/>
    <w:rsid w:val="00747F42"/>
    <w:rsid w:val="007504B4"/>
    <w:rsid w:val="00750B80"/>
    <w:rsid w:val="00750F22"/>
    <w:rsid w:val="007510CB"/>
    <w:rsid w:val="00751171"/>
    <w:rsid w:val="00752388"/>
    <w:rsid w:val="0075393E"/>
    <w:rsid w:val="00753D15"/>
    <w:rsid w:val="00753EA7"/>
    <w:rsid w:val="007548DC"/>
    <w:rsid w:val="00755262"/>
    <w:rsid w:val="00755632"/>
    <w:rsid w:val="00755C72"/>
    <w:rsid w:val="00756333"/>
    <w:rsid w:val="00756618"/>
    <w:rsid w:val="00756E96"/>
    <w:rsid w:val="00757088"/>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965"/>
    <w:rsid w:val="00785B04"/>
    <w:rsid w:val="00785C4C"/>
    <w:rsid w:val="007862FA"/>
    <w:rsid w:val="00786405"/>
    <w:rsid w:val="007867B5"/>
    <w:rsid w:val="00786EF3"/>
    <w:rsid w:val="0078701D"/>
    <w:rsid w:val="00787227"/>
    <w:rsid w:val="00787EAD"/>
    <w:rsid w:val="007902A9"/>
    <w:rsid w:val="007903E4"/>
    <w:rsid w:val="00791079"/>
    <w:rsid w:val="007915F6"/>
    <w:rsid w:val="00791F6B"/>
    <w:rsid w:val="00792201"/>
    <w:rsid w:val="00792E4B"/>
    <w:rsid w:val="00793F3A"/>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458C"/>
    <w:rsid w:val="007E471C"/>
    <w:rsid w:val="007E4C5E"/>
    <w:rsid w:val="007E4DC1"/>
    <w:rsid w:val="007E5354"/>
    <w:rsid w:val="007E763C"/>
    <w:rsid w:val="007E7656"/>
    <w:rsid w:val="007F13BB"/>
    <w:rsid w:val="007F16E4"/>
    <w:rsid w:val="007F1D43"/>
    <w:rsid w:val="007F1E4D"/>
    <w:rsid w:val="007F1EBD"/>
    <w:rsid w:val="007F214C"/>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27F1"/>
    <w:rsid w:val="0080289E"/>
    <w:rsid w:val="008028FD"/>
    <w:rsid w:val="00802A0B"/>
    <w:rsid w:val="00802B30"/>
    <w:rsid w:val="00802B74"/>
    <w:rsid w:val="00802BF1"/>
    <w:rsid w:val="00802E81"/>
    <w:rsid w:val="00803BCD"/>
    <w:rsid w:val="00803F1E"/>
    <w:rsid w:val="00804099"/>
    <w:rsid w:val="00804296"/>
    <w:rsid w:val="0080609A"/>
    <w:rsid w:val="008070E4"/>
    <w:rsid w:val="008071E5"/>
    <w:rsid w:val="00807267"/>
    <w:rsid w:val="00807692"/>
    <w:rsid w:val="00807CE5"/>
    <w:rsid w:val="00807DD4"/>
    <w:rsid w:val="008106DC"/>
    <w:rsid w:val="008108B0"/>
    <w:rsid w:val="00810FB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1206"/>
    <w:rsid w:val="00821395"/>
    <w:rsid w:val="0082159D"/>
    <w:rsid w:val="00821A19"/>
    <w:rsid w:val="00821D05"/>
    <w:rsid w:val="00821E32"/>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3379"/>
    <w:rsid w:val="008537D1"/>
    <w:rsid w:val="008539F0"/>
    <w:rsid w:val="00853C02"/>
    <w:rsid w:val="008540FF"/>
    <w:rsid w:val="008544CD"/>
    <w:rsid w:val="008544FE"/>
    <w:rsid w:val="00854507"/>
    <w:rsid w:val="008549BA"/>
    <w:rsid w:val="00854D59"/>
    <w:rsid w:val="00855E08"/>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685"/>
    <w:rsid w:val="00874745"/>
    <w:rsid w:val="008747D5"/>
    <w:rsid w:val="00874830"/>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C59"/>
    <w:rsid w:val="00903EED"/>
    <w:rsid w:val="00903F16"/>
    <w:rsid w:val="00904CBD"/>
    <w:rsid w:val="00904ED0"/>
    <w:rsid w:val="00905058"/>
    <w:rsid w:val="00905D8A"/>
    <w:rsid w:val="00905DF6"/>
    <w:rsid w:val="0090621A"/>
    <w:rsid w:val="00906940"/>
    <w:rsid w:val="009076D0"/>
    <w:rsid w:val="009077DC"/>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8094E"/>
    <w:rsid w:val="00980EBF"/>
    <w:rsid w:val="00982278"/>
    <w:rsid w:val="00983055"/>
    <w:rsid w:val="00983C6F"/>
    <w:rsid w:val="00983CEE"/>
    <w:rsid w:val="00984328"/>
    <w:rsid w:val="0098453F"/>
    <w:rsid w:val="00984FB6"/>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C5E"/>
    <w:rsid w:val="009A359F"/>
    <w:rsid w:val="009A36CE"/>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5285"/>
    <w:rsid w:val="009B5576"/>
    <w:rsid w:val="009B5A29"/>
    <w:rsid w:val="009B63C4"/>
    <w:rsid w:val="009B7A5F"/>
    <w:rsid w:val="009B7A89"/>
    <w:rsid w:val="009B7C1B"/>
    <w:rsid w:val="009B7E67"/>
    <w:rsid w:val="009C0E80"/>
    <w:rsid w:val="009C15DD"/>
    <w:rsid w:val="009C1AC8"/>
    <w:rsid w:val="009C2305"/>
    <w:rsid w:val="009C29A6"/>
    <w:rsid w:val="009C2CAA"/>
    <w:rsid w:val="009C2FC1"/>
    <w:rsid w:val="009C31A8"/>
    <w:rsid w:val="009C376E"/>
    <w:rsid w:val="009C3975"/>
    <w:rsid w:val="009C3D92"/>
    <w:rsid w:val="009C478E"/>
    <w:rsid w:val="009C4D03"/>
    <w:rsid w:val="009C52A5"/>
    <w:rsid w:val="009C5745"/>
    <w:rsid w:val="009C599D"/>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402F"/>
    <w:rsid w:val="00A34256"/>
    <w:rsid w:val="00A343CC"/>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3182"/>
    <w:rsid w:val="00AC40A4"/>
    <w:rsid w:val="00AC4D0E"/>
    <w:rsid w:val="00AC5900"/>
    <w:rsid w:val="00AC5EFA"/>
    <w:rsid w:val="00AC6587"/>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E004C"/>
    <w:rsid w:val="00AE00A1"/>
    <w:rsid w:val="00AE0241"/>
    <w:rsid w:val="00AE02C9"/>
    <w:rsid w:val="00AE03FB"/>
    <w:rsid w:val="00AE077A"/>
    <w:rsid w:val="00AE0BC1"/>
    <w:rsid w:val="00AE1B6C"/>
    <w:rsid w:val="00AE2912"/>
    <w:rsid w:val="00AE3126"/>
    <w:rsid w:val="00AE3495"/>
    <w:rsid w:val="00AE3FDB"/>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42"/>
    <w:rsid w:val="00B717BD"/>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CC4"/>
    <w:rsid w:val="00C645EF"/>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436"/>
    <w:rsid w:val="00C95829"/>
    <w:rsid w:val="00C95977"/>
    <w:rsid w:val="00C974B6"/>
    <w:rsid w:val="00C97974"/>
    <w:rsid w:val="00CA0A7E"/>
    <w:rsid w:val="00CA0B8B"/>
    <w:rsid w:val="00CA0FA0"/>
    <w:rsid w:val="00CA1682"/>
    <w:rsid w:val="00CA2EF4"/>
    <w:rsid w:val="00CA2FE9"/>
    <w:rsid w:val="00CA3319"/>
    <w:rsid w:val="00CA3BFC"/>
    <w:rsid w:val="00CA3CAD"/>
    <w:rsid w:val="00CA3EB6"/>
    <w:rsid w:val="00CA4063"/>
    <w:rsid w:val="00CA4ACD"/>
    <w:rsid w:val="00CA51B8"/>
    <w:rsid w:val="00CA5600"/>
    <w:rsid w:val="00CA5706"/>
    <w:rsid w:val="00CA5899"/>
    <w:rsid w:val="00CA729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3E4"/>
    <w:rsid w:val="00CD479A"/>
    <w:rsid w:val="00CD4D6B"/>
    <w:rsid w:val="00CD5264"/>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317B"/>
    <w:rsid w:val="00CE3780"/>
    <w:rsid w:val="00CE3A58"/>
    <w:rsid w:val="00CE3E2E"/>
    <w:rsid w:val="00CE3F4F"/>
    <w:rsid w:val="00CE4917"/>
    <w:rsid w:val="00CE4993"/>
    <w:rsid w:val="00CE4FDC"/>
    <w:rsid w:val="00CE59B7"/>
    <w:rsid w:val="00CE666A"/>
    <w:rsid w:val="00CE6961"/>
    <w:rsid w:val="00CE77F8"/>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289"/>
    <w:rsid w:val="00DA1674"/>
    <w:rsid w:val="00DA17AC"/>
    <w:rsid w:val="00DA2010"/>
    <w:rsid w:val="00DA2BC8"/>
    <w:rsid w:val="00DA2D75"/>
    <w:rsid w:val="00DA302B"/>
    <w:rsid w:val="00DA31AD"/>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1070"/>
    <w:rsid w:val="00E3109E"/>
    <w:rsid w:val="00E31122"/>
    <w:rsid w:val="00E3197A"/>
    <w:rsid w:val="00E3247A"/>
    <w:rsid w:val="00E32605"/>
    <w:rsid w:val="00E329CD"/>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7949"/>
    <w:rsid w:val="00E47B9F"/>
    <w:rsid w:val="00E47BAD"/>
    <w:rsid w:val="00E507B1"/>
    <w:rsid w:val="00E50CDD"/>
    <w:rsid w:val="00E50E8E"/>
    <w:rsid w:val="00E516CA"/>
    <w:rsid w:val="00E518A8"/>
    <w:rsid w:val="00E51EF6"/>
    <w:rsid w:val="00E52409"/>
    <w:rsid w:val="00E5265B"/>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C21"/>
    <w:rsid w:val="00E744E2"/>
    <w:rsid w:val="00E7481F"/>
    <w:rsid w:val="00E74C0C"/>
    <w:rsid w:val="00E7505A"/>
    <w:rsid w:val="00E75CC4"/>
    <w:rsid w:val="00E76273"/>
    <w:rsid w:val="00E76588"/>
    <w:rsid w:val="00E76992"/>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83E"/>
    <w:rsid w:val="00EB0D86"/>
    <w:rsid w:val="00EB0FEC"/>
    <w:rsid w:val="00EB1BB4"/>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9E7"/>
    <w:rsid w:val="00EC2A0B"/>
    <w:rsid w:val="00EC32A6"/>
    <w:rsid w:val="00EC33E7"/>
    <w:rsid w:val="00EC3C58"/>
    <w:rsid w:val="00EC401C"/>
    <w:rsid w:val="00EC51F2"/>
    <w:rsid w:val="00EC5ABC"/>
    <w:rsid w:val="00EC5C23"/>
    <w:rsid w:val="00EC6075"/>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606F"/>
    <w:rsid w:val="00F16542"/>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7F68"/>
    <w:rsid w:val="00F80435"/>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B80"/>
    <w:rsid w:val="00F96E9C"/>
    <w:rsid w:val="00F97BC9"/>
    <w:rsid w:val="00FA0F9B"/>
    <w:rsid w:val="00FA1DA9"/>
    <w:rsid w:val="00FA1E49"/>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4470"/>
    <w:rsid w:val="00FF4519"/>
    <w:rsid w:val="00FF479A"/>
    <w:rsid w:val="00FF4A40"/>
    <w:rsid w:val="00FF57A3"/>
    <w:rsid w:val="00FF5B78"/>
    <w:rsid w:val="00FF5CF2"/>
    <w:rsid w:val="00FF65CC"/>
    <w:rsid w:val="00FF6E7C"/>
    <w:rsid w:val="00FF7529"/>
    <w:rsid w:val="00FF79D0"/>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D11E33"/>
    <w:pPr>
      <w:tabs>
        <w:tab w:val="left" w:pos="440"/>
        <w:tab w:val="right" w:leader="dot" w:pos="9010"/>
      </w:tabs>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 w:type="paragraph" w:styleId="FootnoteText">
    <w:name w:val="footnote text"/>
    <w:basedOn w:val="Normal"/>
    <w:link w:val="FootnoteTextChar"/>
    <w:uiPriority w:val="99"/>
    <w:semiHidden/>
    <w:unhideWhenUsed/>
    <w:rsid w:val="00FD43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383"/>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FD4383"/>
    <w:rPr>
      <w:vertAlign w:val="superscript"/>
    </w:rPr>
  </w:style>
  <w:style w:type="paragraph" w:styleId="EndnoteText">
    <w:name w:val="endnote text"/>
    <w:basedOn w:val="Normal"/>
    <w:link w:val="EndnoteTextChar"/>
    <w:uiPriority w:val="99"/>
    <w:semiHidden/>
    <w:unhideWhenUsed/>
    <w:rsid w:val="00C615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61575"/>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C61575"/>
    <w:rPr>
      <w:vertAlign w:val="superscript"/>
    </w:rPr>
  </w:style>
  <w:style w:type="table" w:customStyle="1" w:styleId="TableGrid1">
    <w:name w:val="Table Grid1"/>
    <w:basedOn w:val="TableNormal"/>
    <w:next w:val="TableGrid"/>
    <w:uiPriority w:val="39"/>
    <w:rsid w:val="002F1F6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6675AE"/>
    <w:pPr>
      <w:spacing w:after="240" w:line="240" w:lineRule="atLeast"/>
      <w:ind w:firstLine="720"/>
      <w:jc w:val="both"/>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6675AE"/>
    <w:rPr>
      <w:rFonts w:ascii="Arial" w:eastAsia="MS Mincho" w:hAnsi="Arial" w:cs="Times New Roman"/>
      <w:color w:val="000000" w:themeColor="text1"/>
      <w:kern w:val="18"/>
      <w:sz w:val="22"/>
      <w:szCs w:val="20"/>
      <w:lang w:val="en-GB"/>
    </w:rPr>
  </w:style>
  <w:style w:type="character" w:styleId="PlaceholderText">
    <w:name w:val="Placeholder Text"/>
    <w:basedOn w:val="DefaultParagraphFont"/>
    <w:uiPriority w:val="99"/>
    <w:semiHidden/>
    <w:rsid w:val="006675A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rmiparks/git/mortality/USA/state/write_ups/99_thesis/05_Injuries/Injuries%202019%2004%2017.docx" TargetMode="External"/><Relationship Id="rId13" Type="http://schemas.openxmlformats.org/officeDocument/2006/relationships/hyperlink" Target="https://www.cdc.gov/nchs/nvss/bridged_race.htm" TargetMode="External"/><Relationship Id="rId18"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census.gov/data/developers/data-sets/popest-popproj/pope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5DD34FC-37D8-3847-BE4C-B64B86DD0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23</Pages>
  <Words>30628</Words>
  <Characters>174583</Characters>
  <Application>Microsoft Office Word</Application>
  <DocSecurity>0</DocSecurity>
  <Lines>1454</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235</cp:revision>
  <cp:lastPrinted>2019-04-05T14:52:00Z</cp:lastPrinted>
  <dcterms:created xsi:type="dcterms:W3CDTF">2019-04-13T13:22:00Z</dcterms:created>
  <dcterms:modified xsi:type="dcterms:W3CDTF">2019-04-17T11:14:00Z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